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49A21C02"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186426">
                              <w:rPr>
                                <w:rStyle w:val="Nadruk"/>
                                <w:b/>
                                <w:sz w:val="20"/>
                                <w:szCs w:val="20"/>
                                <w:lang w:val="fr-BE"/>
                              </w:rPr>
                              <w:t>2022</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49A21C02"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186426">
                        <w:rPr>
                          <w:rStyle w:val="Nadruk"/>
                          <w:b/>
                          <w:sz w:val="20"/>
                          <w:szCs w:val="20"/>
                          <w:lang w:val="fr-BE"/>
                        </w:rPr>
                        <w:t>2022</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6759AC38" w:rsidR="00AE3D58" w:rsidRPr="005F4EF3" w:rsidRDefault="00EC5FD2" w:rsidP="003F09D9">
          <w:pPr>
            <w:pStyle w:val="Naam"/>
            <w:jc w:val="both"/>
            <w:rPr>
              <w:sz w:val="28"/>
              <w:lang w:val="fr-BE"/>
            </w:rPr>
          </w:pPr>
          <w:r>
            <w:rPr>
              <w:sz w:val="28"/>
              <w:lang w:val="fr-BE"/>
            </w:rPr>
            <w:t xml:space="preserve">Template sur </w:t>
          </w:r>
          <w:r w:rsidR="00872660">
            <w:rPr>
              <w:sz w:val="28"/>
              <w:lang w:val="fr-BE"/>
            </w:rPr>
            <w:t>le comportement de fuite</w:t>
          </w:r>
          <w:r>
            <w:rPr>
              <w:sz w:val="28"/>
              <w:lang w:val="fr-BE"/>
            </w:rPr>
            <w:t xml:space="preserve"> (critère</w:t>
          </w:r>
          <w:r w:rsidR="00E012C5">
            <w:rPr>
              <w:sz w:val="28"/>
              <w:lang w:val="fr-BE"/>
            </w:rPr>
            <w:t>s</w:t>
          </w:r>
          <w:r>
            <w:rPr>
              <w:sz w:val="28"/>
              <w:lang w:val="fr-BE"/>
            </w:rPr>
            <w:t xml:space="preserve"> </w:t>
          </w:r>
          <w:r w:rsidR="001C4D7A">
            <w:rPr>
              <w:sz w:val="28"/>
              <w:lang w:val="fr-BE"/>
            </w:rPr>
            <w:t>B</w:t>
          </w:r>
          <w:r w:rsidR="00872660">
            <w:rPr>
              <w:sz w:val="28"/>
              <w:lang w:val="fr-BE"/>
            </w:rPr>
            <w:t>3</w:t>
          </w:r>
          <w:r w:rsidR="00E012C5">
            <w:rPr>
              <w:sz w:val="28"/>
              <w:lang w:val="fr-BE"/>
            </w:rPr>
            <w:t>– B</w:t>
          </w:r>
          <w:r w:rsidR="00872660">
            <w:rPr>
              <w:sz w:val="28"/>
              <w:lang w:val="fr-BE"/>
            </w:rPr>
            <w:t>7</w:t>
          </w:r>
          <w:r w:rsidR="00E012C5">
            <w:rPr>
              <w:sz w:val="28"/>
              <w:lang w:val="fr-BE"/>
            </w:rPr>
            <w:t>– B</w:t>
          </w:r>
          <w:r w:rsidR="004C17CD">
            <w:rPr>
              <w:sz w:val="28"/>
              <w:lang w:val="fr-BE"/>
            </w:rPr>
            <w:t>1</w:t>
          </w:r>
          <w:r w:rsidR="00872660">
            <w:rPr>
              <w:sz w:val="28"/>
              <w:lang w:val="fr-BE"/>
            </w:rPr>
            <w:t>1</w:t>
          </w:r>
          <w:r>
            <w:rPr>
              <w:sz w:val="28"/>
              <w:lang w:val="fr-BE"/>
            </w:rPr>
            <w:t>)</w:t>
          </w:r>
        </w:p>
      </w:sdtContent>
    </w:sdt>
    <w:tbl>
      <w:tblPr>
        <w:tblStyle w:val="Cv-tabel"/>
        <w:tblW w:w="4964" w:type="pct"/>
        <w:tblLook w:val="04A0" w:firstRow="1" w:lastRow="0" w:firstColumn="1" w:lastColumn="0" w:noHBand="0" w:noVBand="1"/>
        <w:tblCaption w:val="Cv-tekst"/>
        <w:tblDescription w:val="Cv"/>
      </w:tblPr>
      <w:tblGrid>
        <w:gridCol w:w="1637"/>
        <w:gridCol w:w="396"/>
        <w:gridCol w:w="7643"/>
      </w:tblGrid>
      <w:tr w:rsidR="0067499A" w:rsidRPr="0083581E"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23EB31D4"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872660">
              <w:rPr>
                <w:lang w:val="fr-BE"/>
              </w:rPr>
              <w:t>du</w:t>
            </w:r>
            <w:r w:rsidR="0073518F">
              <w:rPr>
                <w:lang w:val="fr-BE"/>
              </w:rPr>
              <w:t xml:space="preserve"> « </w:t>
            </w:r>
            <w:r w:rsidR="00872660">
              <w:rPr>
                <w:lang w:val="fr-BE"/>
              </w:rPr>
              <w:t>comportement de fuite</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872660">
              <w:rPr>
                <w:lang w:val="fr-BE"/>
              </w:rPr>
              <w:t>3</w:t>
            </w:r>
            <w:r w:rsidRPr="005F4EF3">
              <w:rPr>
                <w:lang w:val="fr-BE"/>
              </w:rPr>
              <w:t>-</w:t>
            </w:r>
            <w:r w:rsidR="001C4D7A">
              <w:rPr>
                <w:lang w:val="fr-BE"/>
              </w:rPr>
              <w:t>B</w:t>
            </w:r>
            <w:r w:rsidR="00872660">
              <w:rPr>
                <w:lang w:val="fr-BE"/>
              </w:rPr>
              <w:t>7</w:t>
            </w:r>
            <w:r w:rsidRPr="005F4EF3">
              <w:rPr>
                <w:lang w:val="fr-BE"/>
              </w:rPr>
              <w:t>-</w:t>
            </w:r>
            <w:r w:rsidR="001C4D7A">
              <w:rPr>
                <w:lang w:val="fr-BE"/>
              </w:rPr>
              <w:t>B</w:t>
            </w:r>
            <w:r w:rsidR="004C17CD">
              <w:rPr>
                <w:lang w:val="fr-BE"/>
              </w:rPr>
              <w:t>1</w:t>
            </w:r>
            <w:r w:rsidR="00872660">
              <w:rPr>
                <w:lang w:val="fr-BE"/>
              </w:rPr>
              <w:t>1</w:t>
            </w:r>
            <w:r w:rsidRPr="005F4EF3">
              <w:rPr>
                <w:lang w:val="fr-BE"/>
              </w:rPr>
              <w:t>)</w:t>
            </w:r>
            <w:r w:rsidR="00684675">
              <w:rPr>
                <w:lang w:val="fr-BE"/>
              </w:rPr>
              <w:t>.</w:t>
            </w:r>
          </w:p>
          <w:p w14:paraId="2FF3C0AB" w14:textId="59310055"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872660">
              <w:rPr>
                <w:b/>
                <w:lang w:val="fr-BE"/>
              </w:rPr>
              <w:t>comportement de fuite</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r w:rsidR="00186426">
              <w:fldChar w:fldCharType="begin"/>
            </w:r>
            <w:r w:rsidR="00186426" w:rsidRPr="00186426">
              <w:rPr>
                <w:lang w:val="fr-BE"/>
              </w:rPr>
              <w:instrText xml:space="preserve"> HYPERLINK "https://www.health.belgium.be/sites/default/files/uploads/fields/fpshealth_theme_file/note_3ieme_pp_hp_0.pdf" </w:instrText>
            </w:r>
            <w:r w:rsidR="00186426">
              <w:fldChar w:fldCharType="separate"/>
            </w:r>
            <w:r w:rsidRPr="005C0BEF">
              <w:rPr>
                <w:rStyle w:val="Hyperlink"/>
                <w:lang w:val="fr-BE"/>
              </w:rPr>
              <w:t>troisième programme pluriannuel</w:t>
            </w:r>
            <w:r w:rsidR="005C0BEF" w:rsidRPr="005C0BEF">
              <w:rPr>
                <w:rStyle w:val="Hyperlink"/>
                <w:lang w:val="fr-BE"/>
              </w:rPr>
              <w:t>.</w:t>
            </w:r>
            <w:r w:rsidR="00186426">
              <w:rPr>
                <w:rStyle w:val="Hyperlink"/>
                <w:lang w:val="fr-BE"/>
              </w:rPr>
              <w:fldChar w:fldCharType="end"/>
            </w:r>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Tabelraster"/>
              <w:tblW w:w="7633" w:type="dxa"/>
              <w:tblLook w:val="04A0" w:firstRow="1" w:lastRow="0" w:firstColumn="1" w:lastColumn="0" w:noHBand="0" w:noVBand="1"/>
            </w:tblPr>
            <w:tblGrid>
              <w:gridCol w:w="780"/>
              <w:gridCol w:w="533"/>
              <w:gridCol w:w="6320"/>
            </w:tblGrid>
            <w:tr w:rsidR="004D10BC" w:rsidRPr="00186426" w14:paraId="2F544762" w14:textId="77777777" w:rsidTr="00872660">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7664492A" w:rsidR="004D10BC" w:rsidRDefault="005C1139" w:rsidP="004D10BC">
                  <w:pPr>
                    <w:jc w:val="both"/>
                    <w:rPr>
                      <w:lang w:val="nl-BE"/>
                    </w:rPr>
                  </w:pPr>
                  <w:r>
                    <w:rPr>
                      <w:lang w:val="nl-BE"/>
                    </w:rPr>
                    <w:t>B</w:t>
                  </w:r>
                  <w:r w:rsidR="00872660">
                    <w:rPr>
                      <w:lang w:val="nl-BE"/>
                    </w:rPr>
                    <w:t>3</w:t>
                  </w:r>
                </w:p>
              </w:tc>
              <w:tc>
                <w:tcPr>
                  <w:tcW w:w="6320" w:type="dxa"/>
                </w:tcPr>
                <w:p w14:paraId="65EF7B26" w14:textId="40944B3F" w:rsidR="004D10BC" w:rsidRPr="00752A8F" w:rsidRDefault="00872660" w:rsidP="004D10BC">
                  <w:pPr>
                    <w:jc w:val="both"/>
                    <w:rPr>
                      <w:lang w:val="fr-BE"/>
                    </w:rPr>
                  </w:pPr>
                  <w:r>
                    <w:rPr>
                      <w:lang w:val="fr-BE"/>
                    </w:rPr>
                    <w:t>Le comportement de fuite</w:t>
                  </w:r>
                  <w:r w:rsidR="004D10BC" w:rsidRPr="00752A8F">
                    <w:rPr>
                      <w:lang w:val="fr-BE"/>
                    </w:rPr>
                    <w:t xml:space="preserve"> par rapport à la transmission des informations </w:t>
                  </w:r>
                </w:p>
              </w:tc>
            </w:tr>
            <w:tr w:rsidR="004D10BC" w:rsidRPr="00186426" w14:paraId="2D9F9723" w14:textId="77777777" w:rsidTr="00872660">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43835503" w:rsidR="004D10BC" w:rsidRDefault="005C1139" w:rsidP="004D10BC">
                  <w:pPr>
                    <w:jc w:val="both"/>
                    <w:rPr>
                      <w:lang w:val="nl-BE"/>
                    </w:rPr>
                  </w:pPr>
                  <w:r>
                    <w:rPr>
                      <w:lang w:val="nl-BE"/>
                    </w:rPr>
                    <w:t>B</w:t>
                  </w:r>
                  <w:r w:rsidR="00872660">
                    <w:rPr>
                      <w:lang w:val="nl-BE"/>
                    </w:rPr>
                    <w:t>7</w:t>
                  </w:r>
                </w:p>
              </w:tc>
              <w:tc>
                <w:tcPr>
                  <w:tcW w:w="6320" w:type="dxa"/>
                </w:tcPr>
                <w:p w14:paraId="534F8B4B" w14:textId="66C08E18" w:rsidR="004D10BC" w:rsidRPr="00752A8F" w:rsidRDefault="00872660" w:rsidP="004D10BC">
                  <w:pPr>
                    <w:jc w:val="both"/>
                    <w:rPr>
                      <w:lang w:val="fr-BE"/>
                    </w:rPr>
                  </w:pPr>
                  <w:r>
                    <w:rPr>
                      <w:lang w:val="fr-BE"/>
                    </w:rPr>
                    <w:t>Le comportement de fuite</w:t>
                  </w:r>
                  <w:r w:rsidR="005C1139" w:rsidRPr="00752A8F">
                    <w:rPr>
                      <w:lang w:val="fr-BE"/>
                    </w:rPr>
                    <w:t xml:space="preserve"> </w:t>
                  </w:r>
                  <w:r w:rsidR="004D10BC" w:rsidRPr="00752A8F">
                    <w:rPr>
                      <w:lang w:val="fr-BE"/>
                    </w:rPr>
                    <w:t xml:space="preserve">par rapport à la participation du patient </w:t>
                  </w:r>
                </w:p>
              </w:tc>
            </w:tr>
            <w:tr w:rsidR="004D10BC" w:rsidRPr="00186426" w14:paraId="4F8C77D3" w14:textId="77777777" w:rsidTr="00872660">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A264F4A" w:rsidR="004D10BC" w:rsidRDefault="005C1139" w:rsidP="004D10BC">
                  <w:pPr>
                    <w:jc w:val="both"/>
                    <w:rPr>
                      <w:lang w:val="nl-BE"/>
                    </w:rPr>
                  </w:pPr>
                  <w:r>
                    <w:rPr>
                      <w:lang w:val="nl-BE"/>
                    </w:rPr>
                    <w:t>B</w:t>
                  </w:r>
                  <w:r w:rsidR="004C17CD">
                    <w:rPr>
                      <w:lang w:val="nl-BE"/>
                    </w:rPr>
                    <w:t>1</w:t>
                  </w:r>
                  <w:r w:rsidR="00872660">
                    <w:rPr>
                      <w:lang w:val="nl-BE"/>
                    </w:rPr>
                    <w:t>1</w:t>
                  </w:r>
                </w:p>
              </w:tc>
              <w:tc>
                <w:tcPr>
                  <w:tcW w:w="6320" w:type="dxa"/>
                </w:tcPr>
                <w:p w14:paraId="51DABCDE" w14:textId="2A51F902" w:rsidR="004D10BC" w:rsidRPr="00752A8F" w:rsidRDefault="00872660" w:rsidP="004D10BC">
                  <w:pPr>
                    <w:jc w:val="both"/>
                    <w:rPr>
                      <w:lang w:val="fr-BE"/>
                    </w:rPr>
                  </w:pPr>
                  <w:r>
                    <w:rPr>
                      <w:lang w:val="fr-BE"/>
                    </w:rPr>
                    <w:t>Le comportement de fuite</w:t>
                  </w:r>
                  <w:r w:rsidR="005C1139" w:rsidRPr="00752A8F">
                    <w:rPr>
                      <w:lang w:val="fr-BE"/>
                    </w:rPr>
                    <w:t xml:space="preserve"> </w:t>
                  </w:r>
                  <w:r w:rsidR="004D10BC" w:rsidRPr="00752A8F">
                    <w:rPr>
                      <w:lang w:val="fr-BE"/>
                    </w:rPr>
                    <w:t xml:space="preserve">par rapport au leadership, stratégie et politique </w:t>
                  </w:r>
                </w:p>
              </w:tc>
            </w:tr>
          </w:tbl>
          <w:p w14:paraId="551BE85B" w14:textId="77777777" w:rsidR="00E012C5" w:rsidRPr="005F4EF3" w:rsidRDefault="00E012C5" w:rsidP="0067499A">
            <w:pPr>
              <w:jc w:val="both"/>
              <w:rPr>
                <w:lang w:val="fr-BE"/>
              </w:rPr>
            </w:pPr>
          </w:p>
          <w:p w14:paraId="227CE8C0" w14:textId="78DBCA8D"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83581E">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186426" w14:paraId="7B4297E6" w14:textId="77777777" w:rsidTr="00A87357">
        <w:trPr>
          <w:trHeight w:val="772"/>
        </w:trPr>
        <w:tc>
          <w:tcPr>
            <w:tcW w:w="1701" w:type="dxa"/>
          </w:tcPr>
          <w:p w14:paraId="381C9563" w14:textId="77777777" w:rsidR="00AE3D58" w:rsidRDefault="005C0BEF" w:rsidP="0067499A">
            <w:pPr>
              <w:pStyle w:val="Kop1"/>
              <w:jc w:val="left"/>
            </w:pPr>
            <w:bookmarkStart w:id="0"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38A915E7"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186426">
              <w:rPr>
                <w:lang w:val="fr-BE"/>
              </w:rPr>
              <w:t>2022</w:t>
            </w:r>
            <w:r w:rsidRPr="005C0BEF">
              <w:rPr>
                <w:lang w:val="fr-BE"/>
              </w:rPr>
              <w:t xml:space="preserve"> sur </w:t>
            </w:r>
            <w:r w:rsidR="00872660">
              <w:rPr>
                <w:lang w:val="fr-BE"/>
              </w:rPr>
              <w:t>le comportement de fuite</w:t>
            </w:r>
            <w:r w:rsidRPr="005C0BEF">
              <w:rPr>
                <w:lang w:val="fr-BE"/>
              </w:rPr>
              <w:t>.</w:t>
            </w:r>
          </w:p>
          <w:p w14:paraId="15D72F69" w14:textId="77777777" w:rsidR="00C50059" w:rsidRPr="005C0BEF" w:rsidRDefault="00C50059" w:rsidP="00872F11">
            <w:pPr>
              <w:rPr>
                <w:lang w:val="fr-BE"/>
              </w:rPr>
            </w:pPr>
          </w:p>
        </w:tc>
      </w:tr>
      <w:tr w:rsidR="00AE3D58" w:rsidRPr="00186426" w14:paraId="50F8801D" w14:textId="77777777" w:rsidTr="00A87357">
        <w:tc>
          <w:tcPr>
            <w:tcW w:w="1701" w:type="dxa"/>
          </w:tcPr>
          <w:p w14:paraId="44CA3AB4" w14:textId="77777777" w:rsidR="00AE3D58" w:rsidRDefault="005C0BEF" w:rsidP="00BF2785">
            <w:pPr>
              <w:pStyle w:val="Kop1"/>
              <w:jc w:val="left"/>
            </w:pPr>
            <w:bookmarkStart w:id="1"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25717867"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186426">
              <w:rPr>
                <w:lang w:val="fr-BE"/>
              </w:rPr>
              <w:t>2022</w:t>
            </w:r>
            <w:r w:rsidRPr="005C0BEF">
              <w:rPr>
                <w:lang w:val="fr-BE"/>
              </w:rPr>
              <w:t xml:space="preserve"> sur </w:t>
            </w:r>
            <w:r w:rsidR="00872660">
              <w:rPr>
                <w:lang w:val="fr-BE"/>
              </w:rPr>
              <w:t>le comportement de fuite</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0"/>
      <w:tr w:rsidR="00785A9A" w:rsidRPr="00186426"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5A8F1666"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186426">
              <w:rPr>
                <w:lang w:val="fr-BE"/>
              </w:rPr>
              <w:t>2022</w:t>
            </w:r>
            <w:r w:rsidRPr="005C0BEF">
              <w:rPr>
                <w:lang w:val="fr-BE"/>
              </w:rPr>
              <w:t>, concernant</w:t>
            </w:r>
            <w:r>
              <w:rPr>
                <w:lang w:val="fr-BE"/>
              </w:rPr>
              <w:t xml:space="preserve"> </w:t>
            </w:r>
            <w:r w:rsidR="00872660">
              <w:rPr>
                <w:lang w:val="fr-BE"/>
              </w:rPr>
              <w:t>le comportement de fuite</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1"/>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lastRenderedPageBreak/>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186426" w14:paraId="402ED82F" w14:textId="77777777" w:rsidTr="00A87357">
        <w:trPr>
          <w:trHeight w:val="772"/>
        </w:trPr>
        <w:tc>
          <w:tcPr>
            <w:tcW w:w="1701" w:type="dxa"/>
          </w:tcPr>
          <w:p w14:paraId="55028C89" w14:textId="77777777" w:rsidR="00785A9A" w:rsidRDefault="005C0BEF" w:rsidP="00785A9A">
            <w:pPr>
              <w:pStyle w:val="Kop1"/>
              <w:jc w:val="left"/>
            </w:pPr>
            <w:bookmarkStart w:id="2" w:name="_Hlk534974350"/>
            <w:r>
              <w:rPr>
                <w:lang w:bidi="nl-NL"/>
              </w:rPr>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186426"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2"/>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186426"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6B20C2EC"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w:t>
            </w:r>
            <w:r w:rsidR="00872660">
              <w:rPr>
                <w:b/>
                <w:i/>
                <w:color w:val="FF0000"/>
                <w:lang w:val="fr-BE"/>
              </w:rPr>
              <w:t>6</w:t>
            </w:r>
            <w:r w:rsidR="00DD3762" w:rsidRPr="005B53D6">
              <w:rPr>
                <w:b/>
                <w:i/>
                <w:color w:val="FF0000"/>
                <w:lang w:val="fr-BE"/>
              </w:rPr>
              <w:t xml:space="preserve">- </w:t>
            </w:r>
            <w:r w:rsidR="00872660">
              <w:rPr>
                <w:b/>
                <w:i/>
                <w:color w:val="FF0000"/>
                <w:lang w:val="fr-BE"/>
              </w:rPr>
              <w:t>comportement de fuite</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186426" w14:paraId="46CFBB10" w14:textId="77777777" w:rsidTr="00DD68AA">
        <w:trPr>
          <w:trHeight w:val="772"/>
        </w:trPr>
        <w:tc>
          <w:tcPr>
            <w:tcW w:w="1701" w:type="dxa"/>
          </w:tcPr>
          <w:p w14:paraId="61295EEE" w14:textId="22094C9D"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13C54B41" w14:textId="77777777" w:rsidR="00872660" w:rsidRPr="00A575B3" w:rsidRDefault="00872660" w:rsidP="00872660">
            <w:pPr>
              <w:spacing w:line="360" w:lineRule="auto"/>
              <w:rPr>
                <w:rStyle w:val="Kop3Char"/>
                <w:lang w:val="fr-FR"/>
              </w:rPr>
            </w:pPr>
            <w:bookmarkStart w:id="3" w:name="_Toc512494609"/>
            <w:bookmarkStart w:id="4" w:name="_Toc510771114"/>
            <w:bookmarkStart w:id="5" w:name="_Toc514414753"/>
            <w:bookmarkStart w:id="6" w:name="_Toc515271401"/>
            <w:bookmarkStart w:id="7" w:name="_Toc517343941"/>
            <w:bookmarkStart w:id="8" w:name="_Toc517344693"/>
            <w:r w:rsidRPr="0083581E">
              <w:rPr>
                <w:rStyle w:val="Kop3Char"/>
                <w:lang w:val="fr-BE"/>
              </w:rPr>
              <w:t xml:space="preserve">Critère </w:t>
            </w:r>
            <w:r w:rsidRPr="00A575B3">
              <w:rPr>
                <w:rStyle w:val="Kop3Char"/>
                <w:lang w:val="fr-FR"/>
              </w:rPr>
              <w:t>B3</w:t>
            </w:r>
          </w:p>
          <w:p w14:paraId="12E4AF1E" w14:textId="77777777" w:rsidR="00872660" w:rsidRPr="00872660" w:rsidRDefault="00872660" w:rsidP="00872660">
            <w:pPr>
              <w:spacing w:line="360" w:lineRule="auto"/>
              <w:rPr>
                <w:rFonts w:asciiTheme="majorHAnsi" w:hAnsiTheme="majorHAnsi"/>
                <w:b/>
                <w:bCs/>
                <w:i/>
                <w:lang w:val="fr-FR"/>
              </w:rPr>
            </w:pPr>
            <w:bookmarkStart w:id="9" w:name="_Toc514414759"/>
            <w:bookmarkStart w:id="10" w:name="_Toc515271407"/>
            <w:bookmarkStart w:id="11" w:name="_Toc517343947"/>
            <w:bookmarkStart w:id="12" w:name="_Toc517344699"/>
            <w:r w:rsidRPr="0083581E">
              <w:rPr>
                <w:rStyle w:val="Kop3Char"/>
                <w:b w:val="0"/>
                <w:i/>
                <w:lang w:val="fr-BE"/>
              </w:rPr>
              <w:t>Organiser la transmission des informations relatives au comportement de fuite de manière à garantir de façon optimale la sécurité des patients et la qualité.</w:t>
            </w:r>
            <w:bookmarkEnd w:id="9"/>
            <w:bookmarkEnd w:id="10"/>
            <w:bookmarkEnd w:id="11"/>
            <w:bookmarkEnd w:id="12"/>
            <w:r w:rsidRPr="00872660">
              <w:rPr>
                <w:rFonts w:asciiTheme="majorHAnsi" w:hAnsiTheme="majorHAnsi"/>
                <w:b/>
                <w:i/>
                <w:lang w:val="fr-FR"/>
              </w:rPr>
              <w:tab/>
            </w:r>
          </w:p>
          <w:p w14:paraId="6A1ED5B5"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Une évaluation des risques est systématiquement effectuée lors de l’admission.</w:t>
            </w:r>
          </w:p>
          <w:p w14:paraId="3BF9695B"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est possible de recourir à une fonction de consultation dans des situations de soins complexes selon la rupture du cycle d’escalade.</w:t>
            </w:r>
          </w:p>
          <w:p w14:paraId="6A4B9169"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existe un plan actuel de traitement interdisciplinaire avec mention de la date d’évaluation.</w:t>
            </w:r>
          </w:p>
          <w:p w14:paraId="701662AD"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existe un document de disparition inquiétante dans le dossier patient informatisé.</w:t>
            </w:r>
          </w:p>
          <w:p w14:paraId="25D47884"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y a un seul responsable du suivi renforcé du patient par shift d'infirmiers.</w:t>
            </w:r>
          </w:p>
          <w:p w14:paraId="6320288F"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Un accord de coopération est conclu avec la police.</w:t>
            </w:r>
          </w:p>
          <w:p w14:paraId="63C0D029"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Le risque de comportement de fuite est évalué lors des moments de transfert.</w:t>
            </w:r>
          </w:p>
          <w:p w14:paraId="76FEA968"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Chez les patients à risque de comportement de fuite, une fiche détaillée relative notamment à la description individuelle est élaborée à l’avance.</w:t>
            </w:r>
          </w:p>
          <w:p w14:paraId="22B5E5EE"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Lors d’un transfert en interne, une transmission détaillée des informations sur le risque de fuite est prévue.</w:t>
            </w:r>
          </w:p>
          <w:p w14:paraId="3742ABB6" w14:textId="77777777" w:rsidR="00872660" w:rsidRPr="00A575B3" w:rsidRDefault="00872660" w:rsidP="00872660">
            <w:pPr>
              <w:pStyle w:val="Lijstalinea"/>
              <w:spacing w:before="120" w:after="100" w:line="360" w:lineRule="auto"/>
              <w:rPr>
                <w:rFonts w:asciiTheme="majorHAnsi" w:hAnsiTheme="majorHAnsi"/>
                <w:highlight w:val="yellow"/>
                <w:lang w:val="fr-FR"/>
              </w:rPr>
            </w:pPr>
          </w:p>
          <w:p w14:paraId="13C22D34" w14:textId="77777777" w:rsidR="00872660" w:rsidRPr="00A575B3" w:rsidRDefault="00872660" w:rsidP="00872660">
            <w:pPr>
              <w:spacing w:line="360" w:lineRule="auto"/>
              <w:rPr>
                <w:rFonts w:asciiTheme="majorHAnsi" w:hAnsiTheme="majorHAnsi"/>
                <w:b/>
                <w:lang w:val="fr-FR"/>
              </w:rPr>
            </w:pPr>
            <w:r w:rsidRPr="0083581E">
              <w:rPr>
                <w:rStyle w:val="Kop3Char"/>
                <w:lang w:val="fr-BE"/>
              </w:rPr>
              <w:t xml:space="preserve">Critère </w:t>
            </w:r>
            <w:r w:rsidRPr="00872660">
              <w:rPr>
                <w:rStyle w:val="Kop3Char"/>
                <w:lang w:val="fr-FR"/>
              </w:rPr>
              <w:t>B</w:t>
            </w:r>
            <w:r w:rsidRPr="00A575B3">
              <w:rPr>
                <w:rStyle w:val="Kop3Char"/>
                <w:lang w:val="fr-FR"/>
              </w:rPr>
              <w:t xml:space="preserve"> 7 </w:t>
            </w:r>
          </w:p>
          <w:p w14:paraId="1B4CCD54" w14:textId="77777777" w:rsidR="00872660" w:rsidRPr="0083581E" w:rsidRDefault="00872660" w:rsidP="00872660">
            <w:pPr>
              <w:spacing w:line="360" w:lineRule="auto"/>
              <w:rPr>
                <w:rStyle w:val="Kop3Char"/>
                <w:b w:val="0"/>
                <w:i/>
                <w:lang w:val="fr-BE"/>
              </w:rPr>
            </w:pPr>
            <w:bookmarkStart w:id="13" w:name="_Toc514414760"/>
            <w:bookmarkStart w:id="14" w:name="_Toc515271408"/>
            <w:bookmarkStart w:id="15" w:name="_Toc517343948"/>
            <w:bookmarkStart w:id="16" w:name="_Toc517344700"/>
            <w:r w:rsidRPr="0083581E">
              <w:rPr>
                <w:rStyle w:val="Kop3Char"/>
                <w:b w:val="0"/>
                <w:i/>
                <w:lang w:val="fr-BE"/>
              </w:rPr>
              <w:t>Organiser la participation du patient et de sa famille à la prévention et au suivi dans le cadre du comportement de fuite de telle sorte que le patient soit informé en détail à ce sujet, contribue activement et puisse agir en toutes circonstances de manière autonome et adaptée.</w:t>
            </w:r>
            <w:bookmarkEnd w:id="13"/>
            <w:bookmarkEnd w:id="14"/>
            <w:bookmarkEnd w:id="15"/>
            <w:bookmarkEnd w:id="16"/>
          </w:p>
          <w:p w14:paraId="6C6DD426"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Si un risque de fuite existe, une fiche de signalement/fiche de crise est rédigée avec le patient et ses proches, en faisant attention aux triggers (déclencheurs) et mécanismes d’adaptation. Des accords sont clairement rédigés et font toujours l’objet d’évaluation et d’ajustement au besoin (certainement après une fugue).</w:t>
            </w:r>
          </w:p>
          <w:p w14:paraId="4C709E54"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Le patient est informé des conditions en cas d’hospitalisation.</w:t>
            </w:r>
          </w:p>
          <w:p w14:paraId="1776E558"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Des experts du vécu sont mobilisés.</w:t>
            </w:r>
          </w:p>
          <w:p w14:paraId="474918DD"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Les patients et leurs proches peuvent participer à la politique en matière de sécurité.</w:t>
            </w:r>
          </w:p>
          <w:p w14:paraId="5A4BC374"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Des accords de sortie individuels sont conclus sur mesure pour un unique patient, avec des cartes de sortie qui reprennent le statut individuel.</w:t>
            </w:r>
          </w:p>
          <w:p w14:paraId="27962BEF"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Après une fuite, une évaluation est effectuée avec le patient et des tiers pertinents.</w:t>
            </w:r>
          </w:p>
          <w:p w14:paraId="12AE8987" w14:textId="77777777" w:rsidR="00872660" w:rsidRPr="0083581E" w:rsidRDefault="00872660" w:rsidP="00872660">
            <w:pPr>
              <w:spacing w:line="360" w:lineRule="auto"/>
              <w:rPr>
                <w:rStyle w:val="Kop3Char"/>
                <w:lang w:val="fr-BE"/>
              </w:rPr>
            </w:pPr>
          </w:p>
          <w:p w14:paraId="15F5EE5D" w14:textId="77777777" w:rsidR="00872660" w:rsidRPr="0083581E" w:rsidRDefault="00872660" w:rsidP="00872660">
            <w:pPr>
              <w:spacing w:line="360" w:lineRule="auto"/>
              <w:rPr>
                <w:rStyle w:val="Kop3Char"/>
                <w:lang w:val="fr-BE"/>
              </w:rPr>
            </w:pPr>
          </w:p>
          <w:p w14:paraId="47202DCA" w14:textId="4CDEAF3F" w:rsidR="00872660" w:rsidRPr="00A575B3" w:rsidRDefault="00872660" w:rsidP="00872660">
            <w:pPr>
              <w:spacing w:line="360" w:lineRule="auto"/>
              <w:rPr>
                <w:rStyle w:val="Kop3Char"/>
                <w:lang w:val="fr-FR"/>
              </w:rPr>
            </w:pPr>
            <w:r w:rsidRPr="0083581E">
              <w:rPr>
                <w:rStyle w:val="Kop3Char"/>
                <w:lang w:val="fr-BE"/>
              </w:rPr>
              <w:lastRenderedPageBreak/>
              <w:t xml:space="preserve">Critère </w:t>
            </w:r>
            <w:r w:rsidRPr="00A575B3">
              <w:rPr>
                <w:rStyle w:val="Kop3Char"/>
                <w:lang w:val="fr-FR"/>
              </w:rPr>
              <w:t xml:space="preserve">B 11 </w:t>
            </w:r>
          </w:p>
          <w:p w14:paraId="3889808A" w14:textId="77777777" w:rsidR="00872660" w:rsidRPr="0083581E" w:rsidRDefault="00872660" w:rsidP="00872660">
            <w:pPr>
              <w:spacing w:line="360" w:lineRule="auto"/>
              <w:rPr>
                <w:rStyle w:val="Kop3Char"/>
                <w:b w:val="0"/>
                <w:i/>
                <w:lang w:val="fr-BE"/>
              </w:rPr>
            </w:pPr>
            <w:bookmarkStart w:id="17" w:name="_Toc514414761"/>
            <w:bookmarkStart w:id="18" w:name="_Toc515271409"/>
            <w:bookmarkStart w:id="19" w:name="_Toc517343949"/>
            <w:bookmarkStart w:id="20" w:name="_Toc517344701"/>
            <w:r w:rsidRPr="0083581E">
              <w:rPr>
                <w:rStyle w:val="Kop3Char"/>
                <w:b w:val="0"/>
                <w:i/>
                <w:lang w:val="fr-BE"/>
              </w:rPr>
              <w:t>Développer une stratégie et une politique en matière de comportement de fuite de manière à garantir de façon optimale la sécurité des patients et la qualité.</w:t>
            </w:r>
            <w:bookmarkEnd w:id="17"/>
            <w:bookmarkEnd w:id="18"/>
            <w:bookmarkEnd w:id="19"/>
            <w:bookmarkEnd w:id="20"/>
          </w:p>
          <w:p w14:paraId="0E150607"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bookmarkStart w:id="21" w:name="_Toc512494612"/>
            <w:bookmarkStart w:id="22" w:name="_Toc510771117"/>
            <w:r w:rsidRPr="00A575B3">
              <w:rPr>
                <w:rFonts w:asciiTheme="majorHAnsi" w:hAnsiTheme="majorHAnsi"/>
                <w:lang w:val="fr-FR"/>
              </w:rPr>
              <w:t>Il existe un texte de vision relatif à la gestion du comportement de fuite. Une évaluation à cet égard doit toujours être effectuée pour connaître les éventuelles conséquences/risques potentiels du comportement de fuite (notamment risque de suicide, d’agression, de décès dû p.ex. à la confusion, etc.).</w:t>
            </w:r>
          </w:p>
          <w:p w14:paraId="5794F07D"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est possible au sein des établissements de placer temporairement dans un service fermé des patients présentant un risque accru de comportement de fuite, combiné à des facteurs de risque comme le suicide ou l'agression violente. Si une telle mesure n’est pas possible, il existe des SLA (</w:t>
            </w:r>
            <w:r w:rsidRPr="00735B81">
              <w:rPr>
                <w:rFonts w:asciiTheme="majorHAnsi" w:hAnsiTheme="majorHAnsi"/>
                <w:i/>
                <w:lang w:val="fr-FR"/>
              </w:rPr>
              <w:t xml:space="preserve">service </w:t>
            </w:r>
            <w:proofErr w:type="spellStart"/>
            <w:r w:rsidRPr="00735B81">
              <w:rPr>
                <w:rFonts w:asciiTheme="majorHAnsi" w:hAnsiTheme="majorHAnsi"/>
                <w:i/>
                <w:lang w:val="fr-FR"/>
              </w:rPr>
              <w:t>level</w:t>
            </w:r>
            <w:proofErr w:type="spellEnd"/>
            <w:r w:rsidRPr="00735B81">
              <w:rPr>
                <w:rFonts w:asciiTheme="majorHAnsi" w:hAnsiTheme="majorHAnsi"/>
                <w:i/>
                <w:lang w:val="fr-FR"/>
              </w:rPr>
              <w:t xml:space="preserve"> agreement</w:t>
            </w:r>
            <w:r w:rsidRPr="00A575B3">
              <w:rPr>
                <w:rFonts w:asciiTheme="majorHAnsi" w:hAnsiTheme="majorHAnsi"/>
                <w:lang w:val="fr-FR"/>
              </w:rPr>
              <w:t>) avec d’autres établissements pouvant offrir ces soins.</w:t>
            </w:r>
          </w:p>
          <w:p w14:paraId="07DAE339"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Un système de </w:t>
            </w:r>
            <w:proofErr w:type="spellStart"/>
            <w:r w:rsidRPr="00735B81">
              <w:rPr>
                <w:rFonts w:asciiTheme="majorHAnsi" w:hAnsiTheme="majorHAnsi"/>
                <w:i/>
                <w:lang w:val="fr-FR"/>
              </w:rPr>
              <w:t>track</w:t>
            </w:r>
            <w:proofErr w:type="spellEnd"/>
            <w:r w:rsidRPr="00735B81">
              <w:rPr>
                <w:rFonts w:asciiTheme="majorHAnsi" w:hAnsiTheme="majorHAnsi"/>
                <w:i/>
                <w:lang w:val="fr-FR"/>
              </w:rPr>
              <w:t>-and-trace</w:t>
            </w:r>
            <w:r w:rsidRPr="00A575B3">
              <w:rPr>
                <w:rFonts w:asciiTheme="majorHAnsi" w:hAnsiTheme="majorHAnsi"/>
                <w:lang w:val="fr-FR"/>
              </w:rPr>
              <w:t xml:space="preserve"> est mis à disposition pour certains patients présentant un comportement de fuite (ex. personnes sujettes à la démence).</w:t>
            </w:r>
          </w:p>
          <w:p w14:paraId="734BC630"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Des accords structurels sont conclus avec la police locale par rapport au comportement à adopter à l’égard de patients qui commettent une fuite. À cet égard, il est également prévu dans la formation de la police un volet sur les affections psychiatriques.</w:t>
            </w:r>
          </w:p>
          <w:p w14:paraId="3CFF2064"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des directives stipulant la communication de ce genre d’incident auprès des familles.</w:t>
            </w:r>
          </w:p>
          <w:p w14:paraId="228A6709"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pour le signalement de disparition inquiétante.</w:t>
            </w:r>
          </w:p>
          <w:p w14:paraId="329F7B6B"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échelle clinique de prévention de crise (fonction d’expert au sein de l’organisation).</w:t>
            </w:r>
          </w:p>
          <w:p w14:paraId="2B4E85B9"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en cas d’admission forcée.</w:t>
            </w:r>
          </w:p>
          <w:p w14:paraId="7E6CD97A"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des procédures uniformes qui distinguent clairement la disparition inquiétante de la fugue ou encore de la fugue combinée à un statut juridique.</w:t>
            </w:r>
          </w:p>
          <w:p w14:paraId="30E02444"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Un protocole est élaboré avec des tiers (selon les unités de soins fermées).</w:t>
            </w:r>
          </w:p>
          <w:p w14:paraId="21DC23CA"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d’accueil des collaborateurs après des incidents difficiles.</w:t>
            </w:r>
          </w:p>
          <w:p w14:paraId="1555C31E"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Il existe une politique intégrale de prévention de crise prêtant attention à tous les niveaux de prévention – </w:t>
            </w:r>
            <w:proofErr w:type="spellStart"/>
            <w:r w:rsidRPr="00A575B3">
              <w:rPr>
                <w:rFonts w:asciiTheme="majorHAnsi" w:hAnsiTheme="majorHAnsi"/>
                <w:lang w:val="fr-FR"/>
              </w:rPr>
              <w:t>bottom</w:t>
            </w:r>
            <w:proofErr w:type="spellEnd"/>
            <w:r w:rsidRPr="00A575B3">
              <w:rPr>
                <w:rFonts w:asciiTheme="majorHAnsi" w:hAnsiTheme="majorHAnsi"/>
                <w:lang w:val="fr-FR"/>
              </w:rPr>
              <w:t xml:space="preserve"> up mise en forme de la politique  par la participation des collaborateurs (validation expertise disponible) et par celle des patients et de leurs proches.</w:t>
            </w:r>
          </w:p>
          <w:p w14:paraId="162B1B5C" w14:textId="77777777" w:rsidR="00872660" w:rsidRPr="00666290"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Il existe un suivi/contrôle systématique avec des analyses de tendance et des recommandations. </w:t>
            </w:r>
          </w:p>
          <w:bookmarkEnd w:id="21"/>
          <w:bookmarkEnd w:id="22"/>
          <w:bookmarkEnd w:id="3"/>
          <w:bookmarkEnd w:id="4"/>
          <w:bookmarkEnd w:id="5"/>
          <w:bookmarkEnd w:id="6"/>
          <w:bookmarkEnd w:id="7"/>
          <w:bookmarkEnd w:id="8"/>
          <w:p w14:paraId="29649D7F" w14:textId="77777777" w:rsid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p>
          <w:p w14:paraId="75869359" w14:textId="2070D7FF" w:rsidR="005C1139" w:rsidRPr="0007208A" w:rsidRDefault="005C1139" w:rsidP="00872660">
            <w:pPr>
              <w:pStyle w:val="Lijstalinea"/>
              <w:spacing w:before="0" w:line="360" w:lineRule="auto"/>
              <w:ind w:left="360"/>
              <w:rPr>
                <w:lang w:val="fr-FR"/>
              </w:rPr>
            </w:pPr>
          </w:p>
        </w:tc>
      </w:tr>
      <w:tr w:rsidR="00DD3762" w:rsidRPr="00186426"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2"/>
      <w:headerReference w:type="default" r:id="rId13"/>
      <w:footerReference w:type="even" r:id="rId14"/>
      <w:footerReference w:type="default" r:id="rId15"/>
      <w:headerReference w:type="first" r:id="rId16"/>
      <w:footerReference w:type="first" r:id="rId17"/>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50"/>
      <w:gridCol w:w="4896"/>
    </w:tblGrid>
    <w:tr w:rsidR="00AE3D58" w:rsidRPr="00186426"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4A48E1DF" w:rsidR="00AE3D58" w:rsidRPr="005F4EF3" w:rsidRDefault="00872660">
              <w:pPr>
                <w:pStyle w:val="Voettekst"/>
                <w:jc w:val="right"/>
                <w:rPr>
                  <w:lang w:val="fr-BE"/>
                </w:rPr>
              </w:pPr>
              <w:r>
                <w:rPr>
                  <w:lang w:val="fr-BE"/>
                </w:rPr>
                <w:t>Template sur le comportement de fuite (critères B3– B7– B11)</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FC11BF"/>
    <w:multiLevelType w:val="hybridMultilevel"/>
    <w:tmpl w:val="89260D9C"/>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5B3F12"/>
    <w:multiLevelType w:val="hybridMultilevel"/>
    <w:tmpl w:val="2D8A92C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9" w15:restartNumberingAfterBreak="0">
    <w:nsid w:val="6A5E5F99"/>
    <w:multiLevelType w:val="hybridMultilevel"/>
    <w:tmpl w:val="A93CFBA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
  </w:num>
  <w:num w:numId="4">
    <w:abstractNumId w:val="0"/>
  </w:num>
  <w:num w:numId="5">
    <w:abstractNumId w:val="3"/>
  </w:num>
  <w:num w:numId="6">
    <w:abstractNumId w:val="4"/>
  </w:num>
  <w:num w:numId="7">
    <w:abstractNumId w:val="11"/>
  </w:num>
  <w:num w:numId="8">
    <w:abstractNumId w:val="10"/>
  </w:num>
  <w:num w:numId="9">
    <w:abstractNumId w:val="2"/>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399A"/>
    <w:rsid w:val="00147F56"/>
    <w:rsid w:val="001728F6"/>
    <w:rsid w:val="00186426"/>
    <w:rsid w:val="001A27AE"/>
    <w:rsid w:val="001C4D7A"/>
    <w:rsid w:val="00285595"/>
    <w:rsid w:val="002959CC"/>
    <w:rsid w:val="002A6C12"/>
    <w:rsid w:val="002F5DC9"/>
    <w:rsid w:val="0032547C"/>
    <w:rsid w:val="0039568D"/>
    <w:rsid w:val="003C3E1B"/>
    <w:rsid w:val="003C6420"/>
    <w:rsid w:val="003D5030"/>
    <w:rsid w:val="003F09D9"/>
    <w:rsid w:val="00416BA1"/>
    <w:rsid w:val="004708A3"/>
    <w:rsid w:val="004A4316"/>
    <w:rsid w:val="004C17CD"/>
    <w:rsid w:val="004C594A"/>
    <w:rsid w:val="004D10BC"/>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3581E"/>
    <w:rsid w:val="00846002"/>
    <w:rsid w:val="008471CA"/>
    <w:rsid w:val="008510D9"/>
    <w:rsid w:val="008643B4"/>
    <w:rsid w:val="00872660"/>
    <w:rsid w:val="00872F11"/>
    <w:rsid w:val="00902B46"/>
    <w:rsid w:val="00921776"/>
    <w:rsid w:val="00977880"/>
    <w:rsid w:val="009C376B"/>
    <w:rsid w:val="00A87357"/>
    <w:rsid w:val="00AD3B25"/>
    <w:rsid w:val="00AE3D58"/>
    <w:rsid w:val="00B23CE0"/>
    <w:rsid w:val="00B642F3"/>
    <w:rsid w:val="00B64A9C"/>
    <w:rsid w:val="00B74E28"/>
    <w:rsid w:val="00BC44B2"/>
    <w:rsid w:val="00BE407C"/>
    <w:rsid w:val="00BF2785"/>
    <w:rsid w:val="00C50059"/>
    <w:rsid w:val="00D051DE"/>
    <w:rsid w:val="00D90468"/>
    <w:rsid w:val="00D93CC9"/>
    <w:rsid w:val="00DC52E1"/>
    <w:rsid w:val="00DD3762"/>
    <w:rsid w:val="00DD3CF1"/>
    <w:rsid w:val="00DD68AA"/>
    <w:rsid w:val="00E012C5"/>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0</TotalTime>
  <Pages>6</Pages>
  <Words>1183</Words>
  <Characters>6511</Characters>
  <Application>Microsoft Office Word</Application>
  <DocSecurity>0</DocSecurity>
  <Lines>54</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 comportement de fuite (critères B3– B7– B11)</dc:creator>
  <cp:keywords/>
  <cp:lastModifiedBy>Hilde Peleman (SPF Santé Publique - FOD Volksgezondheid)</cp:lastModifiedBy>
  <cp:revision>6</cp:revision>
  <dcterms:created xsi:type="dcterms:W3CDTF">2019-12-03T15:48:00Z</dcterms:created>
  <dcterms:modified xsi:type="dcterms:W3CDTF">2022-11-07T08:15:00Z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