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DE2" w:rsidRPr="006F64AB" w:rsidRDefault="002A6DE2">
      <w:pPr>
        <w:spacing w:line="100" w:lineRule="exact"/>
        <w:rPr>
          <w:lang w:val="fr-BE"/>
        </w:rPr>
        <w:sectPr w:rsidR="002A6DE2" w:rsidRPr="006F64AB" w:rsidSect="00C15049">
          <w:headerReference w:type="even" r:id="rId7"/>
          <w:headerReference w:type="default" r:id="rId8"/>
          <w:footerReference w:type="even" r:id="rId9"/>
          <w:footerReference w:type="default" r:id="rId10"/>
          <w:headerReference w:type="first" r:id="rId11"/>
          <w:footerReference w:type="first" r:id="rId12"/>
          <w:pgSz w:w="11906" w:h="16838"/>
          <w:pgMar w:top="1955" w:right="1418" w:bottom="1418" w:left="1701" w:header="709" w:footer="709" w:gutter="0"/>
          <w:cols w:space="708"/>
          <w:titlePg/>
          <w:docGrid w:linePitch="360"/>
        </w:sectPr>
      </w:pPr>
    </w:p>
    <w:p w:rsidR="001B7C68" w:rsidRDefault="001B7C68" w:rsidP="001B7C68">
      <w:pPr>
        <w:shd w:val="clear" w:color="auto" w:fill="FFFFFF"/>
        <w:spacing w:line="300" w:lineRule="atLeast"/>
        <w:rPr>
          <w:rFonts w:ascii="Arial" w:hAnsi="Arial" w:cs="Arial"/>
          <w:color w:val="000000"/>
          <w:sz w:val="20"/>
          <w:szCs w:val="20"/>
          <w:lang w:val="fr-FR"/>
        </w:rPr>
      </w:pPr>
      <w:r>
        <w:rPr>
          <w:rFonts w:ascii="Arial" w:hAnsi="Arial" w:cs="Arial"/>
          <w:color w:val="000000"/>
          <w:sz w:val="20"/>
          <w:szCs w:val="20"/>
          <w:lang w:val="fr-FR"/>
        </w:rPr>
        <w:lastRenderedPageBreak/>
        <w:t xml:space="preserve">03/02/2011 </w:t>
      </w:r>
    </w:p>
    <w:p w:rsidR="001B7C68" w:rsidRPr="001B7C68" w:rsidRDefault="001B7C68" w:rsidP="001B7C68">
      <w:pPr>
        <w:shd w:val="clear" w:color="auto" w:fill="FFFFFF"/>
        <w:spacing w:before="480" w:after="240" w:line="300" w:lineRule="atLeast"/>
        <w:ind w:left="480"/>
        <w:outlineLvl w:val="1"/>
        <w:rPr>
          <w:rFonts w:ascii="Arial" w:hAnsi="Arial" w:cs="Arial"/>
          <w:b/>
          <w:bCs/>
          <w:color w:val="76923C" w:themeColor="accent3" w:themeShade="BF"/>
          <w:kern w:val="36"/>
          <w:sz w:val="22"/>
          <w:szCs w:val="20"/>
          <w:lang w:val="fr-FR" w:eastAsia="en-US"/>
        </w:rPr>
      </w:pPr>
      <w:r w:rsidRPr="001B7C68">
        <w:rPr>
          <w:rFonts w:ascii="Arial" w:hAnsi="Arial" w:cs="Arial"/>
          <w:b/>
          <w:bCs/>
          <w:color w:val="76923C" w:themeColor="accent3" w:themeShade="BF"/>
          <w:kern w:val="36"/>
          <w:sz w:val="22"/>
          <w:szCs w:val="20"/>
          <w:lang w:val="fr-FR"/>
        </w:rPr>
        <w:t>Edulcorants artificiels</w:t>
      </w:r>
      <w:r>
        <w:rPr>
          <w:rFonts w:ascii="Arial" w:hAnsi="Arial" w:cs="Arial"/>
          <w:b/>
          <w:bCs/>
          <w:color w:val="76923C" w:themeColor="accent3" w:themeShade="BF"/>
          <w:kern w:val="36"/>
          <w:sz w:val="22"/>
          <w:szCs w:val="20"/>
          <w:lang w:val="fr-FR"/>
        </w:rPr>
        <w:t xml:space="preserve"> </w:t>
      </w:r>
      <w:r w:rsidRPr="001B7C68">
        <w:rPr>
          <w:rFonts w:ascii="Arial" w:hAnsi="Arial" w:cs="Arial"/>
          <w:b/>
          <w:bCs/>
          <w:color w:val="76923C" w:themeColor="accent3" w:themeShade="BF"/>
          <w:kern w:val="36"/>
          <w:sz w:val="22"/>
          <w:szCs w:val="20"/>
          <w:lang w:val="fr-FR"/>
        </w:rPr>
        <w:t>: pas de risque</w:t>
      </w:r>
    </w:p>
    <w:p w:rsidR="001B7C68" w:rsidRDefault="001B7C68" w:rsidP="001B7C68">
      <w:pPr>
        <w:shd w:val="clear" w:color="auto" w:fill="FFFFFF"/>
        <w:spacing w:line="300" w:lineRule="atLeast"/>
        <w:rPr>
          <w:rFonts w:ascii="Verdana" w:hAnsi="Verdana" w:cs="Arial"/>
          <w:color w:val="666666"/>
          <w:sz w:val="17"/>
          <w:szCs w:val="17"/>
          <w:lang w:val="fr-FR"/>
        </w:rPr>
      </w:pPr>
      <w:r>
        <w:rPr>
          <w:rStyle w:val="lev"/>
          <w:rFonts w:ascii="Verdana" w:hAnsi="Verdana" w:cs="Arial"/>
          <w:color w:val="666666"/>
          <w:sz w:val="17"/>
          <w:szCs w:val="17"/>
          <w:lang w:val="fr-FR"/>
        </w:rPr>
        <w:t>Une étude réalisée par l’Institut Scientifique de Santé publique, sur commande du SPF Santé publique, Sécurité de la Chaîne alimentaire et environnement, montre que les consommateurs adultes de notre pays ne court pas de risque d’ingérer une quantité trop élevée d’édulcorants artificiels par l’alimentation. Même les diabétiques et les personnes qui consomment fréquemment des produits “light” ne court pas de risque de trop en ingérer.</w:t>
      </w:r>
    </w:p>
    <w:p w:rsidR="001B7C68" w:rsidRDefault="001B7C68" w:rsidP="001B7C68">
      <w:pPr>
        <w:shd w:val="clear" w:color="auto" w:fill="FFFFFF"/>
        <w:spacing w:before="240" w:after="240" w:line="348" w:lineRule="atLeast"/>
        <w:rPr>
          <w:rFonts w:ascii="Verdana" w:hAnsi="Verdana" w:cs="Arial"/>
          <w:color w:val="666666"/>
          <w:sz w:val="17"/>
          <w:szCs w:val="17"/>
          <w:lang w:val="fr-FR"/>
        </w:rPr>
      </w:pPr>
      <w:r>
        <w:rPr>
          <w:rFonts w:ascii="Verdana" w:hAnsi="Verdana" w:cs="Arial"/>
          <w:color w:val="666666"/>
          <w:sz w:val="17"/>
          <w:szCs w:val="17"/>
          <w:lang w:val="fr-FR"/>
        </w:rPr>
        <w:t>Les édulcorants artificiels sont principalement utilisés dans les produits « light » pour remplacer les sucres naturels, et dans la fabrication de denrées alimentaires sans sucres ajoutés.</w:t>
      </w:r>
    </w:p>
    <w:p w:rsidR="001B7C68" w:rsidRDefault="001B7C68" w:rsidP="001B7C68">
      <w:pPr>
        <w:shd w:val="clear" w:color="auto" w:fill="FFFFFF"/>
        <w:spacing w:before="240" w:after="240" w:line="348" w:lineRule="atLeast"/>
        <w:rPr>
          <w:rFonts w:ascii="Verdana" w:hAnsi="Verdana" w:cs="Arial"/>
          <w:color w:val="666666"/>
          <w:sz w:val="17"/>
          <w:szCs w:val="17"/>
          <w:lang w:val="fr-FR"/>
        </w:rPr>
      </w:pPr>
      <w:r>
        <w:rPr>
          <w:rFonts w:ascii="Verdana" w:hAnsi="Verdana" w:cs="Arial"/>
          <w:color w:val="666666"/>
          <w:sz w:val="17"/>
          <w:szCs w:val="17"/>
          <w:lang w:val="fr-FR"/>
        </w:rPr>
        <w:t>Les scientifiques de l’Institut Scientifique de Santé publique ont déterminé les teneurs de ces substances, tels que l’</w:t>
      </w:r>
      <w:proofErr w:type="spellStart"/>
      <w:r>
        <w:rPr>
          <w:rFonts w:ascii="Verdana" w:hAnsi="Verdana" w:cs="Arial"/>
          <w:color w:val="666666"/>
          <w:sz w:val="17"/>
          <w:szCs w:val="17"/>
          <w:lang w:val="fr-FR"/>
        </w:rPr>
        <w:t>acésulfame</w:t>
      </w:r>
      <w:proofErr w:type="spellEnd"/>
      <w:r>
        <w:rPr>
          <w:rFonts w:ascii="Verdana" w:hAnsi="Verdana" w:cs="Arial"/>
          <w:color w:val="666666"/>
          <w:sz w:val="17"/>
          <w:szCs w:val="17"/>
          <w:lang w:val="fr-FR"/>
        </w:rPr>
        <w:t xml:space="preserve">-K (E950), l’aspartame (E951), le cyclamate (E952), la saccharine (E954) et le </w:t>
      </w:r>
      <w:proofErr w:type="spellStart"/>
      <w:r>
        <w:rPr>
          <w:rFonts w:ascii="Verdana" w:hAnsi="Verdana" w:cs="Arial"/>
          <w:color w:val="666666"/>
          <w:sz w:val="17"/>
          <w:szCs w:val="17"/>
          <w:lang w:val="fr-FR"/>
        </w:rPr>
        <w:t>sucralose</w:t>
      </w:r>
      <w:proofErr w:type="spellEnd"/>
      <w:r>
        <w:rPr>
          <w:rFonts w:ascii="Verdana" w:hAnsi="Verdana" w:cs="Arial"/>
          <w:color w:val="666666"/>
          <w:sz w:val="17"/>
          <w:szCs w:val="17"/>
          <w:lang w:val="fr-FR"/>
        </w:rPr>
        <w:t xml:space="preserve"> (E955) dans plus de 130 denrées alimentaires représentatives sur le marché belge. Ces données ont été combinées à des données nationales de consommation alimentaire en vue d’évaluer la consommation d’édulcorants par la population adulte belge. Les chercheurs ont aussi examiné si l’ajout d’édulcorants de table au café, au thé et à d’autres préparations par le consommateur avait un effet.</w:t>
      </w:r>
    </w:p>
    <w:p w:rsidR="001B7C68" w:rsidRDefault="001B7C68" w:rsidP="001B7C68">
      <w:pPr>
        <w:shd w:val="clear" w:color="auto" w:fill="FFFFFF"/>
        <w:spacing w:before="240" w:after="240" w:line="348" w:lineRule="atLeast"/>
        <w:rPr>
          <w:rFonts w:ascii="Verdana" w:hAnsi="Verdana" w:cs="Arial"/>
          <w:color w:val="666666"/>
          <w:sz w:val="17"/>
          <w:szCs w:val="17"/>
          <w:lang w:val="fr-FR"/>
        </w:rPr>
      </w:pPr>
      <w:r>
        <w:rPr>
          <w:rFonts w:ascii="Verdana" w:hAnsi="Verdana" w:cs="Arial"/>
          <w:color w:val="666666"/>
          <w:sz w:val="17"/>
          <w:szCs w:val="17"/>
          <w:lang w:val="fr-FR"/>
        </w:rPr>
        <w:t xml:space="preserve">Cette étude montre que les adultes avec une consommation importante de produits avec ces édulcorants ingèrent au maximum 17% de la dose journalière acceptable (acceptable </w:t>
      </w:r>
      <w:proofErr w:type="spellStart"/>
      <w:r>
        <w:rPr>
          <w:rFonts w:ascii="Verdana" w:hAnsi="Verdana" w:cs="Arial"/>
          <w:color w:val="666666"/>
          <w:sz w:val="17"/>
          <w:szCs w:val="17"/>
          <w:lang w:val="fr-FR"/>
        </w:rPr>
        <w:t>daily</w:t>
      </w:r>
      <w:proofErr w:type="spellEnd"/>
      <w:r>
        <w:rPr>
          <w:rFonts w:ascii="Verdana" w:hAnsi="Verdana" w:cs="Arial"/>
          <w:color w:val="666666"/>
          <w:sz w:val="17"/>
          <w:szCs w:val="17"/>
          <w:lang w:val="fr-FR"/>
        </w:rPr>
        <w:t xml:space="preserve"> </w:t>
      </w:r>
      <w:proofErr w:type="spellStart"/>
      <w:r>
        <w:rPr>
          <w:rFonts w:ascii="Verdana" w:hAnsi="Verdana" w:cs="Arial"/>
          <w:color w:val="666666"/>
          <w:sz w:val="17"/>
          <w:szCs w:val="17"/>
          <w:lang w:val="fr-FR"/>
        </w:rPr>
        <w:t>intake</w:t>
      </w:r>
      <w:proofErr w:type="spellEnd"/>
      <w:r>
        <w:rPr>
          <w:rFonts w:ascii="Verdana" w:hAnsi="Verdana" w:cs="Arial"/>
          <w:color w:val="666666"/>
          <w:sz w:val="17"/>
          <w:szCs w:val="17"/>
          <w:lang w:val="fr-FR"/>
        </w:rPr>
        <w:t xml:space="preserve"> ou ADI) pour l’</w:t>
      </w:r>
      <w:proofErr w:type="spellStart"/>
      <w:r>
        <w:rPr>
          <w:rFonts w:ascii="Verdana" w:hAnsi="Verdana" w:cs="Arial"/>
          <w:color w:val="666666"/>
          <w:sz w:val="17"/>
          <w:szCs w:val="17"/>
          <w:lang w:val="fr-FR"/>
        </w:rPr>
        <w:t>acésulfame</w:t>
      </w:r>
      <w:proofErr w:type="spellEnd"/>
      <w:r>
        <w:rPr>
          <w:rFonts w:ascii="Verdana" w:hAnsi="Verdana" w:cs="Arial"/>
          <w:color w:val="666666"/>
          <w:sz w:val="17"/>
          <w:szCs w:val="17"/>
          <w:lang w:val="fr-FR"/>
        </w:rPr>
        <w:t xml:space="preserve">-K, tandis que pour l’aspartame, le cyclamate, la saccharine, et le </w:t>
      </w:r>
      <w:proofErr w:type="spellStart"/>
      <w:r>
        <w:rPr>
          <w:rFonts w:ascii="Verdana" w:hAnsi="Verdana" w:cs="Arial"/>
          <w:color w:val="666666"/>
          <w:sz w:val="17"/>
          <w:szCs w:val="17"/>
          <w:lang w:val="fr-FR"/>
        </w:rPr>
        <w:t>sucralose</w:t>
      </w:r>
      <w:proofErr w:type="spellEnd"/>
      <w:r>
        <w:rPr>
          <w:rFonts w:ascii="Verdana" w:hAnsi="Verdana" w:cs="Arial"/>
          <w:color w:val="666666"/>
          <w:sz w:val="17"/>
          <w:szCs w:val="17"/>
          <w:lang w:val="fr-FR"/>
        </w:rPr>
        <w:t>, ces valeurs sont respectivement de 5%, 25%, 11% et 7% de l’ADI. L’apport des édulcorants de table était négligeable (&lt;1% de l’ADI). Cette étude arrive à la conclusion que la population adulte belge n’est pas exposée à une consommation excessive d’édulcorants par voie alimentaire.</w:t>
      </w:r>
    </w:p>
    <w:p w:rsidR="00C15049" w:rsidRDefault="00C15049" w:rsidP="001B7C68">
      <w:pPr>
        <w:shd w:val="clear" w:color="auto" w:fill="FFFFFF"/>
        <w:spacing w:before="240" w:after="240" w:line="348" w:lineRule="atLeast"/>
        <w:rPr>
          <w:rFonts w:ascii="Verdana" w:hAnsi="Verdana" w:cs="Arial"/>
          <w:color w:val="666666"/>
          <w:sz w:val="17"/>
          <w:szCs w:val="17"/>
          <w:lang w:val="fr-FR"/>
        </w:rPr>
      </w:pPr>
    </w:p>
    <w:p w:rsidR="001B7C68" w:rsidRPr="00C15049" w:rsidRDefault="00C15049" w:rsidP="001B7C68">
      <w:pPr>
        <w:shd w:val="clear" w:color="auto" w:fill="FFFFFF"/>
        <w:spacing w:before="240" w:after="240" w:line="348" w:lineRule="atLeast"/>
        <w:rPr>
          <w:rFonts w:ascii="Verdana" w:hAnsi="Verdana" w:cs="Arial"/>
          <w:color w:val="666666"/>
          <w:sz w:val="17"/>
          <w:szCs w:val="17"/>
          <w:lang w:val="fr-FR"/>
        </w:rPr>
      </w:pPr>
      <w:r>
        <w:rPr>
          <w:rFonts w:ascii="Verdana" w:hAnsi="Verdana" w:cs="Arial"/>
          <w:noProof/>
          <w:color w:val="335522"/>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2pt;margin-top:33.6pt;width:77.25pt;height:50.25pt;z-index:251659264;mso-position-horizontal-relative:text;mso-position-vertical-relative:text">
            <v:imagedata r:id="rId13" o:title=""/>
            <w10:wrap type="square"/>
          </v:shape>
          <o:OLEObject Type="Embed" ProgID="AcroExch.Document.11" ShapeID="_x0000_s1026" DrawAspect="Icon" ObjectID="_1521982192" r:id="rId14"/>
        </w:object>
      </w:r>
      <w:r>
        <w:rPr>
          <w:rFonts w:ascii="Verdana" w:hAnsi="Verdana" w:cs="Arial"/>
          <w:color w:val="335522"/>
          <w:sz w:val="17"/>
          <w:szCs w:val="17"/>
          <w:lang w:val="fr-FR"/>
        </w:rPr>
        <w:t>L’é</w:t>
      </w:r>
      <w:r w:rsidR="001B7C68" w:rsidRPr="00C15049">
        <w:rPr>
          <w:rFonts w:ascii="Verdana" w:hAnsi="Verdana" w:cs="Arial"/>
          <w:color w:val="335522"/>
          <w:sz w:val="17"/>
          <w:szCs w:val="17"/>
          <w:lang w:val="fr-FR"/>
        </w:rPr>
        <w:t xml:space="preserve">tude sur </w:t>
      </w:r>
      <w:r>
        <w:rPr>
          <w:rFonts w:ascii="Verdana" w:hAnsi="Verdana" w:cs="Arial"/>
          <w:color w:val="335522"/>
          <w:sz w:val="17"/>
          <w:szCs w:val="17"/>
          <w:lang w:val="fr-FR"/>
        </w:rPr>
        <w:t xml:space="preserve">les </w:t>
      </w:r>
      <w:r w:rsidR="001B7C68" w:rsidRPr="00C15049">
        <w:rPr>
          <w:rFonts w:ascii="Verdana" w:hAnsi="Verdana" w:cs="Arial"/>
          <w:color w:val="335522"/>
          <w:sz w:val="17"/>
          <w:szCs w:val="17"/>
          <w:lang w:val="fr-FR"/>
        </w:rPr>
        <w:t>édulcorants de table et sur l’estimation de l’ingestion totale des édulcorants par la population belge adulte</w:t>
      </w:r>
      <w:r>
        <w:rPr>
          <w:rFonts w:ascii="Verdana" w:hAnsi="Verdana" w:cs="Arial"/>
          <w:color w:val="335522"/>
          <w:sz w:val="17"/>
          <w:szCs w:val="17"/>
          <w:lang w:val="fr-FR"/>
        </w:rPr>
        <w:t xml:space="preserve"> : </w:t>
      </w:r>
      <w:bookmarkStart w:id="0" w:name="_GoBack"/>
      <w:bookmarkEnd w:id="0"/>
    </w:p>
    <w:p w:rsidR="002A0C7D" w:rsidRDefault="002A0C7D" w:rsidP="003018BF">
      <w:pPr>
        <w:jc w:val="both"/>
        <w:rPr>
          <w:rFonts w:ascii="Garamond" w:hAnsi="Garamond"/>
          <w:b/>
          <w:sz w:val="23"/>
          <w:szCs w:val="23"/>
          <w:lang w:val="fr-FR"/>
        </w:rPr>
      </w:pPr>
    </w:p>
    <w:sectPr w:rsidR="002A0C7D" w:rsidSect="00C15049">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955" w:right="1418" w:bottom="1418" w:left="1701"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185" w:rsidRDefault="004B6185">
      <w:r>
        <w:separator/>
      </w:r>
    </w:p>
  </w:endnote>
  <w:endnote w:type="continuationSeparator" w:id="0">
    <w:p w:rsidR="004B6185" w:rsidRDefault="004B6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841" w:rsidRDefault="002928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DE2" w:rsidRDefault="002A6DE2">
    <w:pPr>
      <w:pStyle w:val="Pieddepage"/>
      <w:framePr w:w="1752" w:h="720" w:hSpace="142" w:wrap="around" w:vAnchor="page" w:hAnchor="page" w:x="1702" w:y="15820" w:anchorLock="1"/>
      <w:rPr>
        <w:rFonts w:ascii="Garamond" w:hAnsi="Garamond"/>
        <w:smallCaps/>
        <w:sz w:val="18"/>
        <w:szCs w:val="18"/>
      </w:rPr>
    </w:pPr>
    <w:r>
      <w:rPr>
        <w:rFonts w:ascii="Helvetica" w:hAnsi="Helvetica"/>
        <w:smallCaps/>
        <w:sz w:val="12"/>
        <w:szCs w:val="12"/>
      </w:rPr>
      <w:t>page</w:t>
    </w:r>
    <w:r>
      <w:rPr>
        <w:rFonts w:ascii="Helvetica" w:hAnsi="Helvetica"/>
        <w:sz w:val="12"/>
        <w:szCs w:val="12"/>
      </w:rPr>
      <w:t xml:space="preserve">   </w:t>
    </w:r>
    <w:r>
      <w:rPr>
        <w:rFonts w:ascii="Garamond" w:hAnsi="Garamond"/>
        <w:sz w:val="18"/>
        <w:szCs w:val="18"/>
      </w:rPr>
      <w:fldChar w:fldCharType="begin"/>
    </w:r>
    <w:r>
      <w:rPr>
        <w:rFonts w:ascii="Garamond" w:hAnsi="Garamond"/>
        <w:sz w:val="18"/>
        <w:szCs w:val="18"/>
      </w:rPr>
      <w:instrText xml:space="preserve"> PAGE  \* Arabic  \* MERGEFORMAT </w:instrText>
    </w:r>
    <w:r>
      <w:rPr>
        <w:rFonts w:ascii="Garamond" w:hAnsi="Garamond"/>
        <w:sz w:val="18"/>
        <w:szCs w:val="18"/>
      </w:rPr>
      <w:fldChar w:fldCharType="separate"/>
    </w:r>
    <w:r w:rsidR="00142B96">
      <w:rPr>
        <w:rFonts w:ascii="Garamond" w:hAnsi="Garamond"/>
        <w:noProof/>
        <w:sz w:val="18"/>
        <w:szCs w:val="18"/>
      </w:rPr>
      <w:t>2</w:t>
    </w:r>
    <w:r>
      <w:rPr>
        <w:rFonts w:ascii="Garamond" w:hAnsi="Garamond"/>
        <w:sz w:val="18"/>
        <w:szCs w:val="18"/>
      </w:rPr>
      <w:fldChar w:fldCharType="end"/>
    </w:r>
  </w:p>
  <w:p w:rsidR="002A6DE2" w:rsidRDefault="002A6DE2">
    <w:pPr>
      <w:pStyle w:val="Pieddepage"/>
      <w:rPr>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DE2" w:rsidRDefault="002A6DE2" w:rsidP="00292841">
    <w:pPr>
      <w:framePr w:w="8771" w:h="720" w:hSpace="142" w:wrap="around" w:vAnchor="page" w:hAnchor="page" w:x="1702" w:y="15990" w:anchorLock="1"/>
      <w:jc w:val="center"/>
      <w:rPr>
        <w:rFonts w:ascii="Helvetica" w:hAnsi="Helvetica"/>
        <w:color w:val="000000"/>
        <w:spacing w:val="10"/>
        <w:sz w:val="16"/>
        <w:szCs w:val="16"/>
        <w:lang w:val="en-GB"/>
      </w:rPr>
    </w:pPr>
    <w:r>
      <w:rPr>
        <w:rFonts w:ascii="Helvetica" w:hAnsi="Helvetica"/>
        <w:color w:val="000000"/>
        <w:spacing w:val="10"/>
        <w:sz w:val="16"/>
        <w:szCs w:val="16"/>
        <w:lang w:val="en-GB"/>
      </w:rPr>
      <w:t xml:space="preserve">Place Victor </w:t>
    </w:r>
    <w:proofErr w:type="spellStart"/>
    <w:r>
      <w:rPr>
        <w:rFonts w:ascii="Helvetica" w:hAnsi="Helvetica"/>
        <w:color w:val="000000"/>
        <w:spacing w:val="10"/>
        <w:sz w:val="16"/>
        <w:szCs w:val="16"/>
        <w:lang w:val="en-GB"/>
      </w:rPr>
      <w:t>Horta</w:t>
    </w:r>
    <w:proofErr w:type="spellEnd"/>
    <w:r>
      <w:rPr>
        <w:rFonts w:ascii="Helvetica" w:hAnsi="Helvetica"/>
        <w:color w:val="000000"/>
        <w:spacing w:val="10"/>
        <w:sz w:val="16"/>
        <w:szCs w:val="16"/>
        <w:lang w:val="en-GB"/>
      </w:rPr>
      <w:t xml:space="preserve"> 40, </w:t>
    </w:r>
    <w:proofErr w:type="spellStart"/>
    <w:r>
      <w:rPr>
        <w:rFonts w:ascii="Helvetica" w:hAnsi="Helvetica"/>
        <w:color w:val="000000"/>
        <w:spacing w:val="10"/>
        <w:sz w:val="16"/>
        <w:szCs w:val="16"/>
        <w:lang w:val="en-GB"/>
      </w:rPr>
      <w:t>bte</w:t>
    </w:r>
    <w:proofErr w:type="spellEnd"/>
    <w:r>
      <w:rPr>
        <w:rFonts w:ascii="Helvetica" w:hAnsi="Helvetica"/>
        <w:color w:val="000000"/>
        <w:spacing w:val="10"/>
        <w:sz w:val="16"/>
        <w:szCs w:val="16"/>
        <w:lang w:val="en-GB"/>
      </w:rPr>
      <w:t xml:space="preserve"> 10  ●  1060 </w:t>
    </w:r>
    <w:proofErr w:type="spellStart"/>
    <w:r>
      <w:rPr>
        <w:rFonts w:ascii="Helvetica" w:hAnsi="Helvetica"/>
        <w:color w:val="000000"/>
        <w:spacing w:val="10"/>
        <w:sz w:val="16"/>
        <w:szCs w:val="16"/>
        <w:lang w:val="en-GB"/>
      </w:rPr>
      <w:t>Bruxelles</w:t>
    </w:r>
    <w:proofErr w:type="spellEnd"/>
    <w:r>
      <w:rPr>
        <w:rFonts w:ascii="Helvetica" w:hAnsi="Helvetica"/>
        <w:color w:val="000000"/>
        <w:spacing w:val="10"/>
        <w:sz w:val="16"/>
        <w:szCs w:val="16"/>
        <w:lang w:val="en-GB"/>
      </w:rPr>
      <w:t xml:space="preserve">  ●  www.sante.belgique.be</w:t>
    </w:r>
  </w:p>
  <w:p w:rsidR="002A6DE2" w:rsidRDefault="003C52CF">
    <w:pPr>
      <w:pStyle w:val="Pieddepage"/>
    </w:pPr>
    <w:r>
      <w:rPr>
        <w:noProof/>
        <w:lang w:val="en-US" w:eastAsia="en-US"/>
      </w:rPr>
      <w:drawing>
        <wp:anchor distT="0" distB="0" distL="90170" distR="90170" simplePos="0" relativeHeight="251656704" behindDoc="1" locked="1" layoutInCell="0" allowOverlap="1">
          <wp:simplePos x="0" y="0"/>
          <wp:positionH relativeFrom="page">
            <wp:posOffset>0</wp:posOffset>
          </wp:positionH>
          <wp:positionV relativeFrom="page">
            <wp:posOffset>9649460</wp:posOffset>
          </wp:positionV>
          <wp:extent cx="7200265" cy="1008380"/>
          <wp:effectExtent l="0" t="0" r="635"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265" cy="10083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185" w:rsidRDefault="004B6185">
      <w:r>
        <w:separator/>
      </w:r>
    </w:p>
  </w:footnote>
  <w:footnote w:type="continuationSeparator" w:id="0">
    <w:p w:rsidR="004B6185" w:rsidRDefault="004B6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841" w:rsidRDefault="0029284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841" w:rsidRDefault="0029284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DE2" w:rsidRDefault="003C52CF">
    <w:pPr>
      <w:pStyle w:val="En-tte"/>
    </w:pPr>
    <w:r>
      <w:rPr>
        <w:noProof/>
        <w:lang w:val="en-US" w:eastAsia="en-US"/>
      </w:rPr>
      <w:drawing>
        <wp:anchor distT="0" distB="0" distL="90170" distR="90170" simplePos="0" relativeHeight="251658752" behindDoc="0" locked="1" layoutInCell="1" allowOverlap="1">
          <wp:simplePos x="0" y="0"/>
          <wp:positionH relativeFrom="page">
            <wp:posOffset>552450</wp:posOffset>
          </wp:positionH>
          <wp:positionV relativeFrom="page">
            <wp:posOffset>306705</wp:posOffset>
          </wp:positionV>
          <wp:extent cx="2223770" cy="847725"/>
          <wp:effectExtent l="0" t="0" r="508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23770" cy="847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DE2" w:rsidRDefault="003C52CF">
    <w:pPr>
      <w:pStyle w:val="En-tte"/>
    </w:pPr>
    <w:r>
      <w:rPr>
        <w:noProof/>
        <w:lang w:val="en-US" w:eastAsia="en-US"/>
      </w:rPr>
      <w:drawing>
        <wp:anchor distT="0" distB="0" distL="90170" distR="90170" simplePos="0" relativeHeight="251657728" behindDoc="0" locked="1" layoutInCell="1" allowOverlap="1">
          <wp:simplePos x="0" y="0"/>
          <wp:positionH relativeFrom="page">
            <wp:posOffset>508635</wp:posOffset>
          </wp:positionH>
          <wp:positionV relativeFrom="page">
            <wp:posOffset>360045</wp:posOffset>
          </wp:positionV>
          <wp:extent cx="2223770" cy="844550"/>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3770" cy="844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5F"/>
    <w:rsid w:val="00017E1A"/>
    <w:rsid w:val="00066E5D"/>
    <w:rsid w:val="00080003"/>
    <w:rsid w:val="00090A9F"/>
    <w:rsid w:val="000C4E7D"/>
    <w:rsid w:val="000F3590"/>
    <w:rsid w:val="000F3D8B"/>
    <w:rsid w:val="00105466"/>
    <w:rsid w:val="00142B96"/>
    <w:rsid w:val="001A7E66"/>
    <w:rsid w:val="001B7C68"/>
    <w:rsid w:val="001D52B0"/>
    <w:rsid w:val="0022149F"/>
    <w:rsid w:val="002705EA"/>
    <w:rsid w:val="00292841"/>
    <w:rsid w:val="002A0C7D"/>
    <w:rsid w:val="002A6DE2"/>
    <w:rsid w:val="002D35B8"/>
    <w:rsid w:val="003018BF"/>
    <w:rsid w:val="003161FB"/>
    <w:rsid w:val="003223AF"/>
    <w:rsid w:val="003C52CF"/>
    <w:rsid w:val="004125D8"/>
    <w:rsid w:val="0044445B"/>
    <w:rsid w:val="00475917"/>
    <w:rsid w:val="004A231D"/>
    <w:rsid w:val="004A7EAF"/>
    <w:rsid w:val="004B6185"/>
    <w:rsid w:val="0050290A"/>
    <w:rsid w:val="00515C87"/>
    <w:rsid w:val="005522A9"/>
    <w:rsid w:val="005700FD"/>
    <w:rsid w:val="005B4667"/>
    <w:rsid w:val="00625036"/>
    <w:rsid w:val="00651FA1"/>
    <w:rsid w:val="00663158"/>
    <w:rsid w:val="006F64AB"/>
    <w:rsid w:val="00714BFE"/>
    <w:rsid w:val="0076516F"/>
    <w:rsid w:val="007A0DFC"/>
    <w:rsid w:val="007E0415"/>
    <w:rsid w:val="00823D95"/>
    <w:rsid w:val="00885556"/>
    <w:rsid w:val="008A04D0"/>
    <w:rsid w:val="00975E3F"/>
    <w:rsid w:val="00997B36"/>
    <w:rsid w:val="009D2FCA"/>
    <w:rsid w:val="00A032D0"/>
    <w:rsid w:val="00AA7EA2"/>
    <w:rsid w:val="00AB49C1"/>
    <w:rsid w:val="00AD4D5F"/>
    <w:rsid w:val="00AF7E5C"/>
    <w:rsid w:val="00B215B2"/>
    <w:rsid w:val="00C15049"/>
    <w:rsid w:val="00CD2292"/>
    <w:rsid w:val="00D05615"/>
    <w:rsid w:val="00D16081"/>
    <w:rsid w:val="00E278EA"/>
    <w:rsid w:val="00E748FD"/>
    <w:rsid w:val="00E971A7"/>
    <w:rsid w:val="00FE0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0DE2D2EC-2B85-4B5B-A692-634345C7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90A"/>
    <w:rPr>
      <w:sz w:val="24"/>
      <w:szCs w:val="24"/>
      <w:lang w:val="nl-NL" w:eastAsia="nl-N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0290A"/>
    <w:pPr>
      <w:tabs>
        <w:tab w:val="center" w:pos="4536"/>
        <w:tab w:val="right" w:pos="9072"/>
      </w:tabs>
    </w:pPr>
  </w:style>
  <w:style w:type="character" w:customStyle="1" w:styleId="En-tteCar">
    <w:name w:val="En-tête Car"/>
    <w:basedOn w:val="Policepardfaut"/>
    <w:link w:val="En-tte"/>
    <w:uiPriority w:val="99"/>
    <w:semiHidden/>
    <w:rsid w:val="006A4CCE"/>
    <w:rPr>
      <w:sz w:val="24"/>
      <w:szCs w:val="24"/>
      <w:lang w:val="nl-NL" w:eastAsia="nl-NL"/>
    </w:rPr>
  </w:style>
  <w:style w:type="paragraph" w:styleId="Pieddepage">
    <w:name w:val="footer"/>
    <w:basedOn w:val="Normal"/>
    <w:link w:val="PieddepageCar"/>
    <w:uiPriority w:val="99"/>
    <w:semiHidden/>
    <w:rsid w:val="0050290A"/>
    <w:pPr>
      <w:tabs>
        <w:tab w:val="center" w:pos="4536"/>
        <w:tab w:val="right" w:pos="9072"/>
      </w:tabs>
    </w:pPr>
  </w:style>
  <w:style w:type="character" w:customStyle="1" w:styleId="PieddepageCar">
    <w:name w:val="Pied de page Car"/>
    <w:basedOn w:val="Policepardfaut"/>
    <w:link w:val="Pieddepage"/>
    <w:uiPriority w:val="99"/>
    <w:semiHidden/>
    <w:rsid w:val="006A4CCE"/>
    <w:rPr>
      <w:sz w:val="24"/>
      <w:szCs w:val="24"/>
      <w:lang w:val="nl-NL" w:eastAsia="nl-NL"/>
    </w:rPr>
  </w:style>
  <w:style w:type="paragraph" w:styleId="Textedebulles">
    <w:name w:val="Balloon Text"/>
    <w:basedOn w:val="Normal"/>
    <w:link w:val="TextedebullesCar"/>
    <w:uiPriority w:val="99"/>
    <w:semiHidden/>
    <w:rsid w:val="0050290A"/>
    <w:rPr>
      <w:rFonts w:ascii="Tahoma" w:hAnsi="Tahoma" w:cs="Tahoma"/>
      <w:sz w:val="16"/>
      <w:szCs w:val="16"/>
    </w:rPr>
  </w:style>
  <w:style w:type="character" w:customStyle="1" w:styleId="TextedebullesCar">
    <w:name w:val="Texte de bulles Car"/>
    <w:basedOn w:val="Policepardfaut"/>
    <w:link w:val="Textedebulles"/>
    <w:uiPriority w:val="99"/>
    <w:semiHidden/>
    <w:rsid w:val="006A4CCE"/>
    <w:rPr>
      <w:sz w:val="0"/>
      <w:szCs w:val="0"/>
      <w:lang w:val="nl-NL" w:eastAsia="nl-NL"/>
    </w:rPr>
  </w:style>
  <w:style w:type="character" w:customStyle="1" w:styleId="systranseg">
    <w:name w:val="systran_seg"/>
    <w:rsid w:val="00090A9F"/>
  </w:style>
  <w:style w:type="character" w:customStyle="1" w:styleId="systrantokenword">
    <w:name w:val="systran_token_word"/>
    <w:rsid w:val="00090A9F"/>
  </w:style>
  <w:style w:type="character" w:customStyle="1" w:styleId="systrantokenpunctuation">
    <w:name w:val="systran_token_punctuation"/>
    <w:rsid w:val="00090A9F"/>
  </w:style>
  <w:style w:type="character" w:styleId="Textedelespacerserv">
    <w:name w:val="Placeholder Text"/>
    <w:uiPriority w:val="99"/>
    <w:semiHidden/>
    <w:rsid w:val="002A0C7D"/>
    <w:rPr>
      <w:color w:val="808080"/>
    </w:rPr>
  </w:style>
  <w:style w:type="character" w:styleId="lev">
    <w:name w:val="Strong"/>
    <w:basedOn w:val="Policepardfaut"/>
    <w:uiPriority w:val="22"/>
    <w:qFormat/>
    <w:locked/>
    <w:rsid w:val="001B7C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937760">
      <w:bodyDiv w:val="1"/>
      <w:marLeft w:val="0"/>
      <w:marRight w:val="0"/>
      <w:marTop w:val="0"/>
      <w:marBottom w:val="0"/>
      <w:divBdr>
        <w:top w:val="none" w:sz="0" w:space="0" w:color="auto"/>
        <w:left w:val="none" w:sz="0" w:space="0" w:color="auto"/>
        <w:bottom w:val="none" w:sz="0" w:space="0" w:color="auto"/>
        <w:right w:val="none" w:sz="0" w:space="0" w:color="auto"/>
      </w:divBdr>
      <w:divsChild>
        <w:div w:id="2017149778">
          <w:marLeft w:val="0"/>
          <w:marRight w:val="0"/>
          <w:marTop w:val="0"/>
          <w:marBottom w:val="0"/>
          <w:divBdr>
            <w:top w:val="none" w:sz="0" w:space="0" w:color="auto"/>
            <w:left w:val="none" w:sz="0" w:space="0" w:color="auto"/>
            <w:bottom w:val="none" w:sz="0" w:space="0" w:color="auto"/>
            <w:right w:val="none" w:sz="0" w:space="0" w:color="auto"/>
          </w:divBdr>
          <w:divsChild>
            <w:div w:id="1073897522">
              <w:marLeft w:val="0"/>
              <w:marRight w:val="-150"/>
              <w:marTop w:val="0"/>
              <w:marBottom w:val="0"/>
              <w:divBdr>
                <w:top w:val="none" w:sz="0" w:space="0" w:color="auto"/>
                <w:left w:val="none" w:sz="0" w:space="0" w:color="auto"/>
                <w:bottom w:val="none" w:sz="0" w:space="0" w:color="auto"/>
                <w:right w:val="none" w:sz="0" w:space="0" w:color="auto"/>
              </w:divBdr>
              <w:divsChild>
                <w:div w:id="1508054920">
                  <w:marLeft w:val="240"/>
                  <w:marRight w:val="240"/>
                  <w:marTop w:val="240"/>
                  <w:marBottom w:val="240"/>
                  <w:divBdr>
                    <w:top w:val="none" w:sz="0" w:space="0" w:color="auto"/>
                    <w:left w:val="none" w:sz="0" w:space="0" w:color="auto"/>
                    <w:bottom w:val="none" w:sz="0" w:space="0" w:color="auto"/>
                    <w:right w:val="none" w:sz="0" w:space="0" w:color="auto"/>
                  </w:divBdr>
                  <w:divsChild>
                    <w:div w:id="1310548461">
                      <w:marLeft w:val="0"/>
                      <w:marRight w:val="0"/>
                      <w:marTop w:val="480"/>
                      <w:marBottom w:val="0"/>
                      <w:divBdr>
                        <w:top w:val="none" w:sz="0" w:space="0" w:color="auto"/>
                        <w:left w:val="none" w:sz="0" w:space="0" w:color="auto"/>
                        <w:bottom w:val="none" w:sz="0" w:space="0" w:color="auto"/>
                        <w:right w:val="none" w:sz="0" w:space="0" w:color="auto"/>
                      </w:divBdr>
                      <w:divsChild>
                        <w:div w:id="2142066776">
                          <w:marLeft w:val="0"/>
                          <w:marRight w:val="0"/>
                          <w:marTop w:val="0"/>
                          <w:marBottom w:val="0"/>
                          <w:divBdr>
                            <w:top w:val="none" w:sz="0" w:space="0" w:color="auto"/>
                            <w:left w:val="none" w:sz="0" w:space="0" w:color="auto"/>
                            <w:bottom w:val="none" w:sz="0" w:space="0" w:color="auto"/>
                            <w:right w:val="none" w:sz="0" w:space="0" w:color="auto"/>
                          </w:divBdr>
                          <w:divsChild>
                            <w:div w:id="1721396725">
                              <w:marLeft w:val="0"/>
                              <w:marRight w:val="0"/>
                              <w:marTop w:val="0"/>
                              <w:marBottom w:val="0"/>
                              <w:divBdr>
                                <w:top w:val="none" w:sz="0" w:space="0" w:color="auto"/>
                                <w:left w:val="none" w:sz="0" w:space="0" w:color="auto"/>
                                <w:bottom w:val="none" w:sz="0" w:space="0" w:color="auto"/>
                                <w:right w:val="none" w:sz="0" w:space="0" w:color="auto"/>
                              </w:divBdr>
                              <w:divsChild>
                                <w:div w:id="2119375990">
                                  <w:marLeft w:val="0"/>
                                  <w:marRight w:val="0"/>
                                  <w:marTop w:val="0"/>
                                  <w:marBottom w:val="0"/>
                                  <w:divBdr>
                                    <w:top w:val="none" w:sz="0" w:space="0" w:color="auto"/>
                                    <w:left w:val="none" w:sz="0" w:space="0" w:color="auto"/>
                                    <w:bottom w:val="none" w:sz="0" w:space="0" w:color="auto"/>
                                    <w:right w:val="none" w:sz="0" w:space="0" w:color="auto"/>
                                  </w:divBdr>
                                  <w:divsChild>
                                    <w:div w:id="1747649723">
                                      <w:marLeft w:val="0"/>
                                      <w:marRight w:val="0"/>
                                      <w:marTop w:val="0"/>
                                      <w:marBottom w:val="0"/>
                                      <w:divBdr>
                                        <w:top w:val="none" w:sz="0" w:space="0" w:color="auto"/>
                                        <w:left w:val="none" w:sz="0" w:space="0" w:color="auto"/>
                                        <w:bottom w:val="none" w:sz="0" w:space="0" w:color="auto"/>
                                        <w:right w:val="none" w:sz="0" w:space="0" w:color="auto"/>
                                      </w:divBdr>
                                      <w:divsChild>
                                        <w:div w:id="884676709">
                                          <w:marLeft w:val="0"/>
                                          <w:marRight w:val="0"/>
                                          <w:marTop w:val="0"/>
                                          <w:marBottom w:val="0"/>
                                          <w:divBdr>
                                            <w:top w:val="none" w:sz="0" w:space="0" w:color="auto"/>
                                            <w:left w:val="none" w:sz="0" w:space="0" w:color="auto"/>
                                            <w:bottom w:val="none" w:sz="0" w:space="0" w:color="auto"/>
                                            <w:right w:val="none" w:sz="0" w:space="0" w:color="auto"/>
                                          </w:divBdr>
                                          <w:divsChild>
                                            <w:div w:id="1589119819">
                                              <w:marLeft w:val="0"/>
                                              <w:marRight w:val="0"/>
                                              <w:marTop w:val="0"/>
                                              <w:marBottom w:val="0"/>
                                              <w:divBdr>
                                                <w:top w:val="none" w:sz="0" w:space="0" w:color="auto"/>
                                                <w:left w:val="none" w:sz="0" w:space="0" w:color="auto"/>
                                                <w:bottom w:val="none" w:sz="0" w:space="0" w:color="auto"/>
                                                <w:right w:val="none" w:sz="0" w:space="0" w:color="auto"/>
                                              </w:divBdr>
                                              <w:divsChild>
                                                <w:div w:id="1808935901">
                                                  <w:marLeft w:val="0"/>
                                                  <w:marRight w:val="0"/>
                                                  <w:marTop w:val="0"/>
                                                  <w:marBottom w:val="0"/>
                                                  <w:divBdr>
                                                    <w:top w:val="none" w:sz="0" w:space="0" w:color="auto"/>
                                                    <w:left w:val="none" w:sz="0" w:space="0" w:color="auto"/>
                                                    <w:bottom w:val="none" w:sz="0" w:space="0" w:color="auto"/>
                                                    <w:right w:val="none" w:sz="0" w:space="0" w:color="auto"/>
                                                  </w:divBdr>
                                                  <w:divsChild>
                                                    <w:div w:id="20911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2729">
                                              <w:marLeft w:val="0"/>
                                              <w:marRight w:val="0"/>
                                              <w:marTop w:val="0"/>
                                              <w:marBottom w:val="0"/>
                                              <w:divBdr>
                                                <w:top w:val="none" w:sz="0" w:space="0" w:color="auto"/>
                                                <w:left w:val="none" w:sz="0" w:space="0" w:color="auto"/>
                                                <w:bottom w:val="none" w:sz="0" w:space="0" w:color="auto"/>
                                                <w:right w:val="none" w:sz="0" w:space="0" w:color="auto"/>
                                              </w:divBdr>
                                              <w:divsChild>
                                                <w:div w:id="1364212840">
                                                  <w:marLeft w:val="480"/>
                                                  <w:marRight w:val="0"/>
                                                  <w:marTop w:val="240"/>
                                                  <w:marBottom w:val="240"/>
                                                  <w:divBdr>
                                                    <w:top w:val="none" w:sz="0" w:space="0" w:color="auto"/>
                                                    <w:left w:val="none" w:sz="0" w:space="0" w:color="auto"/>
                                                    <w:bottom w:val="none" w:sz="0" w:space="0" w:color="auto"/>
                                                    <w:right w:val="none" w:sz="0" w:space="0" w:color="auto"/>
                                                  </w:divBdr>
                                                </w:div>
                                                <w:div w:id="11225257">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60F10-DF36-4B9C-A605-08C22A09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Words>
  <Characters>1695</Characters>
  <Application>Microsoft Office Word</Application>
  <DocSecurity>0</DocSecurity>
  <Lines>14</Lines>
  <Paragraphs>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UW BRIEF VAN   20</vt:lpstr>
      <vt:lpstr>UW BRIEF VAN   20</vt:lpstr>
    </vt:vector>
  </TitlesOfParts>
  <Company>Acteco</Company>
  <LinksUpToDate>false</LinksUpToDate>
  <CharactersWithSpaces>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BRIEF VAN   20</dc:title>
  <dc:creator>Fransen Kristel</dc:creator>
  <cp:lastModifiedBy>Hocepied Philippe</cp:lastModifiedBy>
  <cp:revision>3</cp:revision>
  <cp:lastPrinted>2012-10-25T08:59:00Z</cp:lastPrinted>
  <dcterms:created xsi:type="dcterms:W3CDTF">2016-03-10T15:33:00Z</dcterms:created>
  <dcterms:modified xsi:type="dcterms:W3CDTF">2016-04-12T14:03:00Z</dcterms:modified>
</cp:coreProperties>
</file>