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035EC" w14:textId="36E42621" w:rsidR="00377A24" w:rsidRPr="00D71FFE" w:rsidRDefault="009E549C" w:rsidP="00166535">
      <w:pPr>
        <w:jc w:val="both"/>
        <w:rPr>
          <w:b/>
          <w:bCs/>
          <w:lang w:val="fr-BE"/>
        </w:rPr>
      </w:pPr>
      <w:bookmarkStart w:id="0" w:name="_Hlk55902316"/>
      <w:r w:rsidRPr="00D71FFE">
        <w:rPr>
          <w:b/>
          <w:bCs/>
          <w:lang w:val="fr-BE"/>
        </w:rPr>
        <w:t>Arrêté royal du 30 octobre 2020 fixant les modalités d'octroi d'une intervention financière fédérale exceptionnelle aux hôpitaux dans le cadre de l'épidémie de coronavirus COVID-19</w:t>
      </w:r>
      <w:r w:rsidR="0027265E" w:rsidRPr="00D71FFE">
        <w:rPr>
          <w:lang w:val="fr-BE"/>
        </w:rPr>
        <w:t>, publié au Moniteur belge le 12 novembre 2020 (ci-après dénommé aussi « AR IFFE »).</w:t>
      </w:r>
    </w:p>
    <w:bookmarkEnd w:id="0"/>
    <w:p w14:paraId="1EE282D2" w14:textId="72C185AE" w:rsidR="00277B61" w:rsidRDefault="006627D5" w:rsidP="00277B61">
      <w:pPr>
        <w:spacing w:after="0"/>
        <w:jc w:val="both"/>
        <w:rPr>
          <w:b/>
          <w:bCs/>
          <w:lang w:val="fr-BE"/>
        </w:rPr>
      </w:pPr>
      <w:r w:rsidRPr="00D71FFE">
        <w:rPr>
          <w:b/>
          <w:bCs/>
          <w:lang w:val="fr-BE"/>
        </w:rPr>
        <w:t>La FAQ peut toujours faire l'objet d'une adaptation.</w:t>
      </w:r>
      <w:r w:rsidR="00277B61">
        <w:rPr>
          <w:b/>
          <w:bCs/>
          <w:lang w:val="fr-BE"/>
        </w:rPr>
        <w:t xml:space="preserve"> </w:t>
      </w:r>
    </w:p>
    <w:p w14:paraId="05326AC9" w14:textId="29DF3256" w:rsidR="00277B61" w:rsidRPr="00963746" w:rsidRDefault="00277B61" w:rsidP="00963746">
      <w:pPr>
        <w:spacing w:after="0"/>
        <w:jc w:val="both"/>
        <w:rPr>
          <w:b/>
          <w:bCs/>
          <w:color w:val="2F5496" w:themeColor="accent1" w:themeShade="BF"/>
          <w:lang w:val="fr-BE"/>
        </w:rPr>
      </w:pPr>
      <w:r w:rsidRPr="00963746">
        <w:rPr>
          <w:b/>
          <w:bCs/>
          <w:color w:val="2F5496" w:themeColor="accent1" w:themeShade="BF"/>
          <w:lang w:val="fr-BE"/>
        </w:rPr>
        <w:t>Ce qui est modifié est indiqué en bleu.</w:t>
      </w:r>
    </w:p>
    <w:p w14:paraId="74D514C4" w14:textId="2CBB0CB0" w:rsidR="00933165" w:rsidRPr="00D71FFE" w:rsidRDefault="006627D5" w:rsidP="00963746">
      <w:pPr>
        <w:spacing w:after="0"/>
        <w:jc w:val="both"/>
        <w:rPr>
          <w:b/>
          <w:bCs/>
          <w:lang w:val="fr-BE"/>
        </w:rPr>
      </w:pPr>
      <w:r w:rsidRPr="00D71FFE">
        <w:rPr>
          <w:b/>
          <w:bCs/>
          <w:lang w:val="fr-BE"/>
        </w:rPr>
        <w:t xml:space="preserve">                                                    </w:t>
      </w:r>
    </w:p>
    <w:p w14:paraId="0C993114" w14:textId="328F8C0D" w:rsidR="00D4589D" w:rsidRPr="00D71FFE" w:rsidRDefault="00D4589D" w:rsidP="00B85495">
      <w:pPr>
        <w:widowControl w:val="0"/>
        <w:spacing w:after="0"/>
        <w:jc w:val="both"/>
        <w:rPr>
          <w:rFonts w:cstheme="minorHAnsi"/>
          <w:lang w:val="fr-BE"/>
        </w:rPr>
      </w:pPr>
      <w:r w:rsidRPr="00D71FFE">
        <w:rPr>
          <w:rFonts w:cstheme="minorHAnsi"/>
          <w:lang w:val="fr-BE"/>
        </w:rPr>
        <w:t>Cette FAQ est une explication de l'AR IFFE, du rapport y afférent et des arrêtés ministériels</w:t>
      </w:r>
      <w:r w:rsidR="00641D20">
        <w:rPr>
          <w:rFonts w:cstheme="minorHAnsi"/>
          <w:lang w:val="fr-BE"/>
        </w:rPr>
        <w:t xml:space="preserve"> d’exécution</w:t>
      </w:r>
      <w:r w:rsidRPr="00D71FFE">
        <w:rPr>
          <w:rFonts w:cstheme="minorHAnsi"/>
          <w:lang w:val="fr-BE"/>
        </w:rPr>
        <w:t xml:space="preserve">. </w:t>
      </w:r>
    </w:p>
    <w:p w14:paraId="0E5EED84" w14:textId="593B493F" w:rsidR="00446AC3" w:rsidRPr="00641D20" w:rsidRDefault="00B85495" w:rsidP="00641D20">
      <w:pPr>
        <w:widowControl w:val="0"/>
        <w:spacing w:before="160" w:after="0"/>
        <w:jc w:val="both"/>
        <w:rPr>
          <w:b/>
          <w:bCs/>
          <w:lang w:val="fr-BE"/>
        </w:rPr>
      </w:pPr>
      <w:r w:rsidRPr="00D71FFE">
        <w:rPr>
          <w:rFonts w:cstheme="minorHAnsi"/>
          <w:lang w:val="fr-BE"/>
        </w:rPr>
        <w:t>Toute question concernant ce qui est susmentionné</w:t>
      </w:r>
      <w:r w:rsidR="003C4782">
        <w:rPr>
          <w:rFonts w:cstheme="minorHAnsi"/>
          <w:lang w:val="fr-BE"/>
        </w:rPr>
        <w:t> :</w:t>
      </w:r>
      <w:r w:rsidRPr="00D71FFE">
        <w:rPr>
          <w:rFonts w:cstheme="minorHAnsi"/>
          <w:lang w:val="fr-BE"/>
        </w:rPr>
        <w:t xml:space="preserve"> (</w:t>
      </w:r>
      <w:r w:rsidR="00494637" w:rsidRPr="00D71FFE">
        <w:rPr>
          <w:color w:val="0000FF"/>
          <w:u w:val="single"/>
          <w:lang w:val="fr-BE"/>
        </w:rPr>
        <w:t>fin.fed.covid@health.fgov.be</w:t>
      </w:r>
      <w:r w:rsidRPr="00D71FFE">
        <w:rPr>
          <w:rFonts w:cstheme="minorHAnsi"/>
          <w:lang w:val="fr-BE"/>
        </w:rPr>
        <w:t>).</w:t>
      </w:r>
      <w:r w:rsidRPr="00D71FFE">
        <w:rPr>
          <w:lang w:val="fr-BE"/>
        </w:rPr>
        <w:tab/>
      </w:r>
    </w:p>
    <w:p w14:paraId="7C67B02E" w14:textId="31DDF7EA" w:rsidR="00446AC3" w:rsidRPr="00D71FFE" w:rsidRDefault="00436473" w:rsidP="00963746">
      <w:pPr>
        <w:pStyle w:val="Lijstalinea"/>
        <w:spacing w:before="160"/>
        <w:ind w:left="360"/>
        <w:jc w:val="both"/>
        <w:rPr>
          <w:b/>
          <w:bCs/>
          <w:lang w:val="fr-BE"/>
        </w:rPr>
      </w:pPr>
      <w:r w:rsidRPr="00D71FFE">
        <w:rPr>
          <w:b/>
          <w:bCs/>
          <w:lang w:val="fr-BE"/>
        </w:rPr>
        <w:t xml:space="preserve">Dans la table des matières : CTRL + clic sur le bouton </w:t>
      </w:r>
      <w:r w:rsidR="003C2898" w:rsidRPr="00D71FFE">
        <w:rPr>
          <w:b/>
          <w:bCs/>
          <w:lang w:val="fr-BE"/>
        </w:rPr>
        <w:t>gauche</w:t>
      </w:r>
      <w:r w:rsidRPr="00D71FFE">
        <w:rPr>
          <w:b/>
          <w:bCs/>
          <w:lang w:val="fr-BE"/>
        </w:rPr>
        <w:t xml:space="preserve"> de la souris pour consulter l'élément souhaité</w:t>
      </w:r>
    </w:p>
    <w:sdt>
      <w:sdtPr>
        <w:rPr>
          <w:rFonts w:asciiTheme="minorHAnsi" w:eastAsiaTheme="minorHAnsi" w:hAnsiTheme="minorHAnsi" w:cstheme="minorBidi"/>
          <w:color w:val="auto"/>
          <w:sz w:val="22"/>
          <w:szCs w:val="22"/>
          <w:lang w:val="nl-NL" w:eastAsia="en-US"/>
        </w:rPr>
        <w:id w:val="855851117"/>
        <w:docPartObj>
          <w:docPartGallery w:val="Table of Contents"/>
          <w:docPartUnique/>
        </w:docPartObj>
      </w:sdtPr>
      <w:sdtEndPr>
        <w:rPr>
          <w:b/>
          <w:bCs/>
        </w:rPr>
      </w:sdtEndPr>
      <w:sdtContent>
        <w:p w14:paraId="11DDAB12" w14:textId="72434382" w:rsidR="00897C60" w:rsidRDefault="00897C60">
          <w:pPr>
            <w:pStyle w:val="Kopvaninhoudsopgave"/>
          </w:pPr>
          <w:r>
            <w:rPr>
              <w:lang w:val="nl-NL"/>
            </w:rPr>
            <w:t>Inhoud</w:t>
          </w:r>
        </w:p>
        <w:p w14:paraId="6002F888" w14:textId="53CB1896" w:rsidR="00DF5A6D" w:rsidRDefault="00897C60">
          <w:pPr>
            <w:pStyle w:val="Inhopg1"/>
            <w:tabs>
              <w:tab w:val="left" w:pos="440"/>
              <w:tab w:val="right" w:leader="dot" w:pos="9062"/>
            </w:tabs>
            <w:rPr>
              <w:rFonts w:cstheme="minorBidi"/>
              <w:noProof/>
            </w:rPr>
          </w:pPr>
          <w:r>
            <w:fldChar w:fldCharType="begin"/>
          </w:r>
          <w:r>
            <w:instrText xml:space="preserve"> TOC \o "1-3" \h \z \u </w:instrText>
          </w:r>
          <w:r>
            <w:fldChar w:fldCharType="separate"/>
          </w:r>
          <w:hyperlink w:anchor="_Toc67817054" w:history="1">
            <w:r w:rsidR="00DF5A6D" w:rsidRPr="00971885">
              <w:rPr>
                <w:rStyle w:val="Hyperlink"/>
                <w:b/>
                <w:bCs/>
                <w:noProof/>
                <w:lang w:val="fr-BE"/>
              </w:rPr>
              <w:t>1.</w:t>
            </w:r>
            <w:r w:rsidR="00DF5A6D">
              <w:rPr>
                <w:rFonts w:cstheme="minorBidi"/>
                <w:noProof/>
              </w:rPr>
              <w:tab/>
            </w:r>
            <w:r w:rsidR="00DF5A6D" w:rsidRPr="00971885">
              <w:rPr>
                <w:rStyle w:val="Hyperlink"/>
                <w:b/>
                <w:bCs/>
                <w:noProof/>
                <w:lang w:val="fr-BE"/>
              </w:rPr>
              <w:t>Contexte</w:t>
            </w:r>
            <w:r w:rsidR="00DF5A6D">
              <w:rPr>
                <w:noProof/>
                <w:webHidden/>
              </w:rPr>
              <w:tab/>
            </w:r>
            <w:r w:rsidR="00DF5A6D">
              <w:rPr>
                <w:noProof/>
                <w:webHidden/>
              </w:rPr>
              <w:fldChar w:fldCharType="begin"/>
            </w:r>
            <w:r w:rsidR="00DF5A6D">
              <w:rPr>
                <w:noProof/>
                <w:webHidden/>
              </w:rPr>
              <w:instrText xml:space="preserve"> PAGEREF _Toc67817054 \h </w:instrText>
            </w:r>
            <w:r w:rsidR="00DF5A6D">
              <w:rPr>
                <w:noProof/>
                <w:webHidden/>
              </w:rPr>
            </w:r>
            <w:r w:rsidR="00DF5A6D">
              <w:rPr>
                <w:noProof/>
                <w:webHidden/>
              </w:rPr>
              <w:fldChar w:fldCharType="separate"/>
            </w:r>
            <w:r w:rsidR="006E49B5">
              <w:rPr>
                <w:noProof/>
                <w:webHidden/>
              </w:rPr>
              <w:t>2</w:t>
            </w:r>
            <w:r w:rsidR="00DF5A6D">
              <w:rPr>
                <w:noProof/>
                <w:webHidden/>
              </w:rPr>
              <w:fldChar w:fldCharType="end"/>
            </w:r>
          </w:hyperlink>
        </w:p>
        <w:p w14:paraId="6D05678C" w14:textId="0F43F34E" w:rsidR="00DF5A6D" w:rsidRDefault="004D33D5">
          <w:pPr>
            <w:pStyle w:val="Inhopg1"/>
            <w:tabs>
              <w:tab w:val="left" w:pos="440"/>
              <w:tab w:val="right" w:leader="dot" w:pos="9062"/>
            </w:tabs>
            <w:rPr>
              <w:rFonts w:cstheme="minorBidi"/>
              <w:noProof/>
            </w:rPr>
          </w:pPr>
          <w:hyperlink w:anchor="_Toc67817055" w:history="1">
            <w:r w:rsidR="00DF5A6D" w:rsidRPr="00971885">
              <w:rPr>
                <w:rStyle w:val="Hyperlink"/>
                <w:b/>
                <w:bCs/>
                <w:noProof/>
                <w:lang w:val="fr-BE"/>
              </w:rPr>
              <w:t>2.</w:t>
            </w:r>
            <w:r w:rsidR="00DF5A6D">
              <w:rPr>
                <w:rFonts w:cstheme="minorBidi"/>
                <w:noProof/>
              </w:rPr>
              <w:tab/>
            </w:r>
            <w:r w:rsidR="00DF5A6D" w:rsidRPr="00971885">
              <w:rPr>
                <w:rStyle w:val="Hyperlink"/>
                <w:b/>
                <w:bCs/>
                <w:noProof/>
                <w:lang w:val="fr-BE"/>
              </w:rPr>
              <w:t>Principales modifications apportées à la FAQ par rapport à la version du 14 décembre 2020</w:t>
            </w:r>
            <w:r w:rsidR="00DF5A6D">
              <w:rPr>
                <w:noProof/>
                <w:webHidden/>
              </w:rPr>
              <w:tab/>
            </w:r>
            <w:r w:rsidR="00DF5A6D">
              <w:rPr>
                <w:noProof/>
                <w:webHidden/>
              </w:rPr>
              <w:fldChar w:fldCharType="begin"/>
            </w:r>
            <w:r w:rsidR="00DF5A6D">
              <w:rPr>
                <w:noProof/>
                <w:webHidden/>
              </w:rPr>
              <w:instrText xml:space="preserve"> PAGEREF _Toc67817055 \h </w:instrText>
            </w:r>
            <w:r w:rsidR="00DF5A6D">
              <w:rPr>
                <w:noProof/>
                <w:webHidden/>
              </w:rPr>
            </w:r>
            <w:r w:rsidR="00DF5A6D">
              <w:rPr>
                <w:noProof/>
                <w:webHidden/>
              </w:rPr>
              <w:fldChar w:fldCharType="separate"/>
            </w:r>
            <w:r w:rsidR="006E49B5">
              <w:rPr>
                <w:noProof/>
                <w:webHidden/>
              </w:rPr>
              <w:t>3</w:t>
            </w:r>
            <w:r w:rsidR="00DF5A6D">
              <w:rPr>
                <w:noProof/>
                <w:webHidden/>
              </w:rPr>
              <w:fldChar w:fldCharType="end"/>
            </w:r>
          </w:hyperlink>
        </w:p>
        <w:p w14:paraId="03626684" w14:textId="64E5EE92" w:rsidR="00DF5A6D" w:rsidRDefault="004D33D5">
          <w:pPr>
            <w:pStyle w:val="Inhopg1"/>
            <w:tabs>
              <w:tab w:val="left" w:pos="440"/>
              <w:tab w:val="right" w:leader="dot" w:pos="9062"/>
            </w:tabs>
            <w:rPr>
              <w:rFonts w:cstheme="minorBidi"/>
              <w:noProof/>
            </w:rPr>
          </w:pPr>
          <w:hyperlink w:anchor="_Toc67817056" w:history="1">
            <w:r w:rsidR="00DF5A6D" w:rsidRPr="00971885">
              <w:rPr>
                <w:rStyle w:val="Hyperlink"/>
                <w:b/>
                <w:bCs/>
                <w:noProof/>
                <w:lang w:val="fr-BE"/>
              </w:rPr>
              <w:t>3.</w:t>
            </w:r>
            <w:r w:rsidR="00DF5A6D">
              <w:rPr>
                <w:rFonts w:cstheme="minorBidi"/>
                <w:noProof/>
              </w:rPr>
              <w:tab/>
            </w:r>
            <w:r w:rsidR="00DF5A6D" w:rsidRPr="00971885">
              <w:rPr>
                <w:rStyle w:val="Hyperlink"/>
                <w:b/>
                <w:bCs/>
                <w:noProof/>
                <w:lang w:val="fr-BE"/>
              </w:rPr>
              <w:t>La suite</w:t>
            </w:r>
            <w:r w:rsidR="00DF5A6D">
              <w:rPr>
                <w:noProof/>
                <w:webHidden/>
              </w:rPr>
              <w:tab/>
            </w:r>
            <w:r w:rsidR="00DF5A6D">
              <w:rPr>
                <w:noProof/>
                <w:webHidden/>
              </w:rPr>
              <w:fldChar w:fldCharType="begin"/>
            </w:r>
            <w:r w:rsidR="00DF5A6D">
              <w:rPr>
                <w:noProof/>
                <w:webHidden/>
              </w:rPr>
              <w:instrText xml:space="preserve"> PAGEREF _Toc67817056 \h </w:instrText>
            </w:r>
            <w:r w:rsidR="00DF5A6D">
              <w:rPr>
                <w:noProof/>
                <w:webHidden/>
              </w:rPr>
            </w:r>
            <w:r w:rsidR="00DF5A6D">
              <w:rPr>
                <w:noProof/>
                <w:webHidden/>
              </w:rPr>
              <w:fldChar w:fldCharType="separate"/>
            </w:r>
            <w:r w:rsidR="006E49B5">
              <w:rPr>
                <w:noProof/>
                <w:webHidden/>
              </w:rPr>
              <w:t>4</w:t>
            </w:r>
            <w:r w:rsidR="00DF5A6D">
              <w:rPr>
                <w:noProof/>
                <w:webHidden/>
              </w:rPr>
              <w:fldChar w:fldCharType="end"/>
            </w:r>
          </w:hyperlink>
        </w:p>
        <w:p w14:paraId="710384C8" w14:textId="17BD0375" w:rsidR="00DF5A6D" w:rsidRDefault="004D33D5">
          <w:pPr>
            <w:pStyle w:val="Inhopg1"/>
            <w:tabs>
              <w:tab w:val="left" w:pos="440"/>
              <w:tab w:val="right" w:leader="dot" w:pos="9062"/>
            </w:tabs>
            <w:rPr>
              <w:rFonts w:cstheme="minorBidi"/>
              <w:noProof/>
            </w:rPr>
          </w:pPr>
          <w:hyperlink w:anchor="_Toc67817057" w:history="1">
            <w:r w:rsidR="00DF5A6D" w:rsidRPr="00971885">
              <w:rPr>
                <w:rStyle w:val="Hyperlink"/>
                <w:b/>
                <w:bCs/>
                <w:noProof/>
                <w:lang w:val="fr-BE"/>
              </w:rPr>
              <w:t>4.</w:t>
            </w:r>
            <w:r w:rsidR="00DF5A6D">
              <w:rPr>
                <w:rFonts w:cstheme="minorBidi"/>
                <w:noProof/>
              </w:rPr>
              <w:tab/>
            </w:r>
            <w:r w:rsidR="00DF5A6D" w:rsidRPr="00971885">
              <w:rPr>
                <w:rStyle w:val="Hyperlink"/>
                <w:b/>
                <w:bCs/>
                <w:noProof/>
                <w:lang w:val="fr-BE"/>
              </w:rPr>
              <w:t>AR du 30 octobre 2020 fixant les modalités d’octroi d'une intervention financière fédérale exceptionnelle aux hôpitaux dans le cadre de l'épidémie de coronavirus COVID-19</w:t>
            </w:r>
            <w:r w:rsidR="00DF5A6D">
              <w:rPr>
                <w:noProof/>
                <w:webHidden/>
              </w:rPr>
              <w:tab/>
            </w:r>
            <w:r w:rsidR="00DF5A6D">
              <w:rPr>
                <w:noProof/>
                <w:webHidden/>
              </w:rPr>
              <w:fldChar w:fldCharType="begin"/>
            </w:r>
            <w:r w:rsidR="00DF5A6D">
              <w:rPr>
                <w:noProof/>
                <w:webHidden/>
              </w:rPr>
              <w:instrText xml:space="preserve"> PAGEREF _Toc67817057 \h </w:instrText>
            </w:r>
            <w:r w:rsidR="00DF5A6D">
              <w:rPr>
                <w:noProof/>
                <w:webHidden/>
              </w:rPr>
            </w:r>
            <w:r w:rsidR="00DF5A6D">
              <w:rPr>
                <w:noProof/>
                <w:webHidden/>
              </w:rPr>
              <w:fldChar w:fldCharType="separate"/>
            </w:r>
            <w:r w:rsidR="006E49B5">
              <w:rPr>
                <w:noProof/>
                <w:webHidden/>
              </w:rPr>
              <w:t>5</w:t>
            </w:r>
            <w:r w:rsidR="00DF5A6D">
              <w:rPr>
                <w:noProof/>
                <w:webHidden/>
              </w:rPr>
              <w:fldChar w:fldCharType="end"/>
            </w:r>
          </w:hyperlink>
        </w:p>
        <w:p w14:paraId="2F09DAA7" w14:textId="62E56A71" w:rsidR="00DF5A6D" w:rsidRDefault="004D33D5">
          <w:pPr>
            <w:pStyle w:val="Inhopg2"/>
            <w:rPr>
              <w:rFonts w:cstheme="minorBidi"/>
              <w:noProof/>
            </w:rPr>
          </w:pPr>
          <w:hyperlink w:anchor="_Toc67817058" w:history="1">
            <w:r w:rsidR="00DF5A6D" w:rsidRPr="00971885">
              <w:rPr>
                <w:rStyle w:val="Hyperlink"/>
                <w:noProof/>
                <w:lang w:val="fr-BE"/>
              </w:rPr>
              <w:t>4.1.</w:t>
            </w:r>
            <w:r w:rsidR="00DF5A6D">
              <w:rPr>
                <w:rFonts w:cstheme="minorBidi"/>
                <w:noProof/>
              </w:rPr>
              <w:tab/>
            </w:r>
            <w:r w:rsidR="00DF5A6D" w:rsidRPr="00971885">
              <w:rPr>
                <w:rStyle w:val="Hyperlink"/>
                <w:b/>
                <w:bCs/>
                <w:noProof/>
                <w:lang w:val="fr-BE"/>
              </w:rPr>
              <w:t>Chapitre 1 : à quoi servent les interventions ?</w:t>
            </w:r>
            <w:r w:rsidR="00DF5A6D">
              <w:rPr>
                <w:noProof/>
                <w:webHidden/>
              </w:rPr>
              <w:tab/>
            </w:r>
            <w:r w:rsidR="00DF5A6D">
              <w:rPr>
                <w:noProof/>
                <w:webHidden/>
              </w:rPr>
              <w:fldChar w:fldCharType="begin"/>
            </w:r>
            <w:r w:rsidR="00DF5A6D">
              <w:rPr>
                <w:noProof/>
                <w:webHidden/>
              </w:rPr>
              <w:instrText xml:space="preserve"> PAGEREF _Toc67817058 \h </w:instrText>
            </w:r>
            <w:r w:rsidR="00DF5A6D">
              <w:rPr>
                <w:noProof/>
                <w:webHidden/>
              </w:rPr>
            </w:r>
            <w:r w:rsidR="00DF5A6D">
              <w:rPr>
                <w:noProof/>
                <w:webHidden/>
              </w:rPr>
              <w:fldChar w:fldCharType="separate"/>
            </w:r>
            <w:r w:rsidR="006E49B5">
              <w:rPr>
                <w:noProof/>
                <w:webHidden/>
              </w:rPr>
              <w:t>5</w:t>
            </w:r>
            <w:r w:rsidR="00DF5A6D">
              <w:rPr>
                <w:noProof/>
                <w:webHidden/>
              </w:rPr>
              <w:fldChar w:fldCharType="end"/>
            </w:r>
          </w:hyperlink>
        </w:p>
        <w:p w14:paraId="28160506" w14:textId="06580647" w:rsidR="00DF5A6D" w:rsidRDefault="004D33D5">
          <w:pPr>
            <w:pStyle w:val="Inhopg2"/>
            <w:rPr>
              <w:rFonts w:cstheme="minorBidi"/>
              <w:noProof/>
            </w:rPr>
          </w:pPr>
          <w:hyperlink w:anchor="_Toc67817059" w:history="1">
            <w:r w:rsidR="00DF5A6D" w:rsidRPr="00971885">
              <w:rPr>
                <w:rStyle w:val="Hyperlink"/>
                <w:noProof/>
                <w:lang w:val="fr-BE"/>
              </w:rPr>
              <w:t>4.2.</w:t>
            </w:r>
            <w:r w:rsidR="00DF5A6D">
              <w:rPr>
                <w:rFonts w:cstheme="minorBidi"/>
                <w:noProof/>
              </w:rPr>
              <w:tab/>
            </w:r>
            <w:r w:rsidR="00DF5A6D" w:rsidRPr="00971885">
              <w:rPr>
                <w:rStyle w:val="Hyperlink"/>
                <w:b/>
                <w:bCs/>
                <w:noProof/>
                <w:lang w:val="fr-BE"/>
              </w:rPr>
              <w:t>Chapitre 2 : intervention forfaitaire dans les frais exceptionnels : quels frais et quelles interventions ?</w:t>
            </w:r>
            <w:r w:rsidR="00DF5A6D">
              <w:rPr>
                <w:noProof/>
                <w:webHidden/>
              </w:rPr>
              <w:tab/>
            </w:r>
            <w:r w:rsidR="00DF5A6D">
              <w:rPr>
                <w:noProof/>
                <w:webHidden/>
              </w:rPr>
              <w:fldChar w:fldCharType="begin"/>
            </w:r>
            <w:r w:rsidR="00DF5A6D">
              <w:rPr>
                <w:noProof/>
                <w:webHidden/>
              </w:rPr>
              <w:instrText xml:space="preserve"> PAGEREF _Toc67817059 \h </w:instrText>
            </w:r>
            <w:r w:rsidR="00DF5A6D">
              <w:rPr>
                <w:noProof/>
                <w:webHidden/>
              </w:rPr>
            </w:r>
            <w:r w:rsidR="00DF5A6D">
              <w:rPr>
                <w:noProof/>
                <w:webHidden/>
              </w:rPr>
              <w:fldChar w:fldCharType="separate"/>
            </w:r>
            <w:r w:rsidR="006E49B5">
              <w:rPr>
                <w:noProof/>
                <w:webHidden/>
              </w:rPr>
              <w:t>5</w:t>
            </w:r>
            <w:r w:rsidR="00DF5A6D">
              <w:rPr>
                <w:noProof/>
                <w:webHidden/>
              </w:rPr>
              <w:fldChar w:fldCharType="end"/>
            </w:r>
          </w:hyperlink>
        </w:p>
        <w:p w14:paraId="6FCB6E2D" w14:textId="6B8497C3" w:rsidR="00DF5A6D" w:rsidRDefault="004D33D5">
          <w:pPr>
            <w:pStyle w:val="Inhopg2"/>
            <w:rPr>
              <w:rFonts w:cstheme="minorBidi"/>
              <w:noProof/>
            </w:rPr>
          </w:pPr>
          <w:hyperlink w:anchor="_Toc67817060" w:history="1">
            <w:r w:rsidR="00DF5A6D" w:rsidRPr="00971885">
              <w:rPr>
                <w:rStyle w:val="Hyperlink"/>
                <w:noProof/>
                <w:lang w:val="fr-BE"/>
              </w:rPr>
              <w:t>4.3.</w:t>
            </w:r>
            <w:r w:rsidR="00DF5A6D">
              <w:rPr>
                <w:rFonts w:cstheme="minorBidi"/>
                <w:noProof/>
              </w:rPr>
              <w:tab/>
            </w:r>
            <w:r w:rsidR="00DF5A6D" w:rsidRPr="00971885">
              <w:rPr>
                <w:rStyle w:val="Hyperlink"/>
                <w:b/>
                <w:bCs/>
                <w:noProof/>
                <w:lang w:val="fr-BE"/>
              </w:rPr>
              <w:t>Chapitre 3 : intervention pour les hôpitaux afin qu'ils puissent continuer à payer les frais de fonctionnement récurrents dans le cadre d'une diminution de leurs activités</w:t>
            </w:r>
            <w:r w:rsidR="00DF5A6D">
              <w:rPr>
                <w:noProof/>
                <w:webHidden/>
              </w:rPr>
              <w:tab/>
            </w:r>
            <w:r w:rsidR="00DF5A6D">
              <w:rPr>
                <w:noProof/>
                <w:webHidden/>
              </w:rPr>
              <w:fldChar w:fldCharType="begin"/>
            </w:r>
            <w:r w:rsidR="00DF5A6D">
              <w:rPr>
                <w:noProof/>
                <w:webHidden/>
              </w:rPr>
              <w:instrText xml:space="preserve"> PAGEREF _Toc67817060 \h </w:instrText>
            </w:r>
            <w:r w:rsidR="00DF5A6D">
              <w:rPr>
                <w:noProof/>
                <w:webHidden/>
              </w:rPr>
            </w:r>
            <w:r w:rsidR="00DF5A6D">
              <w:rPr>
                <w:noProof/>
                <w:webHidden/>
              </w:rPr>
              <w:fldChar w:fldCharType="separate"/>
            </w:r>
            <w:r w:rsidR="006E49B5">
              <w:rPr>
                <w:noProof/>
                <w:webHidden/>
              </w:rPr>
              <w:t>6</w:t>
            </w:r>
            <w:r w:rsidR="00DF5A6D">
              <w:rPr>
                <w:noProof/>
                <w:webHidden/>
              </w:rPr>
              <w:fldChar w:fldCharType="end"/>
            </w:r>
          </w:hyperlink>
        </w:p>
        <w:p w14:paraId="6A4E9A9F" w14:textId="764D24CA" w:rsidR="00DF5A6D" w:rsidRDefault="004D33D5">
          <w:pPr>
            <w:pStyle w:val="Inhopg3"/>
            <w:tabs>
              <w:tab w:val="right" w:leader="dot" w:pos="9062"/>
            </w:tabs>
            <w:rPr>
              <w:rFonts w:cstheme="minorBidi"/>
              <w:noProof/>
            </w:rPr>
          </w:pPr>
          <w:hyperlink w:anchor="_Toc67817061" w:history="1">
            <w:r w:rsidR="00DF5A6D" w:rsidRPr="00971885">
              <w:rPr>
                <w:rStyle w:val="Hyperlink"/>
                <w:b/>
                <w:bCs/>
                <w:i/>
                <w:iCs/>
                <w:noProof/>
                <w:lang w:val="fr-BE"/>
              </w:rPr>
              <w:t>Q &amp; R Chapitre 3</w:t>
            </w:r>
            <w:r w:rsidR="00DF5A6D">
              <w:rPr>
                <w:noProof/>
                <w:webHidden/>
              </w:rPr>
              <w:tab/>
            </w:r>
            <w:r w:rsidR="00DF5A6D">
              <w:rPr>
                <w:noProof/>
                <w:webHidden/>
              </w:rPr>
              <w:fldChar w:fldCharType="begin"/>
            </w:r>
            <w:r w:rsidR="00DF5A6D">
              <w:rPr>
                <w:noProof/>
                <w:webHidden/>
              </w:rPr>
              <w:instrText xml:space="preserve"> PAGEREF _Toc67817061 \h </w:instrText>
            </w:r>
            <w:r w:rsidR="00DF5A6D">
              <w:rPr>
                <w:noProof/>
                <w:webHidden/>
              </w:rPr>
            </w:r>
            <w:r w:rsidR="00DF5A6D">
              <w:rPr>
                <w:noProof/>
                <w:webHidden/>
              </w:rPr>
              <w:fldChar w:fldCharType="separate"/>
            </w:r>
            <w:r w:rsidR="006E49B5">
              <w:rPr>
                <w:noProof/>
                <w:webHidden/>
              </w:rPr>
              <w:t>8</w:t>
            </w:r>
            <w:r w:rsidR="00DF5A6D">
              <w:rPr>
                <w:noProof/>
                <w:webHidden/>
              </w:rPr>
              <w:fldChar w:fldCharType="end"/>
            </w:r>
          </w:hyperlink>
        </w:p>
        <w:p w14:paraId="648EC3B7" w14:textId="3397633E" w:rsidR="00DF5A6D" w:rsidRDefault="004D33D5">
          <w:pPr>
            <w:pStyle w:val="Inhopg2"/>
            <w:rPr>
              <w:rFonts w:cstheme="minorBidi"/>
              <w:noProof/>
            </w:rPr>
          </w:pPr>
          <w:hyperlink w:anchor="_Toc67817062" w:history="1">
            <w:r w:rsidR="00DF5A6D" w:rsidRPr="00971885">
              <w:rPr>
                <w:rStyle w:val="Hyperlink"/>
                <w:noProof/>
                <w:lang w:val="fr-BE"/>
              </w:rPr>
              <w:t>4.4.</w:t>
            </w:r>
            <w:r w:rsidR="00DF5A6D">
              <w:rPr>
                <w:rFonts w:cstheme="minorBidi"/>
                <w:noProof/>
              </w:rPr>
              <w:tab/>
            </w:r>
            <w:r w:rsidR="00DF5A6D" w:rsidRPr="00971885">
              <w:rPr>
                <w:rStyle w:val="Hyperlink"/>
                <w:b/>
                <w:bCs/>
                <w:noProof/>
                <w:lang w:val="fr-BE"/>
              </w:rPr>
              <w:t>Chapitre 4 : intervention pour les activités supplémentaires des prestataires de soins habituellement financés par des honoraires</w:t>
            </w:r>
            <w:r w:rsidR="00DF5A6D">
              <w:rPr>
                <w:noProof/>
                <w:webHidden/>
              </w:rPr>
              <w:tab/>
            </w:r>
            <w:r w:rsidR="00DF5A6D">
              <w:rPr>
                <w:noProof/>
                <w:webHidden/>
              </w:rPr>
              <w:fldChar w:fldCharType="begin"/>
            </w:r>
            <w:r w:rsidR="00DF5A6D">
              <w:rPr>
                <w:noProof/>
                <w:webHidden/>
              </w:rPr>
              <w:instrText xml:space="preserve"> PAGEREF _Toc67817062 \h </w:instrText>
            </w:r>
            <w:r w:rsidR="00DF5A6D">
              <w:rPr>
                <w:noProof/>
                <w:webHidden/>
              </w:rPr>
            </w:r>
            <w:r w:rsidR="00DF5A6D">
              <w:rPr>
                <w:noProof/>
                <w:webHidden/>
              </w:rPr>
              <w:fldChar w:fldCharType="separate"/>
            </w:r>
            <w:r w:rsidR="006E49B5">
              <w:rPr>
                <w:noProof/>
                <w:webHidden/>
              </w:rPr>
              <w:t>9</w:t>
            </w:r>
            <w:r w:rsidR="00DF5A6D">
              <w:rPr>
                <w:noProof/>
                <w:webHidden/>
              </w:rPr>
              <w:fldChar w:fldCharType="end"/>
            </w:r>
          </w:hyperlink>
        </w:p>
        <w:p w14:paraId="53F72A48" w14:textId="386F7572" w:rsidR="00DF5A6D" w:rsidRDefault="004D33D5">
          <w:pPr>
            <w:pStyle w:val="Inhopg3"/>
            <w:tabs>
              <w:tab w:val="right" w:leader="dot" w:pos="9062"/>
            </w:tabs>
            <w:rPr>
              <w:rFonts w:cstheme="minorBidi"/>
              <w:noProof/>
            </w:rPr>
          </w:pPr>
          <w:hyperlink w:anchor="_Toc67817063" w:history="1">
            <w:r w:rsidR="00DF5A6D" w:rsidRPr="00971885">
              <w:rPr>
                <w:rStyle w:val="Hyperlink"/>
                <w:b/>
                <w:bCs/>
                <w:i/>
                <w:iCs/>
                <w:noProof/>
                <w:lang w:val="fr-BE"/>
              </w:rPr>
              <w:t>Q &amp; R Chapitre 4 (généralités, pour les MSF/MGF : cf. FAQ distincte)</w:t>
            </w:r>
            <w:r w:rsidR="00DF5A6D">
              <w:rPr>
                <w:noProof/>
                <w:webHidden/>
              </w:rPr>
              <w:tab/>
            </w:r>
            <w:r w:rsidR="00DF5A6D">
              <w:rPr>
                <w:noProof/>
                <w:webHidden/>
              </w:rPr>
              <w:fldChar w:fldCharType="begin"/>
            </w:r>
            <w:r w:rsidR="00DF5A6D">
              <w:rPr>
                <w:noProof/>
                <w:webHidden/>
              </w:rPr>
              <w:instrText xml:space="preserve"> PAGEREF _Toc67817063 \h </w:instrText>
            </w:r>
            <w:r w:rsidR="00DF5A6D">
              <w:rPr>
                <w:noProof/>
                <w:webHidden/>
              </w:rPr>
            </w:r>
            <w:r w:rsidR="00DF5A6D">
              <w:rPr>
                <w:noProof/>
                <w:webHidden/>
              </w:rPr>
              <w:fldChar w:fldCharType="separate"/>
            </w:r>
            <w:r w:rsidR="006E49B5">
              <w:rPr>
                <w:noProof/>
                <w:webHidden/>
              </w:rPr>
              <w:t>12</w:t>
            </w:r>
            <w:r w:rsidR="00DF5A6D">
              <w:rPr>
                <w:noProof/>
                <w:webHidden/>
              </w:rPr>
              <w:fldChar w:fldCharType="end"/>
            </w:r>
          </w:hyperlink>
        </w:p>
        <w:p w14:paraId="4C1DEE16" w14:textId="3C54B9AE" w:rsidR="00DF5A6D" w:rsidRDefault="004D33D5">
          <w:pPr>
            <w:pStyle w:val="Inhopg2"/>
            <w:rPr>
              <w:rFonts w:cstheme="minorBidi"/>
              <w:noProof/>
            </w:rPr>
          </w:pPr>
          <w:hyperlink w:anchor="_Toc67817064" w:history="1">
            <w:r w:rsidR="00DF5A6D" w:rsidRPr="00971885">
              <w:rPr>
                <w:rStyle w:val="Hyperlink"/>
                <w:noProof/>
                <w:lang w:val="fr-BE"/>
              </w:rPr>
              <w:t>4.5.</w:t>
            </w:r>
            <w:r w:rsidR="00DF5A6D">
              <w:rPr>
                <w:rFonts w:cstheme="minorBidi"/>
                <w:noProof/>
              </w:rPr>
              <w:tab/>
            </w:r>
            <w:r w:rsidR="00DF5A6D" w:rsidRPr="00971885">
              <w:rPr>
                <w:rStyle w:val="Hyperlink"/>
                <w:b/>
                <w:bCs/>
                <w:noProof/>
                <w:lang w:val="fr-BE"/>
              </w:rPr>
              <w:t>Chapitre 5 : intervention pour la disponibilité des prestataires de soins qui sont rémunérés par des honoraires, dans le cadre de l'obligation de réserver un pourcentage de capacité en lits pour les soins COVID-19</w:t>
            </w:r>
            <w:r w:rsidR="00DF5A6D">
              <w:rPr>
                <w:noProof/>
                <w:webHidden/>
              </w:rPr>
              <w:tab/>
            </w:r>
            <w:r w:rsidR="00DF5A6D">
              <w:rPr>
                <w:noProof/>
                <w:webHidden/>
              </w:rPr>
              <w:fldChar w:fldCharType="begin"/>
            </w:r>
            <w:r w:rsidR="00DF5A6D">
              <w:rPr>
                <w:noProof/>
                <w:webHidden/>
              </w:rPr>
              <w:instrText xml:space="preserve"> PAGEREF _Toc67817064 \h </w:instrText>
            </w:r>
            <w:r w:rsidR="00DF5A6D">
              <w:rPr>
                <w:noProof/>
                <w:webHidden/>
              </w:rPr>
            </w:r>
            <w:r w:rsidR="00DF5A6D">
              <w:rPr>
                <w:noProof/>
                <w:webHidden/>
              </w:rPr>
              <w:fldChar w:fldCharType="separate"/>
            </w:r>
            <w:r w:rsidR="006E49B5">
              <w:rPr>
                <w:noProof/>
                <w:webHidden/>
              </w:rPr>
              <w:t>15</w:t>
            </w:r>
            <w:r w:rsidR="00DF5A6D">
              <w:rPr>
                <w:noProof/>
                <w:webHidden/>
              </w:rPr>
              <w:fldChar w:fldCharType="end"/>
            </w:r>
          </w:hyperlink>
        </w:p>
        <w:p w14:paraId="3343AB58" w14:textId="263C3CDD" w:rsidR="00DF5A6D" w:rsidRDefault="004D33D5">
          <w:pPr>
            <w:pStyle w:val="Inhopg2"/>
            <w:rPr>
              <w:rFonts w:cstheme="minorBidi"/>
              <w:noProof/>
            </w:rPr>
          </w:pPr>
          <w:hyperlink w:anchor="_Toc67817065" w:history="1">
            <w:r w:rsidR="00DF5A6D" w:rsidRPr="00971885">
              <w:rPr>
                <w:rStyle w:val="Hyperlink"/>
                <w:noProof/>
                <w:lang w:val="fr-BE"/>
              </w:rPr>
              <w:t>4.6.</w:t>
            </w:r>
            <w:r w:rsidR="00DF5A6D">
              <w:rPr>
                <w:rFonts w:cstheme="minorBidi"/>
                <w:noProof/>
              </w:rPr>
              <w:tab/>
            </w:r>
            <w:r w:rsidR="00DF5A6D" w:rsidRPr="00971885">
              <w:rPr>
                <w:rStyle w:val="Hyperlink"/>
                <w:b/>
                <w:bCs/>
                <w:noProof/>
                <w:lang w:val="fr-BE"/>
              </w:rPr>
              <w:t>Chapitre 6 : modalités spécifiques pour les compensations aux prestataires de soins habituellement rémunérés par des honoraires (pour leurs activités supplémentaires et leur disponibilité)</w:t>
            </w:r>
            <w:r w:rsidR="00DF5A6D">
              <w:rPr>
                <w:noProof/>
                <w:webHidden/>
              </w:rPr>
              <w:tab/>
            </w:r>
            <w:r w:rsidR="00DF5A6D">
              <w:rPr>
                <w:noProof/>
                <w:webHidden/>
              </w:rPr>
              <w:fldChar w:fldCharType="begin"/>
            </w:r>
            <w:r w:rsidR="00DF5A6D">
              <w:rPr>
                <w:noProof/>
                <w:webHidden/>
              </w:rPr>
              <w:instrText xml:space="preserve"> PAGEREF _Toc67817065 \h </w:instrText>
            </w:r>
            <w:r w:rsidR="00DF5A6D">
              <w:rPr>
                <w:noProof/>
                <w:webHidden/>
              </w:rPr>
            </w:r>
            <w:r w:rsidR="00DF5A6D">
              <w:rPr>
                <w:noProof/>
                <w:webHidden/>
              </w:rPr>
              <w:fldChar w:fldCharType="separate"/>
            </w:r>
            <w:r w:rsidR="006E49B5">
              <w:rPr>
                <w:noProof/>
                <w:webHidden/>
              </w:rPr>
              <w:t>15</w:t>
            </w:r>
            <w:r w:rsidR="00DF5A6D">
              <w:rPr>
                <w:noProof/>
                <w:webHidden/>
              </w:rPr>
              <w:fldChar w:fldCharType="end"/>
            </w:r>
          </w:hyperlink>
        </w:p>
        <w:p w14:paraId="46111148" w14:textId="5122D2EA" w:rsidR="00DF5A6D" w:rsidRDefault="004D33D5">
          <w:pPr>
            <w:pStyle w:val="Inhopg2"/>
            <w:rPr>
              <w:rFonts w:cstheme="minorBidi"/>
              <w:noProof/>
            </w:rPr>
          </w:pPr>
          <w:hyperlink w:anchor="_Toc67817066" w:history="1">
            <w:r w:rsidR="00DF5A6D" w:rsidRPr="00971885">
              <w:rPr>
                <w:rStyle w:val="Hyperlink"/>
                <w:noProof/>
                <w:lang w:val="fr-BE"/>
              </w:rPr>
              <w:t>4.7.</w:t>
            </w:r>
            <w:r w:rsidR="00DF5A6D">
              <w:rPr>
                <w:rFonts w:cstheme="minorBidi"/>
                <w:noProof/>
              </w:rPr>
              <w:tab/>
            </w:r>
            <w:r w:rsidR="00DF5A6D" w:rsidRPr="00971885">
              <w:rPr>
                <w:rStyle w:val="Hyperlink"/>
                <w:b/>
                <w:bCs/>
                <w:noProof/>
                <w:lang w:val="fr-BE"/>
              </w:rPr>
              <w:t>Chapitre 7 : Planning du calcul et des décomptes</w:t>
            </w:r>
            <w:r w:rsidR="00DF5A6D">
              <w:rPr>
                <w:noProof/>
                <w:webHidden/>
              </w:rPr>
              <w:tab/>
            </w:r>
            <w:r w:rsidR="00DF5A6D">
              <w:rPr>
                <w:noProof/>
                <w:webHidden/>
              </w:rPr>
              <w:fldChar w:fldCharType="begin"/>
            </w:r>
            <w:r w:rsidR="00DF5A6D">
              <w:rPr>
                <w:noProof/>
                <w:webHidden/>
              </w:rPr>
              <w:instrText xml:space="preserve"> PAGEREF _Toc67817066 \h </w:instrText>
            </w:r>
            <w:r w:rsidR="00DF5A6D">
              <w:rPr>
                <w:noProof/>
                <w:webHidden/>
              </w:rPr>
            </w:r>
            <w:r w:rsidR="00DF5A6D">
              <w:rPr>
                <w:noProof/>
                <w:webHidden/>
              </w:rPr>
              <w:fldChar w:fldCharType="separate"/>
            </w:r>
            <w:r w:rsidR="006E49B5">
              <w:rPr>
                <w:noProof/>
                <w:webHidden/>
              </w:rPr>
              <w:t>16</w:t>
            </w:r>
            <w:r w:rsidR="00DF5A6D">
              <w:rPr>
                <w:noProof/>
                <w:webHidden/>
              </w:rPr>
              <w:fldChar w:fldCharType="end"/>
            </w:r>
          </w:hyperlink>
        </w:p>
        <w:p w14:paraId="17D0C77B" w14:textId="6910CF56" w:rsidR="00DF5A6D" w:rsidRDefault="004D33D5">
          <w:pPr>
            <w:pStyle w:val="Inhopg3"/>
            <w:tabs>
              <w:tab w:val="right" w:leader="dot" w:pos="9062"/>
            </w:tabs>
            <w:rPr>
              <w:rFonts w:cstheme="minorBidi"/>
              <w:noProof/>
            </w:rPr>
          </w:pPr>
          <w:hyperlink w:anchor="_Toc67817067" w:history="1">
            <w:r w:rsidR="00DF5A6D" w:rsidRPr="00971885">
              <w:rPr>
                <w:rStyle w:val="Hyperlink"/>
                <w:b/>
                <w:bCs/>
                <w:i/>
                <w:iCs/>
                <w:noProof/>
                <w:lang w:val="fr-BE"/>
              </w:rPr>
              <w:t>Q &amp; R Chapitre 7</w:t>
            </w:r>
            <w:r w:rsidR="00DF5A6D">
              <w:rPr>
                <w:noProof/>
                <w:webHidden/>
              </w:rPr>
              <w:tab/>
            </w:r>
            <w:r w:rsidR="00DF5A6D">
              <w:rPr>
                <w:noProof/>
                <w:webHidden/>
              </w:rPr>
              <w:fldChar w:fldCharType="begin"/>
            </w:r>
            <w:r w:rsidR="00DF5A6D">
              <w:rPr>
                <w:noProof/>
                <w:webHidden/>
              </w:rPr>
              <w:instrText xml:space="preserve"> PAGEREF _Toc67817067 \h </w:instrText>
            </w:r>
            <w:r w:rsidR="00DF5A6D">
              <w:rPr>
                <w:noProof/>
                <w:webHidden/>
              </w:rPr>
            </w:r>
            <w:r w:rsidR="00DF5A6D">
              <w:rPr>
                <w:noProof/>
                <w:webHidden/>
              </w:rPr>
              <w:fldChar w:fldCharType="separate"/>
            </w:r>
            <w:r w:rsidR="006E49B5">
              <w:rPr>
                <w:noProof/>
                <w:webHidden/>
              </w:rPr>
              <w:t>17</w:t>
            </w:r>
            <w:r w:rsidR="00DF5A6D">
              <w:rPr>
                <w:noProof/>
                <w:webHidden/>
              </w:rPr>
              <w:fldChar w:fldCharType="end"/>
            </w:r>
          </w:hyperlink>
        </w:p>
        <w:p w14:paraId="3F8188BC" w14:textId="2FCF74B7" w:rsidR="00DF5A6D" w:rsidRDefault="004D33D5">
          <w:pPr>
            <w:pStyle w:val="Inhopg2"/>
            <w:rPr>
              <w:rFonts w:cstheme="minorBidi"/>
              <w:noProof/>
            </w:rPr>
          </w:pPr>
          <w:hyperlink w:anchor="_Toc67817068" w:history="1">
            <w:r w:rsidR="00DF5A6D" w:rsidRPr="00971885">
              <w:rPr>
                <w:rStyle w:val="Hyperlink"/>
                <w:noProof/>
                <w:lang w:val="fr-BE"/>
              </w:rPr>
              <w:t>4.8.</w:t>
            </w:r>
            <w:r w:rsidR="00DF5A6D">
              <w:rPr>
                <w:rFonts w:cstheme="minorBidi"/>
                <w:noProof/>
              </w:rPr>
              <w:tab/>
            </w:r>
            <w:r w:rsidR="00DF5A6D" w:rsidRPr="00971885">
              <w:rPr>
                <w:rStyle w:val="Hyperlink"/>
                <w:b/>
                <w:bCs/>
                <w:noProof/>
                <w:lang w:val="fr-BE"/>
              </w:rPr>
              <w:t>Chapitre 8 : généralités</w:t>
            </w:r>
            <w:r w:rsidR="00DF5A6D">
              <w:rPr>
                <w:noProof/>
                <w:webHidden/>
              </w:rPr>
              <w:tab/>
            </w:r>
            <w:r w:rsidR="00DF5A6D">
              <w:rPr>
                <w:noProof/>
                <w:webHidden/>
              </w:rPr>
              <w:fldChar w:fldCharType="begin"/>
            </w:r>
            <w:r w:rsidR="00DF5A6D">
              <w:rPr>
                <w:noProof/>
                <w:webHidden/>
              </w:rPr>
              <w:instrText xml:space="preserve"> PAGEREF _Toc67817068 \h </w:instrText>
            </w:r>
            <w:r w:rsidR="00DF5A6D">
              <w:rPr>
                <w:noProof/>
                <w:webHidden/>
              </w:rPr>
            </w:r>
            <w:r w:rsidR="00DF5A6D">
              <w:rPr>
                <w:noProof/>
                <w:webHidden/>
              </w:rPr>
              <w:fldChar w:fldCharType="separate"/>
            </w:r>
            <w:r w:rsidR="006E49B5">
              <w:rPr>
                <w:noProof/>
                <w:webHidden/>
              </w:rPr>
              <w:t>18</w:t>
            </w:r>
            <w:r w:rsidR="00DF5A6D">
              <w:rPr>
                <w:noProof/>
                <w:webHidden/>
              </w:rPr>
              <w:fldChar w:fldCharType="end"/>
            </w:r>
          </w:hyperlink>
        </w:p>
        <w:p w14:paraId="67675FF9" w14:textId="293D63EC" w:rsidR="00DF5A6D" w:rsidRDefault="004D33D5">
          <w:pPr>
            <w:pStyle w:val="Inhopg2"/>
            <w:rPr>
              <w:rFonts w:cstheme="minorBidi"/>
              <w:noProof/>
            </w:rPr>
          </w:pPr>
          <w:hyperlink w:anchor="_Toc67817069" w:history="1">
            <w:r w:rsidR="00DF5A6D" w:rsidRPr="00971885">
              <w:rPr>
                <w:rStyle w:val="Hyperlink"/>
                <w:noProof/>
                <w:lang w:val="fr-BE"/>
              </w:rPr>
              <w:t>4.9.</w:t>
            </w:r>
            <w:r w:rsidR="00DF5A6D">
              <w:rPr>
                <w:rFonts w:cstheme="minorBidi"/>
                <w:noProof/>
              </w:rPr>
              <w:tab/>
            </w:r>
            <w:r w:rsidR="00DF5A6D" w:rsidRPr="00971885">
              <w:rPr>
                <w:rStyle w:val="Hyperlink"/>
                <w:b/>
                <w:bCs/>
                <w:noProof/>
                <w:lang w:val="fr-BE"/>
              </w:rPr>
              <w:t>Interventions pour cotisations personnelles et tickets modérateurs</w:t>
            </w:r>
            <w:r w:rsidR="00DF5A6D">
              <w:rPr>
                <w:noProof/>
                <w:webHidden/>
              </w:rPr>
              <w:tab/>
            </w:r>
            <w:r w:rsidR="00DF5A6D">
              <w:rPr>
                <w:noProof/>
                <w:webHidden/>
              </w:rPr>
              <w:fldChar w:fldCharType="begin"/>
            </w:r>
            <w:r w:rsidR="00DF5A6D">
              <w:rPr>
                <w:noProof/>
                <w:webHidden/>
              </w:rPr>
              <w:instrText xml:space="preserve"> PAGEREF _Toc67817069 \h </w:instrText>
            </w:r>
            <w:r w:rsidR="00DF5A6D">
              <w:rPr>
                <w:noProof/>
                <w:webHidden/>
              </w:rPr>
            </w:r>
            <w:r w:rsidR="00DF5A6D">
              <w:rPr>
                <w:noProof/>
                <w:webHidden/>
              </w:rPr>
              <w:fldChar w:fldCharType="separate"/>
            </w:r>
            <w:r w:rsidR="006E49B5">
              <w:rPr>
                <w:noProof/>
                <w:webHidden/>
              </w:rPr>
              <w:t>18</w:t>
            </w:r>
            <w:r w:rsidR="00DF5A6D">
              <w:rPr>
                <w:noProof/>
                <w:webHidden/>
              </w:rPr>
              <w:fldChar w:fldCharType="end"/>
            </w:r>
          </w:hyperlink>
        </w:p>
        <w:p w14:paraId="03D9BED5" w14:textId="3D08359A" w:rsidR="00DF5A6D" w:rsidRDefault="004D33D5">
          <w:pPr>
            <w:pStyle w:val="Inhopg2"/>
            <w:rPr>
              <w:rFonts w:cstheme="minorBidi"/>
              <w:noProof/>
            </w:rPr>
          </w:pPr>
          <w:hyperlink w:anchor="_Toc67817070" w:history="1">
            <w:r w:rsidR="00DF5A6D" w:rsidRPr="00971885">
              <w:rPr>
                <w:rStyle w:val="Hyperlink"/>
                <w:noProof/>
                <w:lang w:val="fr-BE"/>
              </w:rPr>
              <w:t>4.10.</w:t>
            </w:r>
            <w:r w:rsidR="00DF5A6D">
              <w:rPr>
                <w:rFonts w:cstheme="minorBidi"/>
                <w:noProof/>
              </w:rPr>
              <w:tab/>
            </w:r>
            <w:r w:rsidR="00DF5A6D" w:rsidRPr="00971885">
              <w:rPr>
                <w:rStyle w:val="Hyperlink"/>
                <w:b/>
                <w:bCs/>
                <w:noProof/>
                <w:lang w:val="fr-BE"/>
              </w:rPr>
              <w:t>Interventions pour les patients non AMI</w:t>
            </w:r>
            <w:r w:rsidR="00DF5A6D">
              <w:rPr>
                <w:noProof/>
                <w:webHidden/>
              </w:rPr>
              <w:tab/>
            </w:r>
            <w:r w:rsidR="00DF5A6D">
              <w:rPr>
                <w:noProof/>
                <w:webHidden/>
              </w:rPr>
              <w:fldChar w:fldCharType="begin"/>
            </w:r>
            <w:r w:rsidR="00DF5A6D">
              <w:rPr>
                <w:noProof/>
                <w:webHidden/>
              </w:rPr>
              <w:instrText xml:space="preserve"> PAGEREF _Toc67817070 \h </w:instrText>
            </w:r>
            <w:r w:rsidR="00DF5A6D">
              <w:rPr>
                <w:noProof/>
                <w:webHidden/>
              </w:rPr>
            </w:r>
            <w:r w:rsidR="00DF5A6D">
              <w:rPr>
                <w:noProof/>
                <w:webHidden/>
              </w:rPr>
              <w:fldChar w:fldCharType="separate"/>
            </w:r>
            <w:r w:rsidR="006E49B5">
              <w:rPr>
                <w:noProof/>
                <w:webHidden/>
              </w:rPr>
              <w:t>18</w:t>
            </w:r>
            <w:r w:rsidR="00DF5A6D">
              <w:rPr>
                <w:noProof/>
                <w:webHidden/>
              </w:rPr>
              <w:fldChar w:fldCharType="end"/>
            </w:r>
          </w:hyperlink>
        </w:p>
        <w:p w14:paraId="7FF88F20" w14:textId="537AB005" w:rsidR="00897C60" w:rsidRDefault="00897C60">
          <w:r>
            <w:rPr>
              <w:b/>
              <w:bCs/>
              <w:lang w:val="nl-NL"/>
            </w:rPr>
            <w:fldChar w:fldCharType="end"/>
          </w:r>
        </w:p>
      </w:sdtContent>
    </w:sdt>
    <w:p w14:paraId="3CFAF0ED" w14:textId="77777777" w:rsidR="007B6851" w:rsidRDefault="007B6851" w:rsidP="007B6851">
      <w:pPr>
        <w:pStyle w:val="Lijstalinea"/>
        <w:spacing w:before="160"/>
        <w:ind w:left="360"/>
        <w:outlineLvl w:val="0"/>
        <w:rPr>
          <w:b/>
          <w:bCs/>
          <w:lang w:val="fr-BE"/>
        </w:rPr>
      </w:pPr>
    </w:p>
    <w:p w14:paraId="5FA70C43" w14:textId="77777777" w:rsidR="007B6851" w:rsidRDefault="007B6851" w:rsidP="007B6851">
      <w:pPr>
        <w:pStyle w:val="Lijstalinea"/>
        <w:spacing w:before="160"/>
        <w:ind w:left="360"/>
        <w:outlineLvl w:val="0"/>
        <w:rPr>
          <w:b/>
          <w:bCs/>
          <w:lang w:val="fr-BE"/>
        </w:rPr>
      </w:pPr>
    </w:p>
    <w:p w14:paraId="368CADEB" w14:textId="01F99A74" w:rsidR="00A969B8" w:rsidRPr="00D71FFE" w:rsidRDefault="00A969B8" w:rsidP="005E271E">
      <w:pPr>
        <w:pStyle w:val="Lijstalinea"/>
        <w:numPr>
          <w:ilvl w:val="0"/>
          <w:numId w:val="1"/>
        </w:numPr>
        <w:spacing w:before="160"/>
        <w:outlineLvl w:val="0"/>
        <w:rPr>
          <w:b/>
          <w:bCs/>
          <w:lang w:val="fr-BE"/>
        </w:rPr>
      </w:pPr>
      <w:bookmarkStart w:id="1" w:name="_Toc67817054"/>
      <w:r w:rsidRPr="00D71FFE">
        <w:rPr>
          <w:b/>
          <w:bCs/>
          <w:lang w:val="fr-BE"/>
        </w:rPr>
        <w:lastRenderedPageBreak/>
        <w:t>Contexte</w:t>
      </w:r>
      <w:bookmarkEnd w:id="1"/>
      <w:r w:rsidR="0085373C" w:rsidRPr="00D71FFE">
        <w:rPr>
          <w:b/>
          <w:bCs/>
          <w:lang w:val="fr-BE"/>
        </w:rPr>
        <w:t xml:space="preserve"> </w:t>
      </w:r>
    </w:p>
    <w:p w14:paraId="7C3AD092" w14:textId="7760628D" w:rsidR="00B609FB" w:rsidRPr="00D71FFE" w:rsidRDefault="00B609FB" w:rsidP="00B609FB">
      <w:pPr>
        <w:pStyle w:val="Lijstalinea"/>
        <w:ind w:left="792"/>
        <w:rPr>
          <w:lang w:val="fr-BE"/>
        </w:rPr>
      </w:pPr>
    </w:p>
    <w:p w14:paraId="0ABABDD1" w14:textId="6DF973A7" w:rsidR="00EF55AB" w:rsidRPr="00D71FFE" w:rsidRDefault="00DF22D7" w:rsidP="00166535">
      <w:pPr>
        <w:pStyle w:val="Lijstalinea"/>
        <w:ind w:left="0"/>
        <w:jc w:val="both"/>
        <w:rPr>
          <w:lang w:val="fr-BE"/>
        </w:rPr>
      </w:pPr>
      <w:r w:rsidRPr="00D71FFE">
        <w:rPr>
          <w:lang w:val="fr-BE"/>
        </w:rPr>
        <w:t>Au moment de l'épidémie de coronavirus COVID-19, le secteur a indiqué que les hôpitaux pourraient rapidement être confrontés à des problèmes de liquidités en raison de la réduction des activités normales (et donc des recettes de facturation) alors qu’en même temps les charges habituelles étaient maintenues et que certaines charges exceptionnelles s’y ajoutaient. Comme il n'était pas encore possible à ce moment-là de faire une estimation correcte des moyens nécessaires</w:t>
      </w:r>
      <w:r w:rsidR="0095736F">
        <w:rPr>
          <w:lang w:val="fr-BE"/>
        </w:rPr>
        <w:t xml:space="preserve"> </w:t>
      </w:r>
      <w:r w:rsidR="0095736F" w:rsidRPr="0095736F">
        <w:rPr>
          <w:lang w:val="fr-BE"/>
        </w:rPr>
        <w:t xml:space="preserve">pour </w:t>
      </w:r>
      <w:r w:rsidR="0095736F">
        <w:rPr>
          <w:lang w:val="fr-BE"/>
        </w:rPr>
        <w:t xml:space="preserve">fixer </w:t>
      </w:r>
      <w:r w:rsidR="0095736F" w:rsidRPr="0095736F">
        <w:rPr>
          <w:lang w:val="fr-BE"/>
        </w:rPr>
        <w:t xml:space="preserve">une </w:t>
      </w:r>
      <w:r w:rsidR="0095736F">
        <w:rPr>
          <w:lang w:val="fr-BE"/>
        </w:rPr>
        <w:t>interventio</w:t>
      </w:r>
      <w:r w:rsidR="0095736F" w:rsidRPr="0095736F">
        <w:rPr>
          <w:lang w:val="fr-BE"/>
        </w:rPr>
        <w:t xml:space="preserve">n </w:t>
      </w:r>
      <w:r w:rsidR="0095736F">
        <w:rPr>
          <w:lang w:val="fr-BE"/>
        </w:rPr>
        <w:t>fédérale</w:t>
      </w:r>
      <w:r w:rsidR="0095736F" w:rsidRPr="0095736F">
        <w:rPr>
          <w:lang w:val="fr-BE"/>
        </w:rPr>
        <w:t xml:space="preserve"> </w:t>
      </w:r>
      <w:r w:rsidR="0095736F">
        <w:rPr>
          <w:lang w:val="fr-BE"/>
        </w:rPr>
        <w:t>pour</w:t>
      </w:r>
      <w:r w:rsidR="0095736F" w:rsidRPr="0095736F">
        <w:rPr>
          <w:lang w:val="fr-BE"/>
        </w:rPr>
        <w:t xml:space="preserve"> ces coûts</w:t>
      </w:r>
      <w:r w:rsidRPr="00D71FFE">
        <w:rPr>
          <w:lang w:val="fr-BE"/>
        </w:rPr>
        <w:t xml:space="preserve">, le gouvernement a procédé au versement d'avances de trésorerie. À cette fin, trois arrêtés royaux de pouvoirs spéciaux (n° 8 et n° 10 du 19 avril 2020 et n° 35 du 24 juin 2020) ont été adoptés, permettant au gouvernement de verser </w:t>
      </w:r>
      <w:r w:rsidR="00A15C44" w:rsidRPr="00D71FFE">
        <w:rPr>
          <w:b/>
          <w:bCs/>
          <w:lang w:val="fr-BE"/>
        </w:rPr>
        <w:t xml:space="preserve">une </w:t>
      </w:r>
      <w:r w:rsidR="00A15C44" w:rsidRPr="00D71FFE">
        <w:rPr>
          <w:lang w:val="fr-BE"/>
        </w:rPr>
        <w:t xml:space="preserve"> </w:t>
      </w:r>
      <w:r w:rsidR="00A15C44" w:rsidRPr="00D71FFE">
        <w:rPr>
          <w:b/>
          <w:bCs/>
          <w:lang w:val="fr-BE"/>
        </w:rPr>
        <w:t>avance totale de</w:t>
      </w:r>
      <w:r w:rsidR="00396507" w:rsidRPr="00D71FFE">
        <w:rPr>
          <w:lang w:val="fr-BE"/>
        </w:rPr>
        <w:t xml:space="preserve"> </w:t>
      </w:r>
      <w:r w:rsidR="00396507" w:rsidRPr="00D71FFE">
        <w:rPr>
          <w:b/>
          <w:bCs/>
          <w:lang w:val="fr-BE"/>
        </w:rPr>
        <w:t>2 milliards d'euros</w:t>
      </w:r>
      <w:r w:rsidRPr="00D71FFE">
        <w:rPr>
          <w:lang w:val="fr-BE"/>
        </w:rPr>
        <w:t xml:space="preserve"> aux hôpitaux :</w:t>
      </w:r>
    </w:p>
    <w:p w14:paraId="671E9112" w14:textId="77777777" w:rsidR="003C2898" w:rsidRPr="00D71FFE" w:rsidRDefault="003C2898" w:rsidP="00166535">
      <w:pPr>
        <w:pStyle w:val="Lijstalinea"/>
        <w:ind w:left="0"/>
        <w:jc w:val="both"/>
        <w:rPr>
          <w:lang w:val="fr-BE"/>
        </w:rPr>
      </w:pPr>
    </w:p>
    <w:p w14:paraId="16A6D7B1" w14:textId="34ADCDC9" w:rsidR="004A6C50" w:rsidRPr="00D71FFE" w:rsidRDefault="00A716CE" w:rsidP="00166535">
      <w:pPr>
        <w:pStyle w:val="Lijstalinea"/>
        <w:numPr>
          <w:ilvl w:val="0"/>
          <w:numId w:val="4"/>
        </w:numPr>
        <w:ind w:left="720"/>
        <w:jc w:val="both"/>
        <w:rPr>
          <w:lang w:val="fr-BE"/>
        </w:rPr>
      </w:pPr>
      <w:r w:rsidRPr="00D71FFE">
        <w:rPr>
          <w:lang w:val="fr-BE"/>
        </w:rPr>
        <w:t xml:space="preserve">Fin avril, une avance d'un milliard d'euros a été accordée aux hôpitaux généraux au prorata du montant de leur facturation habituelle à l'INAMI. Ce montant sera comparé à l’intervention que le gouvernement prévoit pour la période COVID-19 du premier semestre 2020 pour les hôpitaux généraux et psychiatriques, avec un décompte provisoire fin 2020 et un décompte définitif en 2023. </w:t>
      </w:r>
    </w:p>
    <w:p w14:paraId="7AF9D1D5" w14:textId="77777777" w:rsidR="003C2898" w:rsidRPr="00D71FFE" w:rsidRDefault="003C2898" w:rsidP="003C2898">
      <w:pPr>
        <w:pStyle w:val="Lijstalinea"/>
        <w:jc w:val="both"/>
        <w:rPr>
          <w:lang w:val="fr-BE"/>
        </w:rPr>
      </w:pPr>
    </w:p>
    <w:p w14:paraId="1B4CE6CE" w14:textId="4BCDD9A8" w:rsidR="0075071F" w:rsidRPr="00D71FFE" w:rsidRDefault="00AC371F" w:rsidP="00166535">
      <w:pPr>
        <w:pStyle w:val="Lijstalinea"/>
        <w:numPr>
          <w:ilvl w:val="0"/>
          <w:numId w:val="4"/>
        </w:numPr>
        <w:ind w:left="720"/>
        <w:jc w:val="both"/>
        <w:rPr>
          <w:lang w:val="fr-BE"/>
        </w:rPr>
      </w:pPr>
      <w:r w:rsidRPr="00D71FFE">
        <w:rPr>
          <w:lang w:val="fr-BE"/>
        </w:rPr>
        <w:t>En deux versements, fin juillet et début octobre, un montant supplémentaire d’un milliard d'euros a été accordé. En plus des hôpitaux généraux, les hôpitaux psychiatriques peuvent désormais bénéficier d'une avance sur l’intervention.  La répartition provisoire entre les hôpitaux a de nouveau été basée sur le montant de leur facturation à l'INAMI.  Ce montant sera comparé à l’intervention prévue pour le second semestre 2020, avec un décompte provisoire au premier semestre 2021 et un décompte définitif en 2023.</w:t>
      </w:r>
    </w:p>
    <w:p w14:paraId="67356D02" w14:textId="426479B4" w:rsidR="0001455D" w:rsidRPr="00D71FFE" w:rsidRDefault="00DE6D5F" w:rsidP="00166535">
      <w:pPr>
        <w:jc w:val="both"/>
        <w:rPr>
          <w:lang w:val="fr-BE"/>
        </w:rPr>
      </w:pPr>
      <w:r w:rsidRPr="00D71FFE">
        <w:rPr>
          <w:lang w:val="fr-BE"/>
        </w:rPr>
        <w:t xml:space="preserve">L'actuel AR IFFE fixe les objectifs, la méthode </w:t>
      </w:r>
      <w:r w:rsidR="00BD2B68" w:rsidRPr="00D71FFE">
        <w:rPr>
          <w:lang w:val="fr-BE"/>
        </w:rPr>
        <w:t>d'</w:t>
      </w:r>
      <w:r w:rsidR="00BD2B68" w:rsidRPr="00D71FFE">
        <w:rPr>
          <w:u w:val="single"/>
          <w:lang w:val="fr-BE"/>
        </w:rPr>
        <w:t>intervention</w:t>
      </w:r>
      <w:r w:rsidRPr="00D71FFE">
        <w:rPr>
          <w:lang w:val="fr-BE"/>
        </w:rPr>
        <w:t xml:space="preserve"> et la </w:t>
      </w:r>
      <w:r w:rsidR="00CD41D0" w:rsidRPr="00D71FFE">
        <w:rPr>
          <w:u w:val="single"/>
          <w:lang w:val="fr-BE"/>
        </w:rPr>
        <w:t>méthode de calcul</w:t>
      </w:r>
      <w:r w:rsidRPr="00D71FFE">
        <w:rPr>
          <w:lang w:val="fr-BE"/>
        </w:rPr>
        <w:t xml:space="preserve"> par budget partiel, ainsi que le </w:t>
      </w:r>
      <w:r w:rsidR="00450637" w:rsidRPr="00D71FFE">
        <w:rPr>
          <w:u w:val="single"/>
          <w:lang w:val="fr-BE"/>
        </w:rPr>
        <w:t>timing de la régularisation</w:t>
      </w:r>
      <w:r w:rsidRPr="00D71FFE">
        <w:rPr>
          <w:lang w:val="fr-BE"/>
        </w:rPr>
        <w:t xml:space="preserve"> pour les hôpitaux généraux et psychiatriques, en premier lieu pour le premier semestre 2020 et à étendre ensuite au second semestre. L'avis du Conseil fédéral des établissements hospitaliers (CFEH) ainsi qu’une consultation approfondie et constructive au sein d'un groupe de travail mixte </w:t>
      </w:r>
      <w:r w:rsidR="007B7BBB" w:rsidRPr="00D71FFE">
        <w:rPr>
          <w:i/>
          <w:iCs/>
          <w:lang w:val="fr-BE"/>
        </w:rPr>
        <w:t>ad hoc</w:t>
      </w:r>
      <w:r w:rsidRPr="00D71FFE">
        <w:rPr>
          <w:lang w:val="fr-BE"/>
        </w:rPr>
        <w:t xml:space="preserve"> Medicomut - CFEH ont servi de base à l’établissement des</w:t>
      </w:r>
      <w:r w:rsidR="007B7BBB" w:rsidRPr="00D71FFE">
        <w:rPr>
          <w:b/>
          <w:bCs/>
          <w:lang w:val="fr-BE"/>
        </w:rPr>
        <w:t xml:space="preserve"> principes</w:t>
      </w:r>
      <w:r w:rsidRPr="00D71FFE">
        <w:rPr>
          <w:lang w:val="fr-BE"/>
        </w:rPr>
        <w:t xml:space="preserve"> qui ont ensuite été traduits dans l’AR IFFE du 30 octobre 2020. </w:t>
      </w:r>
    </w:p>
    <w:p w14:paraId="0B5C4162" w14:textId="2C7208C0" w:rsidR="004D1DEC" w:rsidRPr="00D71FFE" w:rsidRDefault="004D1DEC" w:rsidP="00166535">
      <w:pPr>
        <w:jc w:val="both"/>
        <w:rPr>
          <w:lang w:val="fr-BE"/>
        </w:rPr>
      </w:pPr>
      <w:r w:rsidRPr="00D71FFE">
        <w:rPr>
          <w:lang w:val="fr-BE"/>
        </w:rPr>
        <w:t xml:space="preserve">Les </w:t>
      </w:r>
      <w:r w:rsidRPr="00D71FFE">
        <w:rPr>
          <w:b/>
          <w:bCs/>
          <w:lang w:val="fr-BE"/>
        </w:rPr>
        <w:t>montants</w:t>
      </w:r>
      <w:r w:rsidRPr="00D71FFE">
        <w:rPr>
          <w:lang w:val="fr-BE"/>
        </w:rPr>
        <w:t xml:space="preserve"> des forfaits hospitaliers pour les frais supplémentaires des hôpitaux (cf. ci-après </w:t>
      </w:r>
      <w:r w:rsidR="00543FD8" w:rsidRPr="00D71FFE">
        <w:rPr>
          <w:lang w:val="fr-BE"/>
        </w:rPr>
        <w:fldChar w:fldCharType="begin"/>
      </w:r>
      <w:r w:rsidR="00543FD8" w:rsidRPr="00D71FFE">
        <w:rPr>
          <w:lang w:val="fr-BE"/>
        </w:rPr>
        <w:instrText xml:space="preserve"> REF _Ref57279208 \r \h </w:instrText>
      </w:r>
      <w:r w:rsidR="00CE6B20" w:rsidRPr="00D71FFE">
        <w:rPr>
          <w:lang w:val="fr-BE"/>
        </w:rPr>
        <w:instrText xml:space="preserve"> \* MERGEFORMAT </w:instrText>
      </w:r>
      <w:r w:rsidR="00543FD8" w:rsidRPr="00D71FFE">
        <w:rPr>
          <w:lang w:val="fr-BE"/>
        </w:rPr>
      </w:r>
      <w:r w:rsidR="00543FD8" w:rsidRPr="00D71FFE">
        <w:rPr>
          <w:lang w:val="fr-BE"/>
        </w:rPr>
        <w:fldChar w:fldCharType="separate"/>
      </w:r>
      <w:r w:rsidRPr="00D71FFE">
        <w:rPr>
          <w:lang w:val="fr-BE"/>
        </w:rPr>
        <w:t>2.2</w:t>
      </w:r>
      <w:r w:rsidR="00543FD8" w:rsidRPr="00D71FFE">
        <w:rPr>
          <w:lang w:val="fr-BE"/>
        </w:rPr>
        <w:fldChar w:fldCharType="end"/>
      </w:r>
      <w:r w:rsidRPr="00D71FFE">
        <w:rPr>
          <w:lang w:val="fr-BE"/>
        </w:rPr>
        <w:t xml:space="preserve">) seront publiés dans des arrêtés ministériels distincts. Afin de déterminer les montants de ces forfaits pour les frais supplémentaires, le SPF SPSCAE a organisé des enquêtes successives auprès des hôpitaux, après la contribution du CFEH et un avis a été sollicité auprès de ce dernier. </w:t>
      </w:r>
      <w:r w:rsidR="0095736F">
        <w:rPr>
          <w:lang w:val="fr-BE"/>
        </w:rPr>
        <w:t>La participation d’u</w:t>
      </w:r>
      <w:r w:rsidRPr="00D71FFE">
        <w:rPr>
          <w:lang w:val="fr-BE"/>
        </w:rPr>
        <w:t>n grand nombre d’hôpitaux ont permis de déterminer les frais supplémentaires sur une base objective.</w:t>
      </w:r>
    </w:p>
    <w:p w14:paraId="0EA28778" w14:textId="44A9D5E7" w:rsidR="00DE5675" w:rsidRDefault="00154C12" w:rsidP="00166535">
      <w:pPr>
        <w:jc w:val="both"/>
        <w:rPr>
          <w:lang w:val="fr-BE"/>
        </w:rPr>
      </w:pPr>
      <w:r w:rsidRPr="00D71FFE">
        <w:rPr>
          <w:lang w:val="fr-BE"/>
        </w:rPr>
        <w:t xml:space="preserve">Le décompte définitif des frais occasionnés par la crise COVID-19 pour les deux semestres de l'année 2020 est prévu pour 2023. Dans l'attente, des </w:t>
      </w:r>
      <w:r w:rsidRPr="00D71FFE">
        <w:rPr>
          <w:b/>
          <w:bCs/>
          <w:lang w:val="fr-BE"/>
        </w:rPr>
        <w:t>décomptes semestriels provisoires</w:t>
      </w:r>
      <w:r w:rsidRPr="00D71FFE">
        <w:rPr>
          <w:lang w:val="fr-BE"/>
        </w:rPr>
        <w:t xml:space="preserve"> seront déjà effectués à court terme. Les soldes positifs (le montant calculé de l'intervention est supérieur à l'avance déjà octroyée) en faveur de l'hôpital seront payés immédiatement à l'hôpital, tandis que les soldes négatifs ne seront pas réglés avant 2023, par le biais des montants de rattrapage du BMF. Concrètement, pour le premier semestre, cela signifie que tous les hôpitaux psychiatriques se verront accorder un montant (solde positif), car ils n'ont pas reçu d'avance pour cette période.</w:t>
      </w:r>
      <w:bookmarkStart w:id="2" w:name="_Hlk55907176"/>
    </w:p>
    <w:p w14:paraId="427FEAE4" w14:textId="215B0924" w:rsidR="00394967" w:rsidRDefault="00394967" w:rsidP="00166535">
      <w:pPr>
        <w:jc w:val="both"/>
        <w:rPr>
          <w:lang w:val="fr-BE"/>
        </w:rPr>
      </w:pPr>
    </w:p>
    <w:p w14:paraId="191C336D" w14:textId="4B835A25" w:rsidR="00277B61" w:rsidRPr="00D71FFE" w:rsidRDefault="00D777FF" w:rsidP="00963746">
      <w:pPr>
        <w:spacing w:after="0"/>
        <w:jc w:val="both"/>
        <w:rPr>
          <w:lang w:val="fr-BE"/>
        </w:rPr>
      </w:pPr>
      <w:r w:rsidRPr="00D777FF">
        <w:rPr>
          <w:noProof/>
        </w:rPr>
        <w:lastRenderedPageBreak/>
        <w:drawing>
          <wp:inline distT="0" distB="0" distL="0" distR="0" wp14:anchorId="596F5BDC" wp14:editId="733B784F">
            <wp:extent cx="5753100" cy="2667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667000"/>
                    </a:xfrm>
                    <a:prstGeom prst="rect">
                      <a:avLst/>
                    </a:prstGeom>
                    <a:noFill/>
                    <a:ln>
                      <a:noFill/>
                    </a:ln>
                  </pic:spPr>
                </pic:pic>
              </a:graphicData>
            </a:graphic>
          </wp:inline>
        </w:drawing>
      </w:r>
    </w:p>
    <w:p w14:paraId="51377714" w14:textId="6E291E4F" w:rsidR="00B908F2" w:rsidRPr="000C4A49" w:rsidRDefault="00B908F2" w:rsidP="00B908F2">
      <w:pPr>
        <w:pStyle w:val="Lijstalinea"/>
        <w:numPr>
          <w:ilvl w:val="0"/>
          <w:numId w:val="1"/>
        </w:numPr>
        <w:spacing w:before="160"/>
        <w:outlineLvl w:val="0"/>
        <w:rPr>
          <w:b/>
          <w:bCs/>
          <w:lang w:val="fr-BE"/>
        </w:rPr>
      </w:pPr>
      <w:bookmarkStart w:id="3" w:name="_Toc67817055"/>
      <w:bookmarkEnd w:id="2"/>
      <w:r w:rsidRPr="000C4A49">
        <w:rPr>
          <w:b/>
          <w:bCs/>
          <w:lang w:val="fr-BE"/>
        </w:rPr>
        <w:t>Principales modifications apportées à la FAQ par rapport à la version du 14 décembre 2020</w:t>
      </w:r>
      <w:bookmarkEnd w:id="3"/>
    </w:p>
    <w:p w14:paraId="57E00EEF" w14:textId="77777777" w:rsidR="00B908F2" w:rsidRPr="00963746" w:rsidRDefault="00B908F2" w:rsidP="00B908F2">
      <w:pPr>
        <w:pStyle w:val="Lijstalinea"/>
        <w:spacing w:before="160"/>
        <w:ind w:left="360"/>
        <w:outlineLvl w:val="0"/>
        <w:rPr>
          <w:b/>
          <w:bCs/>
          <w:color w:val="2F5496" w:themeColor="accent1" w:themeShade="BF"/>
          <w:lang w:val="fr-BE"/>
        </w:rPr>
      </w:pPr>
    </w:p>
    <w:p w14:paraId="49A9CA67" w14:textId="2E18FA78" w:rsidR="00B908F2" w:rsidRPr="00963746" w:rsidRDefault="00B908F2" w:rsidP="008C256E">
      <w:pPr>
        <w:pStyle w:val="Lijstalinea"/>
        <w:spacing w:before="160"/>
        <w:ind w:left="0"/>
        <w:jc w:val="both"/>
        <w:rPr>
          <w:color w:val="2F5496" w:themeColor="accent1" w:themeShade="BF"/>
          <w:lang w:val="fr-BE"/>
        </w:rPr>
      </w:pPr>
      <w:bookmarkStart w:id="4" w:name="_Toc66794304"/>
      <w:r w:rsidRPr="00963746">
        <w:rPr>
          <w:color w:val="2F5496" w:themeColor="accent1" w:themeShade="BF"/>
          <w:lang w:val="fr-BE"/>
        </w:rPr>
        <w:t xml:space="preserve">De nouvelles précisions sont apportées à cette FAQ. Les plus </w:t>
      </w:r>
      <w:r w:rsidR="007E2920">
        <w:rPr>
          <w:color w:val="2F5496" w:themeColor="accent1" w:themeShade="BF"/>
          <w:lang w:val="fr-BE"/>
        </w:rPr>
        <w:t>importantes</w:t>
      </w:r>
      <w:r w:rsidR="007E2920" w:rsidRPr="00963746">
        <w:rPr>
          <w:color w:val="2F5496" w:themeColor="accent1" w:themeShade="BF"/>
          <w:lang w:val="fr-BE"/>
        </w:rPr>
        <w:t xml:space="preserve"> </w:t>
      </w:r>
      <w:r w:rsidRPr="00963746">
        <w:rPr>
          <w:color w:val="2F5496" w:themeColor="accent1" w:themeShade="BF"/>
          <w:lang w:val="fr-BE"/>
        </w:rPr>
        <w:t>sont les suivantes :</w:t>
      </w:r>
      <w:bookmarkEnd w:id="4"/>
    </w:p>
    <w:p w14:paraId="11C6BA9F" w14:textId="31E84650" w:rsidR="00B908F2" w:rsidRPr="00963746" w:rsidRDefault="00B908F2" w:rsidP="008C256E">
      <w:pPr>
        <w:pStyle w:val="Lijstalinea"/>
        <w:numPr>
          <w:ilvl w:val="0"/>
          <w:numId w:val="46"/>
        </w:numPr>
        <w:spacing w:before="160"/>
        <w:ind w:left="360"/>
        <w:jc w:val="both"/>
        <w:rPr>
          <w:color w:val="2F5496" w:themeColor="accent1" w:themeShade="BF"/>
          <w:lang w:val="fr-BE"/>
        </w:rPr>
      </w:pPr>
      <w:bookmarkStart w:id="5" w:name="_Toc66794305"/>
      <w:r w:rsidRPr="00963746">
        <w:rPr>
          <w:color w:val="2F5496" w:themeColor="accent1" w:themeShade="BF"/>
          <w:lang w:val="fr-BE"/>
        </w:rPr>
        <w:t xml:space="preserve">un </w:t>
      </w:r>
      <w:r w:rsidRPr="00963746">
        <w:rPr>
          <w:b/>
          <w:bCs/>
          <w:color w:val="2F5496" w:themeColor="accent1" w:themeShade="BF"/>
          <w:lang w:val="fr-BE"/>
        </w:rPr>
        <w:t>nouveau décompte provisoire</w:t>
      </w:r>
      <w:r w:rsidRPr="00963746">
        <w:rPr>
          <w:color w:val="2F5496" w:themeColor="accent1" w:themeShade="BF"/>
          <w:lang w:val="fr-BE"/>
        </w:rPr>
        <w:t xml:space="preserve"> pour le premier semestre 2020 est prévu </w:t>
      </w:r>
      <w:r w:rsidR="00B84170" w:rsidRPr="00B84170">
        <w:rPr>
          <w:color w:val="2F5496" w:themeColor="accent1" w:themeShade="BF"/>
          <w:u w:val="single"/>
          <w:lang w:val="fr-BE"/>
        </w:rPr>
        <w:t>après</w:t>
      </w:r>
      <w:r w:rsidRPr="00963746">
        <w:rPr>
          <w:color w:val="2F5496" w:themeColor="accent1" w:themeShade="BF"/>
          <w:lang w:val="fr-BE"/>
        </w:rPr>
        <w:t xml:space="preserve"> le décompte provisoire du second semestre ;</w:t>
      </w:r>
      <w:bookmarkEnd w:id="5"/>
    </w:p>
    <w:p w14:paraId="0FF21A24" w14:textId="1A228777" w:rsidR="00B908F2" w:rsidRPr="00963746" w:rsidRDefault="00B908F2" w:rsidP="008C256E">
      <w:pPr>
        <w:pStyle w:val="Lijstalinea"/>
        <w:numPr>
          <w:ilvl w:val="0"/>
          <w:numId w:val="46"/>
        </w:numPr>
        <w:spacing w:before="160"/>
        <w:ind w:left="360"/>
        <w:jc w:val="both"/>
        <w:rPr>
          <w:color w:val="2F5496" w:themeColor="accent1" w:themeShade="BF"/>
          <w:lang w:val="fr-BE"/>
        </w:rPr>
      </w:pPr>
      <w:bookmarkStart w:id="6" w:name="_Toc66794306"/>
      <w:r w:rsidRPr="00963746">
        <w:rPr>
          <w:color w:val="2F5496" w:themeColor="accent1" w:themeShade="BF"/>
          <w:lang w:val="fr-BE"/>
        </w:rPr>
        <w:t xml:space="preserve">pour le </w:t>
      </w:r>
      <w:r w:rsidRPr="00963746">
        <w:rPr>
          <w:b/>
          <w:bCs/>
          <w:color w:val="2F5496" w:themeColor="accent1" w:themeShade="BF"/>
          <w:lang w:val="fr-BE"/>
        </w:rPr>
        <w:t>second semestre 2020</w:t>
      </w:r>
      <w:r w:rsidRPr="00963746">
        <w:rPr>
          <w:color w:val="2F5496" w:themeColor="accent1" w:themeShade="BF"/>
          <w:lang w:val="fr-BE"/>
        </w:rPr>
        <w:t xml:space="preserve">, le ministre souhaite suivre les principes de </w:t>
      </w:r>
      <w:r w:rsidR="007E2920">
        <w:rPr>
          <w:color w:val="2F5496" w:themeColor="accent1" w:themeShade="BF"/>
          <w:lang w:val="fr-BE"/>
        </w:rPr>
        <w:t>l’</w:t>
      </w:r>
      <w:r w:rsidRPr="00963746">
        <w:rPr>
          <w:color w:val="2F5496" w:themeColor="accent1" w:themeShade="BF"/>
          <w:lang w:val="fr-BE"/>
        </w:rPr>
        <w:t>AR</w:t>
      </w:r>
      <w:r w:rsidR="007E2920">
        <w:rPr>
          <w:color w:val="2F5496" w:themeColor="accent1" w:themeShade="BF"/>
          <w:lang w:val="fr-BE"/>
        </w:rPr>
        <w:t xml:space="preserve"> IFFE</w:t>
      </w:r>
      <w:r w:rsidRPr="00963746">
        <w:rPr>
          <w:color w:val="2F5496" w:themeColor="accent1" w:themeShade="BF"/>
          <w:lang w:val="fr-BE"/>
        </w:rPr>
        <w:t xml:space="preserve"> </w:t>
      </w:r>
      <w:r w:rsidR="0049716D">
        <w:rPr>
          <w:color w:val="2F5496" w:themeColor="accent1" w:themeShade="BF"/>
          <w:lang w:val="fr-BE"/>
        </w:rPr>
        <w:t xml:space="preserve">1 y compris ce qui sera précisé ou ajouté dans l’AR IFFE 2 </w:t>
      </w:r>
      <w:r w:rsidRPr="00963746">
        <w:rPr>
          <w:color w:val="2F5496" w:themeColor="accent1" w:themeShade="BF"/>
          <w:lang w:val="fr-BE"/>
        </w:rPr>
        <w:t xml:space="preserve">(à l’exception des financements uniques </w:t>
      </w:r>
      <w:r w:rsidR="005A4F43">
        <w:rPr>
          <w:color w:val="2F5496" w:themeColor="accent1" w:themeShade="BF"/>
          <w:lang w:val="fr-BE"/>
        </w:rPr>
        <w:t>(</w:t>
      </w:r>
      <w:r w:rsidR="00165A81">
        <w:rPr>
          <w:color w:val="2F5496" w:themeColor="accent1" w:themeShade="BF"/>
          <w:lang w:val="fr-BE"/>
        </w:rPr>
        <w:t xml:space="preserve">les </w:t>
      </w:r>
      <w:r w:rsidR="005A4F43">
        <w:rPr>
          <w:color w:val="2F5496" w:themeColor="accent1" w:themeShade="BF"/>
          <w:lang w:val="fr-BE"/>
        </w:rPr>
        <w:t xml:space="preserve">forfaits de démarrage et </w:t>
      </w:r>
      <w:r w:rsidR="00165A81">
        <w:rPr>
          <w:color w:val="2F5496" w:themeColor="accent1" w:themeShade="BF"/>
          <w:lang w:val="fr-BE"/>
        </w:rPr>
        <w:t xml:space="preserve">les interventions pour les </w:t>
      </w:r>
      <w:r w:rsidR="005A4F43">
        <w:rPr>
          <w:color w:val="2F5496" w:themeColor="accent1" w:themeShade="BF"/>
          <w:lang w:val="fr-BE"/>
        </w:rPr>
        <w:t>formations données et suivies)</w:t>
      </w:r>
      <w:r w:rsidR="00105268">
        <w:rPr>
          <w:color w:val="2F5496" w:themeColor="accent1" w:themeShade="BF"/>
          <w:lang w:val="fr-BE"/>
        </w:rPr>
        <w:t xml:space="preserve"> </w:t>
      </w:r>
      <w:r w:rsidR="007E2920">
        <w:rPr>
          <w:color w:val="2F5496" w:themeColor="accent1" w:themeShade="BF"/>
          <w:lang w:val="fr-BE"/>
        </w:rPr>
        <w:t xml:space="preserve">sous réserve </w:t>
      </w:r>
      <w:r w:rsidRPr="00963746">
        <w:rPr>
          <w:color w:val="2F5496" w:themeColor="accent1" w:themeShade="BF"/>
          <w:lang w:val="fr-BE"/>
        </w:rPr>
        <w:t xml:space="preserve">de corrections et précisions limitées et avec quelques </w:t>
      </w:r>
      <w:r w:rsidR="0049716D">
        <w:rPr>
          <w:color w:val="2F5496" w:themeColor="accent1" w:themeShade="BF"/>
          <w:lang w:val="fr-BE"/>
        </w:rPr>
        <w:t>interventions</w:t>
      </w:r>
      <w:r w:rsidRPr="00963746">
        <w:rPr>
          <w:color w:val="2F5496" w:themeColor="accent1" w:themeShade="BF"/>
          <w:lang w:val="fr-BE"/>
        </w:rPr>
        <w:t xml:space="preserve"> spécifiques comme la prime d’encouragement exceptionnelle et les forfaits d’implication) ;</w:t>
      </w:r>
      <w:bookmarkEnd w:id="6"/>
    </w:p>
    <w:p w14:paraId="55E18947" w14:textId="77777777" w:rsidR="00B908F2" w:rsidRPr="00963746" w:rsidRDefault="00B908F2" w:rsidP="008C256E">
      <w:pPr>
        <w:pStyle w:val="Lijstalinea"/>
        <w:numPr>
          <w:ilvl w:val="0"/>
          <w:numId w:val="46"/>
        </w:numPr>
        <w:spacing w:before="160"/>
        <w:ind w:left="360"/>
        <w:jc w:val="both"/>
        <w:rPr>
          <w:color w:val="2F5496" w:themeColor="accent1" w:themeShade="BF"/>
          <w:lang w:val="fr-BE"/>
        </w:rPr>
      </w:pPr>
      <w:bookmarkStart w:id="7" w:name="_Toc66794307"/>
      <w:r w:rsidRPr="00963746">
        <w:rPr>
          <w:color w:val="2F5496" w:themeColor="accent1" w:themeShade="BF"/>
          <w:lang w:val="fr-BE"/>
        </w:rPr>
        <w:t xml:space="preserve">concernant les </w:t>
      </w:r>
      <w:r w:rsidRPr="00963746">
        <w:rPr>
          <w:b/>
          <w:bCs/>
          <w:color w:val="2F5496" w:themeColor="accent1" w:themeShade="BF"/>
          <w:lang w:val="fr-BE"/>
        </w:rPr>
        <w:t>MSF et MGF</w:t>
      </w:r>
      <w:r w:rsidRPr="00963746">
        <w:rPr>
          <w:color w:val="2F5496" w:themeColor="accent1" w:themeShade="BF"/>
          <w:lang w:val="fr-BE"/>
        </w:rPr>
        <w:t xml:space="preserve"> (pour lesquels il existe aussi une FAQ spécifique) :</w:t>
      </w:r>
      <w:bookmarkEnd w:id="7"/>
      <w:r w:rsidRPr="00963746">
        <w:rPr>
          <w:color w:val="2F5496" w:themeColor="accent1" w:themeShade="BF"/>
          <w:lang w:val="fr-BE"/>
        </w:rPr>
        <w:t xml:space="preserve"> </w:t>
      </w:r>
    </w:p>
    <w:p w14:paraId="485C5D75" w14:textId="7A5FEB44" w:rsidR="00B908F2" w:rsidRPr="00963746" w:rsidRDefault="00B908F2" w:rsidP="008C256E">
      <w:pPr>
        <w:pStyle w:val="Lijstalinea"/>
        <w:numPr>
          <w:ilvl w:val="1"/>
          <w:numId w:val="46"/>
        </w:numPr>
        <w:spacing w:before="160"/>
        <w:ind w:left="1080"/>
        <w:jc w:val="both"/>
        <w:rPr>
          <w:color w:val="2F5496" w:themeColor="accent1" w:themeShade="BF"/>
          <w:lang w:val="fr-BE"/>
        </w:rPr>
      </w:pPr>
      <w:bookmarkStart w:id="8" w:name="_Toc66794308"/>
      <w:r w:rsidRPr="00963746">
        <w:rPr>
          <w:color w:val="2F5496" w:themeColor="accent1" w:themeShade="BF"/>
          <w:lang w:val="fr-BE"/>
        </w:rPr>
        <w:t>tous les MSF et MGF en milieu hospitalier entrent en ligne de compte</w:t>
      </w:r>
      <w:r w:rsidR="0049716D">
        <w:rPr>
          <w:color w:val="2F5496" w:themeColor="accent1" w:themeShade="BF"/>
          <w:lang w:val="fr-BE"/>
        </w:rPr>
        <w:t xml:space="preserve"> pour leurs activités </w:t>
      </w:r>
      <w:r w:rsidR="009B36FA">
        <w:rPr>
          <w:color w:val="2F5496" w:themeColor="accent1" w:themeShade="BF"/>
          <w:lang w:val="fr-BE"/>
        </w:rPr>
        <w:t xml:space="preserve">de soins </w:t>
      </w:r>
      <w:r w:rsidR="0049716D">
        <w:rPr>
          <w:color w:val="2F5496" w:themeColor="accent1" w:themeShade="BF"/>
          <w:lang w:val="fr-BE"/>
        </w:rPr>
        <w:t>au sein de l’hôpital</w:t>
      </w:r>
      <w:r w:rsidRPr="00963746">
        <w:rPr>
          <w:color w:val="2F5496" w:themeColor="accent1" w:themeShade="BF"/>
          <w:lang w:val="fr-BE"/>
        </w:rPr>
        <w:t>, y compris s’ils ont apporté un soutien temporaire ou à temps partiel au cadre médical durant la crise et si leurs activités normales se situent en dehors de l’hôpital</w:t>
      </w:r>
      <w:r w:rsidR="00BB6D3D">
        <w:rPr>
          <w:color w:val="2F5496" w:themeColor="accent1" w:themeShade="BF"/>
          <w:lang w:val="fr-BE"/>
        </w:rPr>
        <w:t> </w:t>
      </w:r>
      <w:r w:rsidR="009B36FA">
        <w:rPr>
          <w:color w:val="2F5496" w:themeColor="accent1" w:themeShade="BF"/>
          <w:lang w:val="fr-BE"/>
        </w:rPr>
        <w:t>ou hors du cadre des soins à l’hôpital</w:t>
      </w:r>
      <w:r w:rsidR="00BB6D3D">
        <w:rPr>
          <w:color w:val="2F5496" w:themeColor="accent1" w:themeShade="BF"/>
          <w:lang w:val="fr-BE"/>
        </w:rPr>
        <w:t>;</w:t>
      </w:r>
      <w:bookmarkEnd w:id="8"/>
      <w:r w:rsidRPr="00963746">
        <w:rPr>
          <w:color w:val="2F5496" w:themeColor="accent1" w:themeShade="BF"/>
          <w:lang w:val="fr-BE"/>
        </w:rPr>
        <w:t xml:space="preserve"> </w:t>
      </w:r>
    </w:p>
    <w:p w14:paraId="1A7A243A" w14:textId="6322D289" w:rsidR="00B908F2" w:rsidRPr="00963746" w:rsidRDefault="00B908F2" w:rsidP="008C256E">
      <w:pPr>
        <w:pStyle w:val="Lijstalinea"/>
        <w:numPr>
          <w:ilvl w:val="1"/>
          <w:numId w:val="46"/>
        </w:numPr>
        <w:spacing w:before="160"/>
        <w:ind w:left="1080"/>
        <w:jc w:val="both"/>
        <w:rPr>
          <w:color w:val="2F5496" w:themeColor="accent1" w:themeShade="BF"/>
          <w:lang w:val="fr-BE"/>
        </w:rPr>
      </w:pPr>
      <w:bookmarkStart w:id="9" w:name="_Toc66794309"/>
      <w:r w:rsidRPr="00963746">
        <w:rPr>
          <w:color w:val="2F5496" w:themeColor="accent1" w:themeShade="BF"/>
          <w:lang w:val="fr-BE"/>
        </w:rPr>
        <w:t xml:space="preserve">l’enveloppe hospitalière prévue pour les MSF et MGF, composée d’un montant par ETP médecin en formation et pour des </w:t>
      </w:r>
      <w:r w:rsidR="00DF0692">
        <w:rPr>
          <w:color w:val="2F5496" w:themeColor="accent1" w:themeShade="BF"/>
          <w:lang w:val="fr-BE"/>
        </w:rPr>
        <w:t>efforts</w:t>
      </w:r>
      <w:r w:rsidR="00DF0692" w:rsidRPr="00963746">
        <w:rPr>
          <w:color w:val="2F5496" w:themeColor="accent1" w:themeShade="BF"/>
          <w:lang w:val="fr-BE"/>
        </w:rPr>
        <w:t xml:space="preserve"> </w:t>
      </w:r>
      <w:r w:rsidRPr="00963746">
        <w:rPr>
          <w:color w:val="2F5496" w:themeColor="accent1" w:themeShade="BF"/>
          <w:lang w:val="fr-BE"/>
        </w:rPr>
        <w:t xml:space="preserve">supplémentaires, </w:t>
      </w:r>
      <w:r w:rsidR="00BB6D3D">
        <w:rPr>
          <w:color w:val="2F5496" w:themeColor="accent1" w:themeShade="BF"/>
          <w:lang w:val="fr-BE"/>
        </w:rPr>
        <w:t>doit</w:t>
      </w:r>
      <w:r w:rsidR="00BB6D3D" w:rsidRPr="00963746">
        <w:rPr>
          <w:color w:val="2F5496" w:themeColor="accent1" w:themeShade="BF"/>
          <w:lang w:val="fr-BE"/>
        </w:rPr>
        <w:t xml:space="preserve"> </w:t>
      </w:r>
      <w:r w:rsidRPr="00963746">
        <w:rPr>
          <w:color w:val="2F5496" w:themeColor="accent1" w:themeShade="BF"/>
          <w:lang w:val="fr-BE"/>
        </w:rPr>
        <w:t xml:space="preserve">être octroyée </w:t>
      </w:r>
      <w:r w:rsidRPr="00963746">
        <w:rPr>
          <w:b/>
          <w:bCs/>
          <w:color w:val="2F5496" w:themeColor="accent1" w:themeShade="BF"/>
          <w:lang w:val="fr-BE"/>
        </w:rPr>
        <w:t>exclusivement</w:t>
      </w:r>
      <w:r w:rsidRPr="00963746">
        <w:rPr>
          <w:color w:val="2F5496" w:themeColor="accent1" w:themeShade="BF"/>
          <w:lang w:val="fr-BE"/>
        </w:rPr>
        <w:t xml:space="preserve"> aux MSF et MGF qui ont </w:t>
      </w:r>
      <w:r w:rsidR="00BB6D3D">
        <w:rPr>
          <w:color w:val="2F5496" w:themeColor="accent1" w:themeShade="BF"/>
          <w:lang w:val="fr-BE"/>
        </w:rPr>
        <w:t>travaillé</w:t>
      </w:r>
      <w:r w:rsidRPr="00963746">
        <w:rPr>
          <w:color w:val="2F5496" w:themeColor="accent1" w:themeShade="BF"/>
          <w:lang w:val="fr-BE"/>
        </w:rPr>
        <w:t xml:space="preserve"> à l’hôpital au cours de la période concernée ;</w:t>
      </w:r>
      <w:bookmarkEnd w:id="9"/>
      <w:r w:rsidRPr="00963746">
        <w:rPr>
          <w:color w:val="2F5496" w:themeColor="accent1" w:themeShade="BF"/>
          <w:lang w:val="fr-BE"/>
        </w:rPr>
        <w:t xml:space="preserve"> </w:t>
      </w:r>
    </w:p>
    <w:p w14:paraId="5ACC8CED" w14:textId="302E97DA" w:rsidR="00B908F2" w:rsidRPr="00963746" w:rsidRDefault="00EC1FAA" w:rsidP="008C256E">
      <w:pPr>
        <w:pStyle w:val="Lijstalinea"/>
        <w:numPr>
          <w:ilvl w:val="1"/>
          <w:numId w:val="46"/>
        </w:numPr>
        <w:spacing w:before="160"/>
        <w:ind w:left="1080"/>
        <w:jc w:val="both"/>
        <w:rPr>
          <w:color w:val="2F5496" w:themeColor="accent1" w:themeShade="BF"/>
          <w:lang w:val="fr-BE"/>
        </w:rPr>
      </w:pPr>
      <w:bookmarkStart w:id="10" w:name="_Toc66794310"/>
      <w:r>
        <w:rPr>
          <w:color w:val="2F5496" w:themeColor="accent1" w:themeShade="BF"/>
          <w:lang w:val="fr-BE"/>
        </w:rPr>
        <w:t xml:space="preserve">pour </w:t>
      </w:r>
      <w:r w:rsidR="00B908F2" w:rsidRPr="00963746">
        <w:rPr>
          <w:color w:val="2F5496" w:themeColor="accent1" w:themeShade="BF"/>
          <w:lang w:val="fr-BE"/>
        </w:rPr>
        <w:t xml:space="preserve">l’intervention </w:t>
      </w:r>
      <w:r>
        <w:rPr>
          <w:color w:val="2F5496" w:themeColor="accent1" w:themeShade="BF"/>
          <w:lang w:val="fr-BE"/>
        </w:rPr>
        <w:t xml:space="preserve">servant à la continuité du versement du </w:t>
      </w:r>
      <w:r w:rsidR="00B908F2" w:rsidRPr="00963746">
        <w:rPr>
          <w:color w:val="2F5496" w:themeColor="accent1" w:themeShade="BF"/>
          <w:lang w:val="fr-BE"/>
        </w:rPr>
        <w:t xml:space="preserve">salaire de base du MSF, </w:t>
      </w:r>
      <w:r>
        <w:rPr>
          <w:color w:val="2F5496" w:themeColor="accent1" w:themeShade="BF"/>
          <w:lang w:val="fr-BE"/>
        </w:rPr>
        <w:t>le rôle du</w:t>
      </w:r>
      <w:r w:rsidR="004936D7">
        <w:rPr>
          <w:color w:val="2F5496" w:themeColor="accent1" w:themeShade="BF"/>
          <w:lang w:val="fr-BE"/>
        </w:rPr>
        <w:t xml:space="preserve"> </w:t>
      </w:r>
      <w:r w:rsidR="00B908F2" w:rsidRPr="00963746">
        <w:rPr>
          <w:color w:val="2F5496" w:themeColor="accent1" w:themeShade="BF"/>
          <w:lang w:val="fr-BE"/>
        </w:rPr>
        <w:t>maître de stage est précisé ;</w:t>
      </w:r>
      <w:bookmarkEnd w:id="10"/>
    </w:p>
    <w:p w14:paraId="7447415A" w14:textId="075B4989" w:rsidR="00B908F2" w:rsidRPr="00963746" w:rsidRDefault="00B908F2" w:rsidP="008C256E">
      <w:pPr>
        <w:pStyle w:val="Lijstalinea"/>
        <w:numPr>
          <w:ilvl w:val="1"/>
          <w:numId w:val="46"/>
        </w:numPr>
        <w:spacing w:before="160"/>
        <w:ind w:left="1080"/>
        <w:jc w:val="both"/>
        <w:rPr>
          <w:color w:val="2F5496" w:themeColor="accent1" w:themeShade="BF"/>
          <w:lang w:val="fr-BE"/>
        </w:rPr>
      </w:pPr>
      <w:bookmarkStart w:id="11" w:name="_Toc66794311"/>
      <w:r w:rsidRPr="00963746">
        <w:rPr>
          <w:color w:val="2F5496" w:themeColor="accent1" w:themeShade="BF"/>
          <w:lang w:val="fr-BE"/>
        </w:rPr>
        <w:t xml:space="preserve">une nouvelle </w:t>
      </w:r>
      <w:r w:rsidR="00EC1FAA">
        <w:rPr>
          <w:color w:val="2F5496" w:themeColor="accent1" w:themeShade="BF"/>
          <w:lang w:val="fr-BE"/>
        </w:rPr>
        <w:t>enquête</w:t>
      </w:r>
      <w:r w:rsidR="00EC1FAA" w:rsidRPr="00963746">
        <w:rPr>
          <w:color w:val="2F5496" w:themeColor="accent1" w:themeShade="BF"/>
          <w:lang w:val="fr-BE"/>
        </w:rPr>
        <w:t xml:space="preserve"> </w:t>
      </w:r>
      <w:r w:rsidRPr="00963746">
        <w:rPr>
          <w:color w:val="2F5496" w:themeColor="accent1" w:themeShade="BF"/>
          <w:lang w:val="fr-BE"/>
        </w:rPr>
        <w:t>est prévue pour le premier semestre 2020</w:t>
      </w:r>
      <w:r w:rsidR="00EC1FAA">
        <w:rPr>
          <w:color w:val="2F5496" w:themeColor="accent1" w:themeShade="BF"/>
          <w:lang w:val="fr-BE"/>
        </w:rPr>
        <w:t xml:space="preserve"> concernant</w:t>
      </w:r>
      <w:r w:rsidRPr="00963746">
        <w:rPr>
          <w:color w:val="2F5496" w:themeColor="accent1" w:themeShade="BF"/>
          <w:lang w:val="fr-BE"/>
        </w:rPr>
        <w:t> </w:t>
      </w:r>
      <w:r w:rsidR="00EC1FAA">
        <w:rPr>
          <w:color w:val="2F5496" w:themeColor="accent1" w:themeShade="BF"/>
          <w:lang w:val="fr-BE"/>
        </w:rPr>
        <w:t>l</w:t>
      </w:r>
      <w:r w:rsidR="00EC1FAA" w:rsidRPr="00CF0595">
        <w:rPr>
          <w:color w:val="2F5496" w:themeColor="accent1" w:themeShade="BF"/>
          <w:lang w:val="fr-BE"/>
        </w:rPr>
        <w:t>es MSF et MGF</w:t>
      </w:r>
      <w:r w:rsidRPr="00963746">
        <w:rPr>
          <w:color w:val="2F5496" w:themeColor="accent1" w:themeShade="BF"/>
          <w:lang w:val="fr-BE"/>
        </w:rPr>
        <w:t>;</w:t>
      </w:r>
      <w:bookmarkEnd w:id="11"/>
    </w:p>
    <w:p w14:paraId="6CA3110E" w14:textId="6922F43F" w:rsidR="00B908F2" w:rsidRPr="00AF5CCD" w:rsidRDefault="00B908F2" w:rsidP="008C256E">
      <w:pPr>
        <w:pStyle w:val="Lijstalinea"/>
        <w:numPr>
          <w:ilvl w:val="0"/>
          <w:numId w:val="46"/>
        </w:numPr>
        <w:spacing w:before="160"/>
        <w:ind w:left="360"/>
        <w:jc w:val="both"/>
        <w:rPr>
          <w:color w:val="2F5496" w:themeColor="accent1" w:themeShade="BF"/>
          <w:lang w:val="fr-BE"/>
        </w:rPr>
      </w:pPr>
      <w:bookmarkStart w:id="12" w:name="_Toc66794312"/>
      <w:r w:rsidRPr="00963746">
        <w:rPr>
          <w:color w:val="2F5496" w:themeColor="accent1" w:themeShade="BF"/>
          <w:lang w:val="fr-BE"/>
        </w:rPr>
        <w:t xml:space="preserve">en ce qui concerne </w:t>
      </w:r>
      <w:r w:rsidRPr="000C667D">
        <w:rPr>
          <w:b/>
          <w:bCs/>
          <w:color w:val="2F5496" w:themeColor="accent1" w:themeShade="BF"/>
          <w:lang w:val="fr-BE"/>
        </w:rPr>
        <w:t>le pourcentage de prélèvements</w:t>
      </w:r>
      <w:r w:rsidRPr="00963746">
        <w:rPr>
          <w:color w:val="2F5496" w:themeColor="accent1" w:themeShade="BF"/>
          <w:lang w:val="fr-BE"/>
        </w:rPr>
        <w:t xml:space="preserve">, il est demandé à chaque hôpital de fournir </w:t>
      </w:r>
      <w:r w:rsidR="009B3480">
        <w:rPr>
          <w:color w:val="2F5496" w:themeColor="accent1" w:themeShade="BF"/>
          <w:lang w:val="fr-BE"/>
        </w:rPr>
        <w:t>la</w:t>
      </w:r>
      <w:r w:rsidR="009B3480" w:rsidRPr="00963746">
        <w:rPr>
          <w:color w:val="2F5496" w:themeColor="accent1" w:themeShade="BF"/>
          <w:lang w:val="fr-BE"/>
        </w:rPr>
        <w:t xml:space="preserve"> </w:t>
      </w:r>
      <w:r w:rsidRPr="00963746">
        <w:rPr>
          <w:color w:val="2F5496" w:themeColor="accent1" w:themeShade="BF"/>
          <w:lang w:val="fr-BE"/>
        </w:rPr>
        <w:t xml:space="preserve">documentation </w:t>
      </w:r>
      <w:r w:rsidR="009B3480">
        <w:rPr>
          <w:color w:val="2F5496" w:themeColor="accent1" w:themeShade="BF"/>
          <w:lang w:val="fr-BE"/>
        </w:rPr>
        <w:t>prévue par l’AR IFFE</w:t>
      </w:r>
      <w:r w:rsidRPr="00963746">
        <w:rPr>
          <w:color w:val="2F5496" w:themeColor="accent1" w:themeShade="BF"/>
          <w:lang w:val="fr-BE"/>
        </w:rPr>
        <w:t>, accompagnée de l’accord du conseil médical et du réviseur d’entreprise (voir circulaire du 9 mars</w:t>
      </w:r>
      <w:r w:rsidR="009B3480">
        <w:rPr>
          <w:color w:val="2F5496" w:themeColor="accent1" w:themeShade="BF"/>
          <w:lang w:val="fr-BE"/>
        </w:rPr>
        <w:t xml:space="preserve"> 2021</w:t>
      </w:r>
      <w:r w:rsidRPr="00963746">
        <w:rPr>
          <w:color w:val="2F5496" w:themeColor="accent1" w:themeShade="BF"/>
          <w:lang w:val="fr-BE"/>
        </w:rPr>
        <w:t>)</w:t>
      </w:r>
      <w:r w:rsidR="000C667D">
        <w:rPr>
          <w:color w:val="2F5496" w:themeColor="accent1" w:themeShade="BF"/>
          <w:lang w:val="fr-BE"/>
        </w:rPr>
        <w:t xml:space="preserve">. </w:t>
      </w:r>
      <w:r w:rsidR="000C667D" w:rsidRPr="006926FF">
        <w:rPr>
          <w:color w:val="2F5496" w:themeColor="accent1" w:themeShade="BF"/>
          <w:u w:val="single"/>
          <w:lang w:val="fr-BE"/>
        </w:rPr>
        <w:t xml:space="preserve">La date de soumission (initialement demandée le 12 avril) est reportée à une date </w:t>
      </w:r>
      <w:r w:rsidR="00AF5CCD" w:rsidRPr="006926FF">
        <w:rPr>
          <w:color w:val="2F5496" w:themeColor="accent1" w:themeShade="BF"/>
          <w:u w:val="single"/>
          <w:lang w:val="fr-BE"/>
        </w:rPr>
        <w:t xml:space="preserve">ultérieure </w:t>
      </w:r>
      <w:r w:rsidR="000C667D" w:rsidRPr="006926FF">
        <w:rPr>
          <w:color w:val="2F5496" w:themeColor="accent1" w:themeShade="BF"/>
          <w:u w:val="single"/>
          <w:lang w:val="fr-BE"/>
        </w:rPr>
        <w:t xml:space="preserve">encore </w:t>
      </w:r>
      <w:r w:rsidR="00AF5CCD" w:rsidRPr="006926FF">
        <w:rPr>
          <w:color w:val="2F5496" w:themeColor="accent1" w:themeShade="BF"/>
          <w:u w:val="single"/>
          <w:lang w:val="fr-BE"/>
        </w:rPr>
        <w:t>à</w:t>
      </w:r>
      <w:r w:rsidR="000C667D" w:rsidRPr="006926FF">
        <w:rPr>
          <w:color w:val="2F5496" w:themeColor="accent1" w:themeShade="BF"/>
          <w:u w:val="single"/>
          <w:lang w:val="fr-BE"/>
        </w:rPr>
        <w:t xml:space="preserve"> annonce</w:t>
      </w:r>
      <w:r w:rsidR="00AF5CCD" w:rsidRPr="006926FF">
        <w:rPr>
          <w:color w:val="2F5496" w:themeColor="accent1" w:themeShade="BF"/>
          <w:u w:val="single"/>
          <w:lang w:val="fr-BE"/>
        </w:rPr>
        <w:t>r</w:t>
      </w:r>
      <w:r w:rsidR="00AF5CCD">
        <w:rPr>
          <w:color w:val="2F5496" w:themeColor="accent1" w:themeShade="BF"/>
          <w:lang w:val="fr-BE"/>
        </w:rPr>
        <w:t> </w:t>
      </w:r>
      <w:r w:rsidR="002504A1">
        <w:rPr>
          <w:color w:val="2F5496" w:themeColor="accent1" w:themeShade="BF"/>
          <w:lang w:val="fr-BE"/>
        </w:rPr>
        <w:t>en concertation avec l’association des Réviseurs</w:t>
      </w:r>
      <w:r w:rsidR="00AF5CCD">
        <w:rPr>
          <w:color w:val="2F5496" w:themeColor="accent1" w:themeShade="BF"/>
          <w:lang w:val="fr-BE"/>
        </w:rPr>
        <w:t>;</w:t>
      </w:r>
      <w:bookmarkEnd w:id="12"/>
    </w:p>
    <w:p w14:paraId="46D22D90" w14:textId="7A1A4DBD" w:rsidR="00B908F2" w:rsidRPr="00963746" w:rsidRDefault="00B908F2" w:rsidP="008C256E">
      <w:pPr>
        <w:pStyle w:val="Lijstalinea"/>
        <w:numPr>
          <w:ilvl w:val="0"/>
          <w:numId w:val="46"/>
        </w:numPr>
        <w:spacing w:before="160"/>
        <w:ind w:left="360"/>
        <w:jc w:val="both"/>
        <w:rPr>
          <w:b/>
          <w:bCs/>
          <w:color w:val="2F5496" w:themeColor="accent1" w:themeShade="BF"/>
          <w:lang w:val="fr-BE"/>
        </w:rPr>
      </w:pPr>
      <w:bookmarkStart w:id="13" w:name="_Toc66794313"/>
      <w:r w:rsidRPr="00963746">
        <w:rPr>
          <w:color w:val="2F5496" w:themeColor="accent1" w:themeShade="BF"/>
          <w:lang w:val="fr-BE"/>
        </w:rPr>
        <w:t>dans le</w:t>
      </w:r>
      <w:r w:rsidR="00DE0B80">
        <w:rPr>
          <w:color w:val="2F5496" w:themeColor="accent1" w:themeShade="BF"/>
          <w:lang w:val="fr-BE"/>
        </w:rPr>
        <w:t>s</w:t>
      </w:r>
      <w:r w:rsidRPr="00963746">
        <w:rPr>
          <w:color w:val="2F5496" w:themeColor="accent1" w:themeShade="BF"/>
          <w:lang w:val="fr-BE"/>
        </w:rPr>
        <w:t xml:space="preserve"> décompte provisoire</w:t>
      </w:r>
      <w:r w:rsidR="00DE0B80">
        <w:rPr>
          <w:color w:val="2F5496" w:themeColor="accent1" w:themeShade="BF"/>
          <w:lang w:val="fr-BE"/>
        </w:rPr>
        <w:t>s</w:t>
      </w:r>
      <w:r w:rsidR="009B3480">
        <w:rPr>
          <w:color w:val="2F5496" w:themeColor="accent1" w:themeShade="BF"/>
          <w:lang w:val="fr-BE"/>
        </w:rPr>
        <w:t xml:space="preserve"> </w:t>
      </w:r>
      <w:r w:rsidR="004936D7">
        <w:rPr>
          <w:color w:val="2F5496" w:themeColor="accent1" w:themeShade="BF"/>
          <w:lang w:val="fr-BE"/>
        </w:rPr>
        <w:t>les</w:t>
      </w:r>
      <w:r w:rsidRPr="00963746">
        <w:rPr>
          <w:color w:val="2F5496" w:themeColor="accent1" w:themeShade="BF"/>
          <w:lang w:val="fr-BE"/>
        </w:rPr>
        <w:t xml:space="preserve"> interventions pour </w:t>
      </w:r>
      <w:r w:rsidRPr="00963746">
        <w:rPr>
          <w:b/>
          <w:bCs/>
          <w:color w:val="2F5496" w:themeColor="accent1" w:themeShade="BF"/>
          <w:lang w:val="fr-BE"/>
        </w:rPr>
        <w:t>les tickets modérateurs</w:t>
      </w:r>
      <w:r w:rsidR="009B3480">
        <w:rPr>
          <w:b/>
          <w:bCs/>
          <w:color w:val="2F5496" w:themeColor="accent1" w:themeShade="BF"/>
          <w:lang w:val="fr-BE"/>
        </w:rPr>
        <w:t>,</w:t>
      </w:r>
      <w:r w:rsidRPr="00963746">
        <w:rPr>
          <w:b/>
          <w:bCs/>
          <w:color w:val="2F5496" w:themeColor="accent1" w:themeShade="BF"/>
          <w:lang w:val="fr-BE"/>
        </w:rPr>
        <w:t xml:space="preserve"> </w:t>
      </w:r>
      <w:r w:rsidR="009B3480">
        <w:rPr>
          <w:b/>
          <w:bCs/>
          <w:color w:val="2F5496" w:themeColor="accent1" w:themeShade="BF"/>
          <w:lang w:val="fr-BE"/>
        </w:rPr>
        <w:t xml:space="preserve">les </w:t>
      </w:r>
      <w:r w:rsidR="009B3480" w:rsidRPr="009B3480">
        <w:rPr>
          <w:b/>
          <w:bCs/>
          <w:color w:val="2F5496" w:themeColor="accent1" w:themeShade="BF"/>
          <w:lang w:val="fr-BE"/>
        </w:rPr>
        <w:t>quotes-parts personnelles des bénéficiaires</w:t>
      </w:r>
      <w:r w:rsidR="00DE0B80">
        <w:rPr>
          <w:b/>
          <w:bCs/>
          <w:color w:val="2F5496" w:themeColor="accent1" w:themeShade="BF"/>
          <w:lang w:val="fr-BE"/>
        </w:rPr>
        <w:t>, la marge « implants »</w:t>
      </w:r>
      <w:r w:rsidR="009B3480" w:rsidRPr="009B3480">
        <w:rPr>
          <w:b/>
          <w:bCs/>
          <w:color w:val="2F5496" w:themeColor="accent1" w:themeShade="BF"/>
          <w:lang w:val="fr-BE"/>
        </w:rPr>
        <w:t xml:space="preserve"> </w:t>
      </w:r>
      <w:r w:rsidRPr="00963746">
        <w:rPr>
          <w:color w:val="2F5496" w:themeColor="accent1" w:themeShade="BF"/>
          <w:lang w:val="fr-BE"/>
        </w:rPr>
        <w:t xml:space="preserve"> et pour les </w:t>
      </w:r>
      <w:r w:rsidRPr="00963746">
        <w:rPr>
          <w:b/>
          <w:bCs/>
          <w:color w:val="2F5496" w:themeColor="accent1" w:themeShade="BF"/>
          <w:lang w:val="fr-BE"/>
        </w:rPr>
        <w:t>patients non couverts par l’AMI</w:t>
      </w:r>
      <w:r w:rsidRPr="00963746">
        <w:rPr>
          <w:color w:val="2F5496" w:themeColor="accent1" w:themeShade="BF"/>
          <w:lang w:val="fr-BE"/>
        </w:rPr>
        <w:t> </w:t>
      </w:r>
      <w:r w:rsidR="004936D7">
        <w:rPr>
          <w:color w:val="2F5496" w:themeColor="accent1" w:themeShade="BF"/>
          <w:lang w:val="fr-BE"/>
        </w:rPr>
        <w:t xml:space="preserve">sont </w:t>
      </w:r>
      <w:r w:rsidR="00DE0B80">
        <w:rPr>
          <w:color w:val="2F5496" w:themeColor="accent1" w:themeShade="BF"/>
          <w:lang w:val="fr-BE"/>
        </w:rPr>
        <w:t xml:space="preserve">ou seront </w:t>
      </w:r>
      <w:r w:rsidR="004936D7">
        <w:rPr>
          <w:color w:val="2F5496" w:themeColor="accent1" w:themeShade="BF"/>
          <w:lang w:val="fr-BE"/>
        </w:rPr>
        <w:t>calculées</w:t>
      </w:r>
      <w:r w:rsidRPr="00963746">
        <w:rPr>
          <w:color w:val="2F5496" w:themeColor="accent1" w:themeShade="BF"/>
          <w:lang w:val="fr-BE"/>
        </w:rPr>
        <w:t>;</w:t>
      </w:r>
      <w:bookmarkEnd w:id="13"/>
    </w:p>
    <w:p w14:paraId="5762FBA1" w14:textId="018790B4" w:rsidR="004D1DEC" w:rsidRPr="0047204F" w:rsidRDefault="00B908F2" w:rsidP="008C256E">
      <w:pPr>
        <w:pStyle w:val="Lijstalinea"/>
        <w:numPr>
          <w:ilvl w:val="0"/>
          <w:numId w:val="46"/>
        </w:numPr>
        <w:spacing w:before="160"/>
        <w:ind w:left="360"/>
        <w:jc w:val="both"/>
        <w:rPr>
          <w:b/>
          <w:bCs/>
          <w:color w:val="2F5496" w:themeColor="accent1" w:themeShade="BF"/>
          <w:lang w:val="fr-BE"/>
        </w:rPr>
      </w:pPr>
      <w:bookmarkStart w:id="14" w:name="_Toc66794314"/>
      <w:r w:rsidRPr="00963746">
        <w:rPr>
          <w:color w:val="2F5496" w:themeColor="accent1" w:themeShade="BF"/>
          <w:lang w:val="fr-BE"/>
        </w:rPr>
        <w:t xml:space="preserve">pour ce qui est du financement des activités supplémentaires des prestataires de soins habituellement financés par les honoraires, il est indiqué quand et comment il est tenu compte </w:t>
      </w:r>
      <w:r w:rsidRPr="00963746">
        <w:rPr>
          <w:color w:val="2F5496" w:themeColor="accent1" w:themeShade="BF"/>
          <w:lang w:val="fr-BE"/>
        </w:rPr>
        <w:lastRenderedPageBreak/>
        <w:t>des médecins et autres prestataires de soins, des prestataires de soins salariés ou indépendants, etc.</w:t>
      </w:r>
      <w:bookmarkEnd w:id="14"/>
    </w:p>
    <w:p w14:paraId="48C6F526" w14:textId="77777777" w:rsidR="0047204F" w:rsidRPr="00963746" w:rsidRDefault="0047204F" w:rsidP="0047204F">
      <w:pPr>
        <w:pStyle w:val="Lijstalinea"/>
        <w:spacing w:before="160"/>
        <w:jc w:val="both"/>
        <w:rPr>
          <w:b/>
          <w:bCs/>
          <w:color w:val="2F5496" w:themeColor="accent1" w:themeShade="BF"/>
          <w:lang w:val="fr-BE"/>
        </w:rPr>
      </w:pPr>
    </w:p>
    <w:p w14:paraId="3ABF48E5" w14:textId="77777777" w:rsidR="00A61830" w:rsidRPr="000C4A49" w:rsidRDefault="00A61830" w:rsidP="00A61830">
      <w:pPr>
        <w:pStyle w:val="Lijstalinea"/>
        <w:numPr>
          <w:ilvl w:val="0"/>
          <w:numId w:val="1"/>
        </w:numPr>
        <w:spacing w:before="160"/>
        <w:outlineLvl w:val="0"/>
        <w:rPr>
          <w:b/>
          <w:bCs/>
          <w:lang w:val="fr-BE"/>
        </w:rPr>
      </w:pPr>
      <w:bookmarkStart w:id="15" w:name="_Toc66794316"/>
      <w:bookmarkStart w:id="16" w:name="_Toc66794317"/>
      <w:bookmarkStart w:id="17" w:name="_Toc66794318"/>
      <w:bookmarkStart w:id="18" w:name="_Toc67817056"/>
      <w:bookmarkEnd w:id="15"/>
      <w:bookmarkEnd w:id="16"/>
      <w:bookmarkEnd w:id="17"/>
      <w:r w:rsidRPr="000C4A49">
        <w:rPr>
          <w:b/>
          <w:bCs/>
          <w:lang w:val="fr-BE"/>
        </w:rPr>
        <w:t>La suite</w:t>
      </w:r>
      <w:bookmarkEnd w:id="18"/>
    </w:p>
    <w:p w14:paraId="06C87A87" w14:textId="77777777" w:rsidR="00A22D5A" w:rsidRDefault="00A22D5A" w:rsidP="00A61830">
      <w:pPr>
        <w:pStyle w:val="Lijstalinea"/>
        <w:ind w:left="360"/>
        <w:jc w:val="both"/>
        <w:rPr>
          <w:color w:val="2F5496" w:themeColor="accent1" w:themeShade="BF"/>
          <w:lang w:val="fr-BE"/>
        </w:rPr>
      </w:pPr>
    </w:p>
    <w:p w14:paraId="128FA241" w14:textId="68F92E5A" w:rsidR="00A61830" w:rsidRPr="00963746" w:rsidRDefault="00D31A7B" w:rsidP="008354B6">
      <w:pPr>
        <w:pStyle w:val="Lijstalinea"/>
        <w:ind w:left="0"/>
        <w:jc w:val="both"/>
        <w:rPr>
          <w:color w:val="2F5496" w:themeColor="accent1" w:themeShade="BF"/>
          <w:lang w:val="fr-BE"/>
        </w:rPr>
      </w:pPr>
      <w:r>
        <w:rPr>
          <w:color w:val="2F5496" w:themeColor="accent1" w:themeShade="BF"/>
          <w:lang w:val="fr-BE"/>
        </w:rPr>
        <w:t>Comme déjà indiqué au point 2, l</w:t>
      </w:r>
      <w:r w:rsidR="00A61830" w:rsidRPr="00963746">
        <w:rPr>
          <w:color w:val="2F5496" w:themeColor="accent1" w:themeShade="BF"/>
          <w:lang w:val="fr-BE"/>
        </w:rPr>
        <w:t xml:space="preserve">e ministre envisage une extension des interventions au-delà des montants à charge de l’AMI, c'est-à-dire en intervenant dans le manque à gagner sur le </w:t>
      </w:r>
      <w:r w:rsidR="00A61830" w:rsidRPr="00963746">
        <w:rPr>
          <w:b/>
          <w:bCs/>
          <w:color w:val="2F5496" w:themeColor="accent1" w:themeShade="BF"/>
          <w:lang w:val="fr-BE"/>
        </w:rPr>
        <w:t>ticket modérateur</w:t>
      </w:r>
      <w:r w:rsidR="009B3480">
        <w:rPr>
          <w:color w:val="2F5496" w:themeColor="accent1" w:themeShade="BF"/>
          <w:lang w:val="fr-BE"/>
        </w:rPr>
        <w:t>,</w:t>
      </w:r>
      <w:r w:rsidR="00A61830" w:rsidRPr="00963746">
        <w:rPr>
          <w:color w:val="2F5496" w:themeColor="accent1" w:themeShade="BF"/>
          <w:lang w:val="fr-BE"/>
        </w:rPr>
        <w:t xml:space="preserve"> les </w:t>
      </w:r>
      <w:r w:rsidR="009B3480">
        <w:rPr>
          <w:b/>
          <w:bCs/>
          <w:color w:val="2F5496" w:themeColor="accent1" w:themeShade="BF"/>
          <w:lang w:val="fr-BE"/>
        </w:rPr>
        <w:t xml:space="preserve">quotes-parts </w:t>
      </w:r>
      <w:r w:rsidR="00A61830" w:rsidRPr="00963746">
        <w:rPr>
          <w:b/>
          <w:bCs/>
          <w:color w:val="2F5496" w:themeColor="accent1" w:themeShade="BF"/>
          <w:lang w:val="fr-BE"/>
        </w:rPr>
        <w:t>personnelles</w:t>
      </w:r>
      <w:r w:rsidR="00A61830" w:rsidRPr="00963746">
        <w:rPr>
          <w:color w:val="2F5496" w:themeColor="accent1" w:themeShade="BF"/>
          <w:lang w:val="fr-BE"/>
        </w:rPr>
        <w:t xml:space="preserve"> ou la </w:t>
      </w:r>
      <w:r w:rsidR="00A61830" w:rsidRPr="00963746">
        <w:rPr>
          <w:b/>
          <w:bCs/>
          <w:color w:val="2F5496" w:themeColor="accent1" w:themeShade="BF"/>
          <w:lang w:val="fr-BE"/>
        </w:rPr>
        <w:t>marge de délivrance des implants</w:t>
      </w:r>
      <w:r w:rsidR="00A61830" w:rsidRPr="00963746">
        <w:rPr>
          <w:color w:val="2F5496" w:themeColor="accent1" w:themeShade="BF"/>
          <w:lang w:val="fr-BE"/>
        </w:rPr>
        <w:t xml:space="preserve">, ainsi qu'en indemnisant la perte de recettes provenant des </w:t>
      </w:r>
      <w:r w:rsidR="00A61830" w:rsidRPr="00963746">
        <w:rPr>
          <w:b/>
          <w:bCs/>
          <w:color w:val="2F5496" w:themeColor="accent1" w:themeShade="BF"/>
          <w:lang w:val="fr-BE"/>
        </w:rPr>
        <w:t>patients non OA</w:t>
      </w:r>
      <w:r w:rsidR="00A61830" w:rsidRPr="00963746">
        <w:rPr>
          <w:color w:val="2F5496" w:themeColor="accent1" w:themeShade="BF"/>
          <w:lang w:val="fr-BE"/>
        </w:rPr>
        <w:t xml:space="preserve"> de la même manière que ce qui est prévu pour les patients AMI. Il a également prévu un nouveau </w:t>
      </w:r>
      <w:r w:rsidR="00A61830" w:rsidRPr="00963746">
        <w:rPr>
          <w:b/>
          <w:bCs/>
          <w:color w:val="2F5496" w:themeColor="accent1" w:themeShade="BF"/>
          <w:lang w:val="fr-BE"/>
        </w:rPr>
        <w:t>forfait pour les prestataires de soins</w:t>
      </w:r>
      <w:r w:rsidR="00A61830" w:rsidRPr="00963746">
        <w:rPr>
          <w:color w:val="2F5496" w:themeColor="accent1" w:themeShade="BF"/>
          <w:lang w:val="fr-BE"/>
        </w:rPr>
        <w:t xml:space="preserve"> (forfait d’implication) actifs pendant la deuxième vague. Les principes de son attribution ont été établis en concertation avec le groupe </w:t>
      </w:r>
      <w:r w:rsidR="00A61830" w:rsidRPr="00963746">
        <w:rPr>
          <w:i/>
          <w:iCs/>
          <w:color w:val="2F5496" w:themeColor="accent1" w:themeShade="BF"/>
          <w:lang w:val="fr-BE"/>
        </w:rPr>
        <w:t>ad hoc</w:t>
      </w:r>
      <w:r w:rsidR="00A61830" w:rsidRPr="00963746">
        <w:rPr>
          <w:color w:val="2F5496" w:themeColor="accent1" w:themeShade="BF"/>
          <w:lang w:val="fr-BE"/>
        </w:rPr>
        <w:t xml:space="preserve"> CFEH-Medicomut et sur base de l'avis du CFEH. Les ajouts, corrections et </w:t>
      </w:r>
      <w:r w:rsidR="00A61830" w:rsidRPr="00963746">
        <w:rPr>
          <w:b/>
          <w:bCs/>
          <w:color w:val="2F5496" w:themeColor="accent1" w:themeShade="BF"/>
          <w:lang w:val="fr-BE"/>
        </w:rPr>
        <w:t>extensions au second semestre</w:t>
      </w:r>
      <w:r w:rsidR="00A61830" w:rsidRPr="00963746">
        <w:rPr>
          <w:color w:val="2F5496" w:themeColor="accent1" w:themeShade="BF"/>
          <w:lang w:val="fr-BE"/>
        </w:rPr>
        <w:t xml:space="preserve"> feront l’objet d’un AR </w:t>
      </w:r>
      <w:r w:rsidR="00882A28">
        <w:rPr>
          <w:color w:val="2F5496" w:themeColor="accent1" w:themeShade="BF"/>
          <w:lang w:val="fr-BE"/>
        </w:rPr>
        <w:t>modificatif de l’</w:t>
      </w:r>
      <w:r w:rsidR="00A61830" w:rsidRPr="00963746">
        <w:rPr>
          <w:color w:val="2F5496" w:themeColor="accent1" w:themeShade="BF"/>
          <w:lang w:val="fr-BE"/>
        </w:rPr>
        <w:t>AR IFFE</w:t>
      </w:r>
      <w:r>
        <w:rPr>
          <w:color w:val="2F5496" w:themeColor="accent1" w:themeShade="BF"/>
          <w:lang w:val="fr-BE"/>
        </w:rPr>
        <w:t>, mais les décomptes provisoires en tiennent ou en tiendront déjà compte</w:t>
      </w:r>
    </w:p>
    <w:p w14:paraId="78FAD2C4" w14:textId="77777777" w:rsidR="00A61830" w:rsidRPr="00963746" w:rsidRDefault="00A61830" w:rsidP="008354B6">
      <w:pPr>
        <w:pStyle w:val="Lijstalinea"/>
        <w:ind w:left="0"/>
        <w:jc w:val="both"/>
        <w:rPr>
          <w:color w:val="2F5496" w:themeColor="accent1" w:themeShade="BF"/>
          <w:lang w:val="fr-BE"/>
        </w:rPr>
      </w:pPr>
    </w:p>
    <w:p w14:paraId="2B505C79" w14:textId="3A74112E" w:rsidR="00A61830" w:rsidRPr="00963746" w:rsidRDefault="00882A28" w:rsidP="008354B6">
      <w:pPr>
        <w:pStyle w:val="Lijstalinea"/>
        <w:ind w:left="0"/>
        <w:jc w:val="both"/>
        <w:rPr>
          <w:color w:val="2F5496" w:themeColor="accent1" w:themeShade="BF"/>
          <w:lang w:val="fr-BE"/>
        </w:rPr>
      </w:pPr>
      <w:r>
        <w:rPr>
          <w:color w:val="2F5496" w:themeColor="accent1" w:themeShade="BF"/>
          <w:lang w:val="fr-BE"/>
        </w:rPr>
        <w:t xml:space="preserve">L’envoi du </w:t>
      </w:r>
      <w:r w:rsidR="00A61830" w:rsidRPr="00963746">
        <w:rPr>
          <w:color w:val="2F5496" w:themeColor="accent1" w:themeShade="BF"/>
          <w:lang w:val="fr-BE"/>
        </w:rPr>
        <w:t xml:space="preserve">décompte provisoire </w:t>
      </w:r>
      <w:r>
        <w:rPr>
          <w:color w:val="2F5496" w:themeColor="accent1" w:themeShade="BF"/>
          <w:lang w:val="fr-BE"/>
        </w:rPr>
        <w:t xml:space="preserve">des hôpitaux généraux relatif au </w:t>
      </w:r>
      <w:r w:rsidR="00A61830" w:rsidRPr="00963746">
        <w:rPr>
          <w:color w:val="2F5496" w:themeColor="accent1" w:themeShade="BF"/>
          <w:lang w:val="fr-BE"/>
        </w:rPr>
        <w:t>premier semestre</w:t>
      </w:r>
      <w:r>
        <w:rPr>
          <w:color w:val="2F5496" w:themeColor="accent1" w:themeShade="BF"/>
          <w:lang w:val="fr-BE"/>
        </w:rPr>
        <w:t xml:space="preserve"> a fait apparaître</w:t>
      </w:r>
      <w:r w:rsidR="00A61830" w:rsidRPr="00963746">
        <w:rPr>
          <w:color w:val="2F5496" w:themeColor="accent1" w:themeShade="BF"/>
          <w:lang w:val="fr-BE"/>
        </w:rPr>
        <w:t xml:space="preserve"> plusieurs corrections ou précisions </w:t>
      </w:r>
      <w:r>
        <w:rPr>
          <w:color w:val="2F5496" w:themeColor="accent1" w:themeShade="BF"/>
          <w:lang w:val="fr-BE"/>
        </w:rPr>
        <w:t>à</w:t>
      </w:r>
      <w:r w:rsidR="00A61830" w:rsidRPr="00963746">
        <w:rPr>
          <w:color w:val="2F5496" w:themeColor="accent1" w:themeShade="BF"/>
          <w:lang w:val="fr-BE"/>
        </w:rPr>
        <w:t xml:space="preserve"> apport</w:t>
      </w:r>
      <w:r>
        <w:rPr>
          <w:color w:val="2F5496" w:themeColor="accent1" w:themeShade="BF"/>
          <w:lang w:val="fr-BE"/>
        </w:rPr>
        <w:t>er</w:t>
      </w:r>
      <w:r w:rsidR="00A61830" w:rsidRPr="00963746">
        <w:rPr>
          <w:color w:val="2F5496" w:themeColor="accent1" w:themeShade="BF"/>
          <w:lang w:val="fr-BE"/>
        </w:rPr>
        <w:t xml:space="preserve">. Il s’agit </w:t>
      </w:r>
      <w:r w:rsidR="004936D7">
        <w:rPr>
          <w:color w:val="2F5496" w:themeColor="accent1" w:themeShade="BF"/>
          <w:lang w:val="fr-BE"/>
        </w:rPr>
        <w:t xml:space="preserve">des </w:t>
      </w:r>
      <w:r w:rsidR="004936D7" w:rsidRPr="004936D7">
        <w:rPr>
          <w:color w:val="2F5496" w:themeColor="accent1" w:themeShade="BF"/>
          <w:lang w:val="fr-BE"/>
        </w:rPr>
        <w:t>erreurs méthodologique</w:t>
      </w:r>
      <w:r w:rsidR="004936D7">
        <w:rPr>
          <w:color w:val="2F5496" w:themeColor="accent1" w:themeShade="BF"/>
          <w:lang w:val="fr-BE"/>
        </w:rPr>
        <w:t xml:space="preserve">, </w:t>
      </w:r>
      <w:r w:rsidR="004936D7" w:rsidRPr="004936D7">
        <w:rPr>
          <w:color w:val="2F5496" w:themeColor="accent1" w:themeShade="BF"/>
          <w:lang w:val="fr-BE"/>
        </w:rPr>
        <w:t xml:space="preserve"> </w:t>
      </w:r>
      <w:r w:rsidR="00A61830" w:rsidRPr="00963746">
        <w:rPr>
          <w:color w:val="2F5496" w:themeColor="accent1" w:themeShade="BF"/>
          <w:lang w:val="fr-BE"/>
        </w:rPr>
        <w:t>par exemple de la non-utilisation des montants et du nombre de lits les plus récents (issus de l’arrêté ministériel</w:t>
      </w:r>
      <w:r>
        <w:rPr>
          <w:color w:val="2F5496" w:themeColor="accent1" w:themeShade="BF"/>
          <w:lang w:val="fr-BE"/>
        </w:rPr>
        <w:t xml:space="preserve"> fixant les forfaits pour les hôpitaux généraux</w:t>
      </w:r>
      <w:r w:rsidR="00A61830" w:rsidRPr="00963746">
        <w:rPr>
          <w:color w:val="2F5496" w:themeColor="accent1" w:themeShade="BF"/>
          <w:lang w:val="fr-BE"/>
        </w:rPr>
        <w:t>) ou du fait que certaines données ont été actualisées</w:t>
      </w:r>
      <w:r>
        <w:rPr>
          <w:color w:val="2F5496" w:themeColor="accent1" w:themeShade="BF"/>
          <w:lang w:val="fr-BE"/>
        </w:rPr>
        <w:t xml:space="preserve"> depuis</w:t>
      </w:r>
      <w:r w:rsidR="00A61830" w:rsidRPr="00963746">
        <w:rPr>
          <w:color w:val="2F5496" w:themeColor="accent1" w:themeShade="BF"/>
          <w:lang w:val="fr-BE"/>
        </w:rPr>
        <w:t xml:space="preserve">, etc. Dans l’optique de ce </w:t>
      </w:r>
      <w:r w:rsidR="00A61830" w:rsidRPr="00963746">
        <w:rPr>
          <w:b/>
          <w:bCs/>
          <w:color w:val="2F5496" w:themeColor="accent1" w:themeShade="BF"/>
          <w:lang w:val="fr-BE"/>
        </w:rPr>
        <w:t>nouveau décompte provisoire</w:t>
      </w:r>
      <w:r w:rsidR="00A61830" w:rsidRPr="00963746">
        <w:rPr>
          <w:color w:val="2F5496" w:themeColor="accent1" w:themeShade="BF"/>
          <w:lang w:val="fr-BE"/>
        </w:rPr>
        <w:t xml:space="preserve"> du premier semestre, les hôpitaux auront la possibilité  de réintroduire </w:t>
      </w:r>
      <w:r w:rsidR="00D31A7B">
        <w:rPr>
          <w:color w:val="2F5496" w:themeColor="accent1" w:themeShade="BF"/>
          <w:lang w:val="fr-BE"/>
        </w:rPr>
        <w:t>certaines</w:t>
      </w:r>
      <w:r w:rsidR="00A61830" w:rsidRPr="00963746">
        <w:rPr>
          <w:color w:val="2F5496" w:themeColor="accent1" w:themeShade="BF"/>
          <w:lang w:val="fr-BE"/>
        </w:rPr>
        <w:t xml:space="preserve"> données pour la même période</w:t>
      </w:r>
      <w:r w:rsidRPr="00882A28">
        <w:rPr>
          <w:color w:val="2F5496" w:themeColor="accent1" w:themeShade="BF"/>
          <w:lang w:val="fr-BE"/>
        </w:rPr>
        <w:t xml:space="preserve"> </w:t>
      </w:r>
      <w:r>
        <w:rPr>
          <w:color w:val="2F5496" w:themeColor="accent1" w:themeShade="BF"/>
          <w:lang w:val="fr-BE"/>
        </w:rPr>
        <w:t xml:space="preserve">et de fournir des données supplémentaires comme sur </w:t>
      </w:r>
      <w:r w:rsidRPr="00135D28">
        <w:rPr>
          <w:color w:val="2F5496" w:themeColor="accent1" w:themeShade="BF"/>
          <w:lang w:val="fr-BE"/>
        </w:rPr>
        <w:t>les médecins en formation</w:t>
      </w:r>
      <w:r w:rsidR="00A61830" w:rsidRPr="00963746">
        <w:rPr>
          <w:color w:val="2F5496" w:themeColor="accent1" w:themeShade="BF"/>
          <w:lang w:val="fr-BE"/>
        </w:rPr>
        <w:t xml:space="preserve">. </w:t>
      </w:r>
    </w:p>
    <w:p w14:paraId="1C1AE687" w14:textId="77777777" w:rsidR="00A61830" w:rsidRPr="00963746" w:rsidRDefault="00A61830" w:rsidP="008354B6">
      <w:pPr>
        <w:pStyle w:val="Lijstalinea"/>
        <w:ind w:left="0"/>
        <w:jc w:val="both"/>
        <w:rPr>
          <w:color w:val="2F5496" w:themeColor="accent1" w:themeShade="BF"/>
          <w:lang w:val="fr-BE"/>
        </w:rPr>
      </w:pPr>
    </w:p>
    <w:p w14:paraId="44F86506" w14:textId="0F1F1C25" w:rsidR="00A61830" w:rsidRPr="00963746" w:rsidRDefault="00A61830" w:rsidP="008354B6">
      <w:pPr>
        <w:pStyle w:val="Lijstalinea"/>
        <w:ind w:left="0"/>
        <w:rPr>
          <w:color w:val="2F5496" w:themeColor="accent1" w:themeShade="BF"/>
          <w:lang w:val="fr-BE"/>
        </w:rPr>
      </w:pPr>
      <w:r w:rsidRPr="00963746">
        <w:rPr>
          <w:color w:val="2F5496" w:themeColor="accent1" w:themeShade="BF"/>
          <w:lang w:val="fr-BE"/>
        </w:rPr>
        <w:t xml:space="preserve">En ce qui concerne les médecins en formation, nous attirons l’attention sur le fait qu’une FAQ spécifique a été publiée reprenant toutes les informations et explications sur les indemnités complémentaires relatives aux MSF et MGF (voir </w:t>
      </w:r>
      <w:hyperlink r:id="rId12" w:anchor="Document" w:history="1">
        <w:r w:rsidRPr="00963746">
          <w:rPr>
            <w:rStyle w:val="Hyperlink"/>
            <w:color w:val="2F5496" w:themeColor="accent1" w:themeShade="BF"/>
            <w:lang w:val="fr-BE"/>
          </w:rPr>
          <w:t>https://www.health.belgium.be/fr/sante /organisation-des-soins-de-sante/</w:t>
        </w:r>
        <w:r w:rsidR="00882A28" w:rsidRPr="00882A28">
          <w:rPr>
            <w:rStyle w:val="Hyperlink"/>
            <w:color w:val="2F5496" w:themeColor="accent1" w:themeShade="BF"/>
            <w:lang w:val="fr-BE"/>
          </w:rPr>
          <w:t>hôpitaux</w:t>
        </w:r>
        <w:r w:rsidRPr="00963746">
          <w:rPr>
            <w:rStyle w:val="Hyperlink"/>
            <w:color w:val="2F5496" w:themeColor="accent1" w:themeShade="BF"/>
            <w:lang w:val="fr-BE"/>
          </w:rPr>
          <w:t xml:space="preserve"> /financement-des-</w:t>
        </w:r>
        <w:r w:rsidR="00882A28" w:rsidRPr="00882A28">
          <w:rPr>
            <w:rStyle w:val="Hyperlink"/>
            <w:color w:val="2F5496" w:themeColor="accent1" w:themeShade="BF"/>
            <w:lang w:val="fr-BE"/>
          </w:rPr>
          <w:t>hôpitaux</w:t>
        </w:r>
        <w:r w:rsidRPr="00963746">
          <w:rPr>
            <w:rStyle w:val="Hyperlink"/>
            <w:color w:val="2F5496" w:themeColor="accent1" w:themeShade="BF"/>
            <w:lang w:val="fr-BE"/>
          </w:rPr>
          <w:t>/</w:t>
        </w:r>
        <w:r w:rsidR="00882A28" w:rsidRPr="00882A28">
          <w:rPr>
            <w:rStyle w:val="Hyperlink"/>
            <w:color w:val="2F5496" w:themeColor="accent1" w:themeShade="BF"/>
            <w:lang w:val="fr-BE"/>
          </w:rPr>
          <w:t>hôpitaux</w:t>
        </w:r>
        <w:r w:rsidR="00882A28">
          <w:rPr>
            <w:rStyle w:val="Hyperlink"/>
            <w:color w:val="2F5496" w:themeColor="accent1" w:themeShade="BF"/>
            <w:lang w:val="fr-BE"/>
          </w:rPr>
          <w:t>/</w:t>
        </w:r>
        <w:r w:rsidRPr="00963746">
          <w:rPr>
            <w:rStyle w:val="Hyperlink"/>
            <w:color w:val="2F5496" w:themeColor="accent1" w:themeShade="BF"/>
            <w:lang w:val="fr-BE"/>
          </w:rPr>
          <w:t>Document</w:t>
        </w:r>
      </w:hyperlink>
      <w:r w:rsidRPr="00963746">
        <w:rPr>
          <w:color w:val="2F5496" w:themeColor="accent1" w:themeShade="BF"/>
          <w:lang w:val="fr-BE"/>
        </w:rPr>
        <w:t>)</w:t>
      </w:r>
    </w:p>
    <w:p w14:paraId="49C1EA1E" w14:textId="77777777" w:rsidR="00A61830" w:rsidRPr="00963746" w:rsidRDefault="00A61830" w:rsidP="008354B6">
      <w:pPr>
        <w:pStyle w:val="Lijstalinea"/>
        <w:ind w:left="0"/>
        <w:rPr>
          <w:color w:val="2F5496" w:themeColor="accent1" w:themeShade="BF"/>
          <w:lang w:val="fr-BE"/>
        </w:rPr>
      </w:pPr>
    </w:p>
    <w:p w14:paraId="08487392" w14:textId="11C3ED6D" w:rsidR="00A61830" w:rsidRPr="00963746" w:rsidRDefault="0028340B" w:rsidP="008354B6">
      <w:pPr>
        <w:pStyle w:val="Lijstalinea"/>
        <w:ind w:left="0"/>
        <w:jc w:val="both"/>
        <w:rPr>
          <w:color w:val="2F5496" w:themeColor="accent1" w:themeShade="BF"/>
          <w:lang w:val="fr-BE"/>
        </w:rPr>
      </w:pPr>
      <w:r>
        <w:rPr>
          <w:color w:val="2F5496" w:themeColor="accent1" w:themeShade="BF"/>
          <w:lang w:val="fr-BE"/>
        </w:rPr>
        <w:t>Comme déjà indiqué sous point 2,</w:t>
      </w:r>
      <w:r w:rsidR="00A61830" w:rsidRPr="00963746">
        <w:rPr>
          <w:color w:val="2F5496" w:themeColor="accent1" w:themeShade="BF"/>
          <w:lang w:val="fr-BE"/>
        </w:rPr>
        <w:t xml:space="preserve"> une circulaire </w:t>
      </w:r>
      <w:r w:rsidR="00A22D5A">
        <w:rPr>
          <w:color w:val="2F5496" w:themeColor="accent1" w:themeShade="BF"/>
          <w:lang w:val="fr-BE"/>
        </w:rPr>
        <w:t xml:space="preserve">du </w:t>
      </w:r>
      <w:r w:rsidR="00A61830" w:rsidRPr="00963746">
        <w:rPr>
          <w:color w:val="2F5496" w:themeColor="accent1" w:themeShade="BF"/>
          <w:lang w:val="fr-BE"/>
        </w:rPr>
        <w:t xml:space="preserve">9 mars 2021 a été envoyée aux gestionnaires d’hôpitaux et aux présidents des conseils médicaux, demandant des explications concernant le </w:t>
      </w:r>
      <w:r w:rsidR="00A61830" w:rsidRPr="00963746">
        <w:rPr>
          <w:b/>
          <w:bCs/>
          <w:color w:val="2F5496" w:themeColor="accent1" w:themeShade="BF"/>
          <w:lang w:val="fr-BE"/>
        </w:rPr>
        <w:t>pourcentage de prélèvements</w:t>
      </w:r>
      <w:r w:rsidR="00A61830" w:rsidRPr="00963746">
        <w:rPr>
          <w:color w:val="2F5496" w:themeColor="accent1" w:themeShade="BF"/>
          <w:lang w:val="fr-BE"/>
        </w:rPr>
        <w:t xml:space="preserve"> communiqué, ainsi que l’accord à ce sujet de la part du président du conseil médical et du réviseur d’entreprise (voir art. 4, §3.2.2 de l’AR IFFE et point </w:t>
      </w:r>
      <w:r w:rsidR="00A61830" w:rsidRPr="00963746">
        <w:rPr>
          <w:color w:val="2F5496" w:themeColor="accent1" w:themeShade="BF"/>
        </w:rPr>
        <w:fldChar w:fldCharType="begin"/>
      </w:r>
      <w:r w:rsidR="00A61830" w:rsidRPr="00963746">
        <w:rPr>
          <w:color w:val="2F5496" w:themeColor="accent1" w:themeShade="BF"/>
          <w:lang w:val="fr-BE"/>
        </w:rPr>
        <w:instrText xml:space="preserve"> REF _Ref65669233 \r \h </w:instrText>
      </w:r>
      <w:r w:rsidR="00A61830" w:rsidRPr="00963746">
        <w:rPr>
          <w:color w:val="2F5496" w:themeColor="accent1" w:themeShade="BF"/>
        </w:rPr>
      </w:r>
      <w:r w:rsidR="00A61830" w:rsidRPr="00963746">
        <w:rPr>
          <w:color w:val="2F5496" w:themeColor="accent1" w:themeShade="BF"/>
        </w:rPr>
        <w:fldChar w:fldCharType="separate"/>
      </w:r>
      <w:r w:rsidR="00A61830" w:rsidRPr="00963746">
        <w:rPr>
          <w:color w:val="2F5496" w:themeColor="accent1" w:themeShade="BF"/>
          <w:lang w:val="fr-BE"/>
        </w:rPr>
        <w:t>3.3</w:t>
      </w:r>
      <w:r w:rsidR="00A61830" w:rsidRPr="00963746">
        <w:rPr>
          <w:color w:val="2F5496" w:themeColor="accent1" w:themeShade="BF"/>
        </w:rPr>
        <w:fldChar w:fldCharType="end"/>
      </w:r>
      <w:r w:rsidR="00A61830" w:rsidRPr="00963746">
        <w:rPr>
          <w:color w:val="2F5496" w:themeColor="accent1" w:themeShade="BF"/>
          <w:lang w:val="fr-BE"/>
        </w:rPr>
        <w:t xml:space="preserve"> ci-après).</w:t>
      </w:r>
      <w:r w:rsidR="00132CB4">
        <w:rPr>
          <w:color w:val="2F5496" w:themeColor="accent1" w:themeShade="BF"/>
          <w:lang w:val="fr-BE"/>
        </w:rPr>
        <w:t xml:space="preserve"> </w:t>
      </w:r>
      <w:r w:rsidR="00B66DA7">
        <w:rPr>
          <w:color w:val="2F5496" w:themeColor="accent1" w:themeShade="BF"/>
          <w:lang w:val="fr-BE"/>
        </w:rPr>
        <w:t>La date de soumission est reportée et sera communiquée.</w:t>
      </w:r>
    </w:p>
    <w:p w14:paraId="2DD92734" w14:textId="77777777" w:rsidR="00A61830" w:rsidRPr="00963746" w:rsidRDefault="00A61830" w:rsidP="008354B6">
      <w:pPr>
        <w:pStyle w:val="Lijstalinea"/>
        <w:ind w:left="0"/>
        <w:jc w:val="both"/>
        <w:rPr>
          <w:color w:val="2F5496" w:themeColor="accent1" w:themeShade="BF"/>
          <w:lang w:val="fr-BE"/>
        </w:rPr>
      </w:pPr>
    </w:p>
    <w:p w14:paraId="5E865A17" w14:textId="00BE04E7" w:rsidR="00A61830" w:rsidRPr="00963746" w:rsidRDefault="00A61830" w:rsidP="008354B6">
      <w:pPr>
        <w:pStyle w:val="Lijstalinea"/>
        <w:ind w:left="0"/>
        <w:jc w:val="both"/>
        <w:rPr>
          <w:color w:val="2F5496" w:themeColor="accent1" w:themeShade="BF"/>
          <w:lang w:val="fr-BE"/>
        </w:rPr>
      </w:pPr>
      <w:r w:rsidRPr="00963746">
        <w:rPr>
          <w:color w:val="2F5496" w:themeColor="accent1" w:themeShade="BF"/>
          <w:lang w:val="fr-BE"/>
        </w:rPr>
        <w:t xml:space="preserve">Un </w:t>
      </w:r>
      <w:r w:rsidRPr="00963746">
        <w:rPr>
          <w:b/>
          <w:bCs/>
          <w:color w:val="2F5496" w:themeColor="accent1" w:themeShade="BF"/>
          <w:lang w:val="fr-BE"/>
        </w:rPr>
        <w:t>reporting hospitalier</w:t>
      </w:r>
      <w:r w:rsidRPr="00963746">
        <w:rPr>
          <w:color w:val="2F5496" w:themeColor="accent1" w:themeShade="BF"/>
          <w:lang w:val="fr-BE"/>
        </w:rPr>
        <w:t xml:space="preserve"> sera également mis au point, comme le prévoit l’AR IFFE (art. 10, 3.) Ce reporting portera en particulier sur l’utilisation des moyens </w:t>
      </w:r>
      <w:r w:rsidR="00A22D5A">
        <w:rPr>
          <w:color w:val="2F5496" w:themeColor="accent1" w:themeShade="BF"/>
          <w:lang w:val="fr-BE"/>
        </w:rPr>
        <w:t>prévus dans</w:t>
      </w:r>
      <w:r w:rsidR="00A22D5A" w:rsidRPr="00963746">
        <w:rPr>
          <w:color w:val="2F5496" w:themeColor="accent1" w:themeShade="BF"/>
          <w:lang w:val="fr-BE"/>
        </w:rPr>
        <w:t xml:space="preserve"> </w:t>
      </w:r>
      <w:r w:rsidRPr="00963746">
        <w:rPr>
          <w:color w:val="2F5496" w:themeColor="accent1" w:themeShade="BF"/>
          <w:lang w:val="fr-BE"/>
        </w:rPr>
        <w:t>l’article 6 de l’AR IFFE.</w:t>
      </w:r>
    </w:p>
    <w:p w14:paraId="68F55103" w14:textId="77777777" w:rsidR="00A61830" w:rsidRPr="00963746" w:rsidRDefault="00A61830" w:rsidP="008354B6">
      <w:pPr>
        <w:pStyle w:val="Lijstalinea"/>
        <w:ind w:left="0"/>
        <w:jc w:val="both"/>
        <w:rPr>
          <w:color w:val="2F5496" w:themeColor="accent1" w:themeShade="BF"/>
          <w:lang w:val="fr-BE"/>
        </w:rPr>
      </w:pPr>
    </w:p>
    <w:p w14:paraId="633B0B15" w14:textId="0AE2600A" w:rsidR="00A61830" w:rsidRPr="00963746" w:rsidRDefault="00A61830" w:rsidP="008354B6">
      <w:pPr>
        <w:pStyle w:val="Lijstalinea"/>
        <w:ind w:left="0"/>
        <w:jc w:val="both"/>
        <w:rPr>
          <w:color w:val="2F5496" w:themeColor="accent1" w:themeShade="BF"/>
          <w:lang w:val="fr-BE"/>
        </w:rPr>
      </w:pPr>
      <w:r w:rsidRPr="00963746">
        <w:rPr>
          <w:color w:val="2F5496" w:themeColor="accent1" w:themeShade="BF"/>
          <w:lang w:val="fr-BE"/>
        </w:rPr>
        <w:t xml:space="preserve">Par ailleurs, la possibilité, sur le plan juridique, de soutenir à nouveau les hôpitaux </w:t>
      </w:r>
      <w:r w:rsidR="00033174">
        <w:rPr>
          <w:color w:val="2F5496" w:themeColor="accent1" w:themeShade="BF"/>
          <w:lang w:val="fr-BE"/>
        </w:rPr>
        <w:t xml:space="preserve">et les prestataires hospitaliers </w:t>
      </w:r>
      <w:r w:rsidRPr="00963746">
        <w:rPr>
          <w:color w:val="2F5496" w:themeColor="accent1" w:themeShade="BF"/>
          <w:lang w:val="fr-BE"/>
        </w:rPr>
        <w:t xml:space="preserve">en cette période difficile persistante, </w:t>
      </w:r>
      <w:r w:rsidR="0028340B">
        <w:rPr>
          <w:color w:val="2F5496" w:themeColor="accent1" w:themeShade="BF"/>
          <w:lang w:val="fr-BE"/>
        </w:rPr>
        <w:t xml:space="preserve">en relation avec </w:t>
      </w:r>
      <w:r w:rsidRPr="00963746">
        <w:rPr>
          <w:color w:val="2F5496" w:themeColor="accent1" w:themeShade="BF"/>
          <w:lang w:val="fr-BE"/>
        </w:rPr>
        <w:t xml:space="preserve"> l</w:t>
      </w:r>
      <w:r w:rsidR="0028340B">
        <w:rPr>
          <w:color w:val="2F5496" w:themeColor="accent1" w:themeShade="BF"/>
          <w:lang w:val="fr-BE"/>
        </w:rPr>
        <w:t>es évolutions de la</w:t>
      </w:r>
      <w:r w:rsidRPr="00963746">
        <w:rPr>
          <w:color w:val="2F5496" w:themeColor="accent1" w:themeShade="BF"/>
          <w:lang w:val="fr-BE"/>
        </w:rPr>
        <w:t xml:space="preserve"> </w:t>
      </w:r>
      <w:r w:rsidRPr="00963746">
        <w:rPr>
          <w:b/>
          <w:bCs/>
          <w:color w:val="2F5496" w:themeColor="accent1" w:themeShade="BF"/>
          <w:lang w:val="fr-BE"/>
        </w:rPr>
        <w:t xml:space="preserve">situation </w:t>
      </w:r>
      <w:r w:rsidR="0028340B">
        <w:rPr>
          <w:b/>
          <w:bCs/>
          <w:color w:val="2F5496" w:themeColor="accent1" w:themeShade="BF"/>
          <w:lang w:val="fr-BE"/>
        </w:rPr>
        <w:t xml:space="preserve">COVID </w:t>
      </w:r>
      <w:r w:rsidRPr="00963746">
        <w:rPr>
          <w:b/>
          <w:bCs/>
          <w:color w:val="2F5496" w:themeColor="accent1" w:themeShade="BF"/>
          <w:lang w:val="fr-BE"/>
        </w:rPr>
        <w:t>en 2021</w:t>
      </w:r>
      <w:r w:rsidR="00A22D5A">
        <w:rPr>
          <w:color w:val="2F5496" w:themeColor="accent1" w:themeShade="BF"/>
          <w:lang w:val="fr-BE"/>
        </w:rPr>
        <w:t xml:space="preserve">, est </w:t>
      </w:r>
      <w:r w:rsidR="0028340B">
        <w:rPr>
          <w:color w:val="2F5496" w:themeColor="accent1" w:themeShade="BF"/>
          <w:lang w:val="fr-BE"/>
        </w:rPr>
        <w:t xml:space="preserve">actuellement en préparation au niveau des administrations et pourra ensuite être </w:t>
      </w:r>
      <w:r w:rsidR="00A22D5A">
        <w:rPr>
          <w:color w:val="2F5496" w:themeColor="accent1" w:themeShade="BF"/>
          <w:lang w:val="fr-BE"/>
        </w:rPr>
        <w:t>examinée</w:t>
      </w:r>
      <w:r w:rsidR="0028340B">
        <w:rPr>
          <w:color w:val="2F5496" w:themeColor="accent1" w:themeShade="BF"/>
          <w:lang w:val="fr-BE"/>
        </w:rPr>
        <w:t xml:space="preserve"> par les autorités</w:t>
      </w:r>
      <w:r w:rsidRPr="00963746">
        <w:rPr>
          <w:color w:val="2F5496" w:themeColor="accent1" w:themeShade="BF"/>
          <w:lang w:val="fr-BE"/>
        </w:rPr>
        <w:t xml:space="preserve"> </w:t>
      </w:r>
    </w:p>
    <w:p w14:paraId="42CB3771" w14:textId="77777777" w:rsidR="00074121" w:rsidRPr="00A61830" w:rsidRDefault="00074121" w:rsidP="008354B6">
      <w:pPr>
        <w:pStyle w:val="Lijstalinea"/>
        <w:ind w:left="0"/>
        <w:jc w:val="both"/>
        <w:rPr>
          <w:lang w:val="fr-BE"/>
        </w:rPr>
      </w:pPr>
    </w:p>
    <w:p w14:paraId="52D05D4B" w14:textId="7DBD6310" w:rsidR="00A61830" w:rsidRDefault="00A61830" w:rsidP="003849CF">
      <w:pPr>
        <w:pStyle w:val="Lijstalinea"/>
        <w:ind w:left="360"/>
        <w:outlineLvl w:val="1"/>
        <w:rPr>
          <w:b/>
          <w:bCs/>
          <w:vanish/>
          <w:lang w:val="fr-BE"/>
        </w:rPr>
      </w:pPr>
    </w:p>
    <w:p w14:paraId="658E4842" w14:textId="2FE6384B" w:rsidR="00AA6FFE" w:rsidRDefault="00AA6FFE" w:rsidP="003849CF">
      <w:pPr>
        <w:pStyle w:val="Lijstalinea"/>
        <w:ind w:left="360"/>
        <w:outlineLvl w:val="1"/>
        <w:rPr>
          <w:b/>
          <w:bCs/>
          <w:vanish/>
          <w:lang w:val="fr-BE"/>
        </w:rPr>
      </w:pPr>
    </w:p>
    <w:p w14:paraId="2E0A7229" w14:textId="01856F59" w:rsidR="00AA6FFE" w:rsidRDefault="00AA6FFE" w:rsidP="003849CF">
      <w:pPr>
        <w:pStyle w:val="Lijstalinea"/>
        <w:ind w:left="360"/>
        <w:outlineLvl w:val="1"/>
        <w:rPr>
          <w:b/>
          <w:bCs/>
          <w:vanish/>
          <w:lang w:val="fr-BE"/>
        </w:rPr>
      </w:pPr>
    </w:p>
    <w:p w14:paraId="770D57C9" w14:textId="71535202" w:rsidR="00AA6FFE" w:rsidRDefault="00AA6FFE" w:rsidP="003849CF">
      <w:pPr>
        <w:pStyle w:val="Lijstalinea"/>
        <w:ind w:left="360"/>
        <w:outlineLvl w:val="1"/>
        <w:rPr>
          <w:b/>
          <w:bCs/>
          <w:vanish/>
          <w:lang w:val="fr-BE"/>
        </w:rPr>
      </w:pPr>
    </w:p>
    <w:p w14:paraId="247E1C07" w14:textId="77777777" w:rsidR="00AA6FFE" w:rsidRPr="00A61830" w:rsidRDefault="00AA6FFE" w:rsidP="003849CF">
      <w:pPr>
        <w:pStyle w:val="Lijstalinea"/>
        <w:ind w:left="360"/>
        <w:outlineLvl w:val="1"/>
        <w:rPr>
          <w:b/>
          <w:bCs/>
          <w:vanish/>
          <w:lang w:val="fr-BE"/>
        </w:rPr>
      </w:pPr>
    </w:p>
    <w:p w14:paraId="49B7DB99" w14:textId="77777777" w:rsidR="00A61830" w:rsidRPr="00A61830" w:rsidRDefault="00A61830" w:rsidP="00A61830">
      <w:pPr>
        <w:pStyle w:val="Lijstalinea"/>
        <w:numPr>
          <w:ilvl w:val="0"/>
          <w:numId w:val="1"/>
        </w:numPr>
        <w:spacing w:before="160"/>
        <w:outlineLvl w:val="0"/>
        <w:rPr>
          <w:b/>
          <w:bCs/>
          <w:lang w:val="fr-BE"/>
        </w:rPr>
      </w:pPr>
      <w:bookmarkStart w:id="19" w:name="_Toc67817057"/>
      <w:r w:rsidRPr="00A61830">
        <w:rPr>
          <w:b/>
          <w:bCs/>
          <w:lang w:val="fr-BE"/>
        </w:rPr>
        <w:lastRenderedPageBreak/>
        <w:t>AR du 30 octobre 2020 fixant les modalités d’octroi d'une intervention financière fédérale exceptionnelle aux hôpitaux dans le cadre de l'épidémie de coronavirus COVID-19</w:t>
      </w:r>
      <w:bookmarkEnd w:id="19"/>
    </w:p>
    <w:p w14:paraId="43B03B56" w14:textId="77777777" w:rsidR="00A61830" w:rsidRPr="00A61830" w:rsidRDefault="00A61830" w:rsidP="003849CF">
      <w:pPr>
        <w:pStyle w:val="Lijstalinea"/>
        <w:ind w:left="360"/>
        <w:outlineLvl w:val="1"/>
        <w:rPr>
          <w:b/>
          <w:bCs/>
          <w:vanish/>
          <w:lang w:val="fr-BE"/>
        </w:rPr>
      </w:pPr>
    </w:p>
    <w:p w14:paraId="017C38D3" w14:textId="2FED7F85" w:rsidR="00E55AD9" w:rsidRDefault="00CA147B" w:rsidP="006856F9">
      <w:pPr>
        <w:pStyle w:val="Lijstalinea"/>
        <w:numPr>
          <w:ilvl w:val="1"/>
          <w:numId w:val="1"/>
        </w:numPr>
        <w:outlineLvl w:val="1"/>
        <w:rPr>
          <w:b/>
          <w:bCs/>
          <w:lang w:val="fr-BE"/>
        </w:rPr>
      </w:pPr>
      <w:bookmarkStart w:id="20" w:name="_Toc67817058"/>
      <w:r w:rsidRPr="00D71FFE">
        <w:rPr>
          <w:b/>
          <w:bCs/>
          <w:lang w:val="fr-BE"/>
        </w:rPr>
        <w:t>Chapitre 1 : à quoi servent les interventions ?</w:t>
      </w:r>
      <w:bookmarkEnd w:id="20"/>
    </w:p>
    <w:p w14:paraId="4541E16A" w14:textId="77777777" w:rsidR="001F28D6" w:rsidRPr="001F28D6" w:rsidRDefault="001F28D6" w:rsidP="001F28D6">
      <w:pPr>
        <w:pStyle w:val="Lijstalinea"/>
        <w:ind w:left="792"/>
        <w:outlineLvl w:val="1"/>
        <w:rPr>
          <w:b/>
          <w:bCs/>
          <w:lang w:val="fr-BE"/>
        </w:rPr>
      </w:pPr>
    </w:p>
    <w:p w14:paraId="79973999" w14:textId="79D63B90" w:rsidR="0054075B" w:rsidRPr="00D71FFE" w:rsidRDefault="00837E3D" w:rsidP="000B0F9A">
      <w:pPr>
        <w:pStyle w:val="Lijstalinea"/>
        <w:numPr>
          <w:ilvl w:val="0"/>
          <w:numId w:val="35"/>
        </w:numPr>
        <w:jc w:val="both"/>
        <w:rPr>
          <w:i/>
          <w:iCs/>
          <w:lang w:val="fr-BE"/>
        </w:rPr>
      </w:pPr>
      <w:r w:rsidRPr="00D71FFE">
        <w:rPr>
          <w:i/>
          <w:iCs/>
          <w:lang w:val="fr-BE"/>
        </w:rPr>
        <w:t xml:space="preserve">Pour les </w:t>
      </w:r>
      <w:r w:rsidRPr="00D71FFE">
        <w:rPr>
          <w:b/>
          <w:bCs/>
          <w:i/>
          <w:iCs/>
          <w:lang w:val="fr-BE"/>
        </w:rPr>
        <w:t>frais exceptionnels</w:t>
      </w:r>
      <w:r w:rsidR="00BA5C6B" w:rsidRPr="00D71FFE">
        <w:rPr>
          <w:i/>
          <w:iCs/>
          <w:lang w:val="fr-BE"/>
        </w:rPr>
        <w:t xml:space="preserve"> occasionnés par l'épidémie de coronavirus COVID-19 qui ne sont pas couverts par les financements habituels (détaillés au Chapitre 2 de l'AR).</w:t>
      </w:r>
    </w:p>
    <w:p w14:paraId="15794A1B" w14:textId="61E3B9A8" w:rsidR="00837E3D" w:rsidRPr="00D71FFE" w:rsidRDefault="005F55F9" w:rsidP="000B0F9A">
      <w:pPr>
        <w:pStyle w:val="Lijstalinea"/>
        <w:numPr>
          <w:ilvl w:val="0"/>
          <w:numId w:val="35"/>
        </w:numPr>
        <w:jc w:val="both"/>
        <w:rPr>
          <w:i/>
          <w:iCs/>
          <w:lang w:val="fr-BE"/>
        </w:rPr>
      </w:pPr>
      <w:r w:rsidRPr="00D71FFE">
        <w:rPr>
          <w:i/>
          <w:iCs/>
          <w:lang w:val="fr-BE"/>
        </w:rPr>
        <w:t xml:space="preserve">Pour les </w:t>
      </w:r>
      <w:r w:rsidRPr="00D71FFE">
        <w:rPr>
          <w:b/>
          <w:bCs/>
          <w:i/>
          <w:iCs/>
          <w:lang w:val="fr-BE"/>
        </w:rPr>
        <w:t>frais de fonctionnement récurrents</w:t>
      </w:r>
      <w:r w:rsidRPr="00D71FFE">
        <w:rPr>
          <w:i/>
          <w:iCs/>
          <w:lang w:val="fr-BE"/>
        </w:rPr>
        <w:t xml:space="preserve"> alors que les hôpitaux sont confrontés à une diminution de leurs activités régulières et de leurs recettes (détaillés au Chapitre 3 de l'AR).</w:t>
      </w:r>
    </w:p>
    <w:p w14:paraId="7FE79073" w14:textId="68C3F64B" w:rsidR="005F55F9" w:rsidRPr="00D71FFE" w:rsidRDefault="005F55F9" w:rsidP="000B0F9A">
      <w:pPr>
        <w:pStyle w:val="Lijstalinea"/>
        <w:numPr>
          <w:ilvl w:val="0"/>
          <w:numId w:val="35"/>
        </w:numPr>
        <w:jc w:val="both"/>
        <w:rPr>
          <w:i/>
          <w:iCs/>
          <w:lang w:val="fr-BE"/>
        </w:rPr>
      </w:pPr>
      <w:r w:rsidRPr="00D71FFE">
        <w:rPr>
          <w:i/>
          <w:iCs/>
          <w:lang w:val="fr-BE"/>
        </w:rPr>
        <w:t xml:space="preserve">Pour les </w:t>
      </w:r>
      <w:r w:rsidR="00070B15" w:rsidRPr="00D71FFE">
        <w:rPr>
          <w:b/>
          <w:bCs/>
          <w:i/>
          <w:iCs/>
          <w:lang w:val="fr-BE"/>
        </w:rPr>
        <w:t>activités supplémentaires</w:t>
      </w:r>
      <w:r w:rsidR="00070B15" w:rsidRPr="00D71FFE">
        <w:rPr>
          <w:i/>
          <w:iCs/>
          <w:lang w:val="fr-BE"/>
        </w:rPr>
        <w:t xml:space="preserve"> des prestataires de soins, qui ne sont pas couvertes par les financements habituels (détaillées au Chapitre 4 de l'AR).</w:t>
      </w:r>
    </w:p>
    <w:p w14:paraId="5B3676EA" w14:textId="310F7B07" w:rsidR="00CD5558" w:rsidRPr="00D71FFE" w:rsidRDefault="00BC01C9" w:rsidP="000B0F9A">
      <w:pPr>
        <w:pStyle w:val="Lijstalinea"/>
        <w:numPr>
          <w:ilvl w:val="0"/>
          <w:numId w:val="35"/>
        </w:numPr>
        <w:jc w:val="both"/>
        <w:rPr>
          <w:i/>
          <w:iCs/>
          <w:lang w:val="fr-BE"/>
        </w:rPr>
      </w:pPr>
      <w:r w:rsidRPr="00D71FFE">
        <w:rPr>
          <w:i/>
          <w:iCs/>
          <w:lang w:val="fr-BE"/>
        </w:rPr>
        <w:t xml:space="preserve">Pour l'obligation de </w:t>
      </w:r>
      <w:r w:rsidR="00006536" w:rsidRPr="00D71FFE">
        <w:rPr>
          <w:b/>
          <w:bCs/>
          <w:i/>
          <w:iCs/>
          <w:lang w:val="fr-BE"/>
        </w:rPr>
        <w:t>disponibilité</w:t>
      </w:r>
      <w:r w:rsidR="006C1090" w:rsidRPr="00D71FFE">
        <w:rPr>
          <w:i/>
          <w:iCs/>
          <w:lang w:val="fr-BE"/>
        </w:rPr>
        <w:t xml:space="preserve"> d'un pourcentage de la capacité pour les soins COVID-19 (détaillée au Chapitre 5 de l'AR).</w:t>
      </w:r>
      <w:r w:rsidR="008B18C9" w:rsidRPr="008B18C9">
        <w:rPr>
          <w:i/>
          <w:iCs/>
          <w:noProof/>
          <w:lang w:val="fr-BE"/>
        </w:rPr>
        <w:t xml:space="preserve"> </w:t>
      </w:r>
    </w:p>
    <w:p w14:paraId="4B976653" w14:textId="77777777" w:rsidR="00053643" w:rsidRPr="00D71FFE" w:rsidRDefault="00053643" w:rsidP="00CD5558">
      <w:pPr>
        <w:pStyle w:val="Lijstalinea"/>
        <w:ind w:left="792"/>
        <w:rPr>
          <w:b/>
          <w:bCs/>
          <w:lang w:val="fr-BE"/>
        </w:rPr>
      </w:pPr>
    </w:p>
    <w:p w14:paraId="381AE7B8" w14:textId="314AB59E" w:rsidR="00CA5111" w:rsidRPr="00D71FFE" w:rsidRDefault="00CA5111" w:rsidP="005E271E">
      <w:pPr>
        <w:pStyle w:val="Lijstalinea"/>
        <w:numPr>
          <w:ilvl w:val="1"/>
          <w:numId w:val="1"/>
        </w:numPr>
        <w:outlineLvl w:val="1"/>
        <w:rPr>
          <w:b/>
          <w:bCs/>
          <w:lang w:val="fr-BE"/>
        </w:rPr>
      </w:pPr>
      <w:bookmarkStart w:id="21" w:name="_Ref57279208"/>
      <w:bookmarkStart w:id="22" w:name="_Toc67817059"/>
      <w:r w:rsidRPr="00D71FFE">
        <w:rPr>
          <w:b/>
          <w:bCs/>
          <w:lang w:val="fr-BE"/>
        </w:rPr>
        <w:t>Chapitre 2 : intervention forfaitaire dans les frais exceptionnels : quels frais et quelles interventions ?</w:t>
      </w:r>
      <w:bookmarkEnd w:id="21"/>
      <w:bookmarkEnd w:id="22"/>
    </w:p>
    <w:p w14:paraId="21199F6B" w14:textId="527D3BE3" w:rsidR="00BD6DEA" w:rsidRPr="00D71FFE" w:rsidRDefault="00BD6DEA" w:rsidP="00A50E7F">
      <w:pPr>
        <w:pStyle w:val="Lijstalinea"/>
        <w:ind w:left="792"/>
        <w:rPr>
          <w:b/>
          <w:bCs/>
          <w:lang w:val="fr-BE"/>
        </w:rPr>
      </w:pPr>
    </w:p>
    <w:p w14:paraId="296F5001" w14:textId="6D2939F7" w:rsidR="00A50E7F" w:rsidRPr="00D71FFE" w:rsidRDefault="002D129C" w:rsidP="00F03501">
      <w:pPr>
        <w:pStyle w:val="Lijstalinea"/>
        <w:ind w:left="792"/>
        <w:jc w:val="both"/>
        <w:rPr>
          <w:lang w:val="fr-BE"/>
        </w:rPr>
      </w:pPr>
      <w:r w:rsidRPr="00D71FFE">
        <w:rPr>
          <w:lang w:val="fr-BE"/>
        </w:rPr>
        <w:t>Les soins dispensés dans le cadre de cette épidémie entraînent des frais de fonctionnement supplémentaires, notamment pour l'achat de matériels et services en tout genre, et des frais de personnel supplémentaires, en raison de l'augmentation du nombre de travailleurs et de la nécessité pour le personnel régulier d'accomplir davantage de prestations supplémentaires et de services de garde.</w:t>
      </w:r>
    </w:p>
    <w:p w14:paraId="42F559EE" w14:textId="5987D015" w:rsidR="00B4703C" w:rsidRPr="00D71FFE" w:rsidRDefault="00B4703C" w:rsidP="00F03501">
      <w:pPr>
        <w:pStyle w:val="Lijstalinea"/>
        <w:ind w:left="792"/>
        <w:jc w:val="both"/>
        <w:rPr>
          <w:lang w:val="fr-BE"/>
        </w:rPr>
      </w:pPr>
    </w:p>
    <w:p w14:paraId="4A46A08D" w14:textId="44041713" w:rsidR="00B4703C" w:rsidRDefault="00B4703C" w:rsidP="00F03501">
      <w:pPr>
        <w:pStyle w:val="Lijstalinea"/>
        <w:ind w:left="792"/>
        <w:jc w:val="both"/>
        <w:rPr>
          <w:lang w:val="fr-BE"/>
        </w:rPr>
      </w:pPr>
      <w:r w:rsidRPr="00D71FFE">
        <w:rPr>
          <w:lang w:val="fr-BE"/>
        </w:rPr>
        <w:t xml:space="preserve">Les différents montants X et Y </w:t>
      </w:r>
      <w:r w:rsidR="00A61830" w:rsidRPr="00963746">
        <w:rPr>
          <w:color w:val="2F5496" w:themeColor="accent1" w:themeShade="BF"/>
          <w:lang w:val="fr-BE"/>
        </w:rPr>
        <w:t xml:space="preserve">pour le premier semestre </w:t>
      </w:r>
      <w:r w:rsidRPr="00D71FFE">
        <w:rPr>
          <w:lang w:val="fr-BE"/>
        </w:rPr>
        <w:t xml:space="preserve">seront fixés par arrêtés ministériels, sur la base des informations récoltées auprès des hôpitaux qui ont participé volontairement aux enquêtes et sur la base des avis du CFEH. </w:t>
      </w:r>
    </w:p>
    <w:p w14:paraId="6BF60233" w14:textId="21DD46A3" w:rsidR="00703BD6" w:rsidRDefault="002960DC" w:rsidP="00F03501">
      <w:pPr>
        <w:pStyle w:val="Lijstalinea"/>
        <w:ind w:left="792"/>
        <w:jc w:val="both"/>
        <w:rPr>
          <w:lang w:val="fr-BE"/>
        </w:rPr>
      </w:pPr>
      <w:r>
        <w:rPr>
          <w:noProof/>
          <w:lang w:val="en-GB" w:eastAsia="en-GB"/>
        </w:rPr>
        <mc:AlternateContent>
          <mc:Choice Requires="wps">
            <w:drawing>
              <wp:anchor distT="0" distB="0" distL="114300" distR="114300" simplePos="0" relativeHeight="251659264" behindDoc="1" locked="0" layoutInCell="1" allowOverlap="1" wp14:anchorId="40EBA2B2" wp14:editId="7305AF56">
                <wp:simplePos x="0" y="0"/>
                <wp:positionH relativeFrom="column">
                  <wp:posOffset>502578</wp:posOffset>
                </wp:positionH>
                <wp:positionV relativeFrom="paragraph">
                  <wp:posOffset>169887</wp:posOffset>
                </wp:positionV>
                <wp:extent cx="5279781" cy="3380642"/>
                <wp:effectExtent l="19050" t="19050" r="16510" b="10795"/>
                <wp:wrapNone/>
                <wp:docPr id="165" name="Rechthoek 165"/>
                <wp:cNvGraphicFramePr/>
                <a:graphic xmlns:a="http://schemas.openxmlformats.org/drawingml/2006/main">
                  <a:graphicData uri="http://schemas.microsoft.com/office/word/2010/wordprocessingShape">
                    <wps:wsp>
                      <wps:cNvSpPr/>
                      <wps:spPr>
                        <a:xfrm>
                          <a:off x="0" y="0"/>
                          <a:ext cx="5279781" cy="3380642"/>
                        </a:xfrm>
                        <a:prstGeom prst="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B54AC63" w14:textId="77777777" w:rsidR="00B7454B" w:rsidRDefault="00B7454B" w:rsidP="00B745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A2B2" id="Rechthoek 165" o:spid="_x0000_s1026" style="position:absolute;left:0;text-align:left;margin-left:39.55pt;margin-top:13.4pt;width:415.75pt;height:26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" fillcolor="white [3201]" strokecolor="#0070c0" strokeweight="3pt">
                <v:textbox>
                  <w:txbxContent>
                    <w:p w14:paraId="3B54AC63" w14:textId="77777777" w:rsidR="00B7454B" w:rsidRDefault="00B7454B" w:rsidP="00B7454B">
                      <w:pPr>
                        <w:jc w:val="center"/>
                      </w:pPr>
                    </w:p>
                  </w:txbxContent>
                </v:textbox>
              </v:rect>
            </w:pict>
          </mc:Fallback>
        </mc:AlternateContent>
      </w:r>
    </w:p>
    <w:p w14:paraId="6290E9E4" w14:textId="630C640F" w:rsidR="00703BD6" w:rsidRPr="00D71FFE" w:rsidRDefault="00703BD6" w:rsidP="00F03501">
      <w:pPr>
        <w:pStyle w:val="Lijstalinea"/>
        <w:ind w:left="792"/>
        <w:jc w:val="both"/>
        <w:rPr>
          <w:lang w:val="fr-BE"/>
        </w:rPr>
      </w:pPr>
      <w:r w:rsidRPr="00703BD6">
        <w:rPr>
          <w:noProof/>
          <w:lang w:val="en-GB" w:eastAsia="en-GB"/>
        </w:rPr>
        <w:drawing>
          <wp:inline distT="0" distB="0" distL="0" distR="0" wp14:anchorId="5C1B5F1B" wp14:editId="7BDF6354">
            <wp:extent cx="5271597" cy="3348208"/>
            <wp:effectExtent l="0" t="0" r="5715"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6367" cy="3363940"/>
                    </a:xfrm>
                    <a:prstGeom prst="rect">
                      <a:avLst/>
                    </a:prstGeom>
                    <a:noFill/>
                    <a:ln>
                      <a:noFill/>
                    </a:ln>
                  </pic:spPr>
                </pic:pic>
              </a:graphicData>
            </a:graphic>
          </wp:inline>
        </w:drawing>
      </w:r>
    </w:p>
    <w:p w14:paraId="7BDBC3E3" w14:textId="43444ED2" w:rsidR="00A63AFC" w:rsidRPr="00963746" w:rsidRDefault="00A63AFC" w:rsidP="00963746">
      <w:pPr>
        <w:ind w:firstLine="708"/>
        <w:rPr>
          <w:b/>
          <w:bCs/>
          <w:lang w:val="fr-BE"/>
        </w:rPr>
      </w:pPr>
    </w:p>
    <w:p w14:paraId="77164384" w14:textId="038EE36E" w:rsidR="00A63AFC" w:rsidRPr="00D71FFE" w:rsidRDefault="00A63AFC" w:rsidP="005E271E">
      <w:pPr>
        <w:pStyle w:val="Lijstalinea"/>
        <w:numPr>
          <w:ilvl w:val="1"/>
          <w:numId w:val="1"/>
        </w:numPr>
        <w:outlineLvl w:val="1"/>
        <w:rPr>
          <w:b/>
          <w:bCs/>
          <w:lang w:val="fr-BE"/>
        </w:rPr>
      </w:pPr>
      <w:bookmarkStart w:id="23" w:name="_Toc67817060"/>
      <w:r w:rsidRPr="00D71FFE">
        <w:rPr>
          <w:b/>
          <w:bCs/>
          <w:lang w:val="fr-BE"/>
        </w:rPr>
        <w:lastRenderedPageBreak/>
        <w:t>Chapitre 3 : intervention pour les hôpitaux afin qu'ils puissent continuer à payer les frais de fonctionnement récurrents dans le cadre d'une diminution de leurs activités</w:t>
      </w:r>
      <w:bookmarkEnd w:id="23"/>
    </w:p>
    <w:p w14:paraId="6EC9E01C" w14:textId="5203561F" w:rsidR="002277B8" w:rsidRPr="00D71FFE" w:rsidRDefault="002277B8" w:rsidP="002277B8">
      <w:pPr>
        <w:pStyle w:val="Lijstalinea"/>
        <w:ind w:left="792"/>
        <w:rPr>
          <w:b/>
          <w:bCs/>
          <w:lang w:val="fr-BE"/>
        </w:rPr>
      </w:pPr>
    </w:p>
    <w:p w14:paraId="42BD47E3" w14:textId="7E8708AE" w:rsidR="005F056D" w:rsidRDefault="00610F61" w:rsidP="00516EC4">
      <w:pPr>
        <w:pStyle w:val="Lijstalinea"/>
        <w:ind w:left="792"/>
        <w:jc w:val="both"/>
        <w:rPr>
          <w:lang w:val="fr-BE"/>
        </w:rPr>
      </w:pPr>
      <w:r w:rsidRPr="00D71FFE">
        <w:rPr>
          <w:lang w:val="fr-BE"/>
        </w:rPr>
        <w:t>L’AR garantit des interventions aux hôpitaux afin qu'ils puissent continuer à supporter les frais de fonctionnement récurrents et assurer la continuité des soins. De nombreuses prestations, et par conséquent facturations et recettes, disparaissent lors d'une recrudescence de la COVID-19, tandis que l'hôpital est confronté à des frais fixes et récurrents.</w:t>
      </w:r>
    </w:p>
    <w:p w14:paraId="1D64E4CA" w14:textId="77777777" w:rsidR="00BB1AFA" w:rsidRPr="00D71FFE" w:rsidRDefault="00BB1AFA" w:rsidP="00516EC4">
      <w:pPr>
        <w:pStyle w:val="Lijstalinea"/>
        <w:ind w:left="792"/>
        <w:jc w:val="both"/>
        <w:rPr>
          <w:lang w:val="fr-BE"/>
        </w:rPr>
      </w:pPr>
    </w:p>
    <w:p w14:paraId="3C0EA237" w14:textId="22C3EA47" w:rsidR="00FE71AE" w:rsidRPr="00D71FFE" w:rsidRDefault="00D91456" w:rsidP="00516EC4">
      <w:pPr>
        <w:pStyle w:val="Lijstalinea"/>
        <w:ind w:left="792"/>
        <w:jc w:val="both"/>
        <w:rPr>
          <w:lang w:val="fr-BE"/>
        </w:rPr>
      </w:pPr>
      <w:r>
        <w:rPr>
          <w:lang w:val="fr-BE"/>
        </w:rPr>
        <w:t>L</w:t>
      </w:r>
      <w:r w:rsidR="00F1330E" w:rsidRPr="00D71FFE">
        <w:rPr>
          <w:lang w:val="fr-BE"/>
        </w:rPr>
        <w:t>e montant « normal » est garanti. Afin de déterminer le montant de l'intervention, il est tenu compte des facturations qui ont (tout de même) eu lieu pendant la période COVID concernée, de mars à juin 2020 inclus, au cours de laquelle la majorité des activités régulières ont été progressivement réduites.</w:t>
      </w:r>
    </w:p>
    <w:p w14:paraId="65B01E76" w14:textId="77777777" w:rsidR="00FE71AE" w:rsidRPr="00D71FFE" w:rsidRDefault="00FE71AE" w:rsidP="00B23D33">
      <w:pPr>
        <w:pStyle w:val="Lijstalinea"/>
        <w:ind w:left="792"/>
        <w:jc w:val="both"/>
        <w:rPr>
          <w:lang w:val="fr-BE"/>
        </w:rPr>
      </w:pPr>
    </w:p>
    <w:p w14:paraId="5C650562" w14:textId="4963FB50" w:rsidR="00F05777" w:rsidRPr="00D71FFE" w:rsidRDefault="00F05777" w:rsidP="00B23D33">
      <w:pPr>
        <w:pStyle w:val="Lijstalinea"/>
        <w:ind w:left="792"/>
        <w:jc w:val="both"/>
        <w:rPr>
          <w:lang w:val="fr-BE"/>
        </w:rPr>
      </w:pPr>
      <w:r w:rsidRPr="00D71FFE">
        <w:rPr>
          <w:lang w:val="fr-BE"/>
        </w:rPr>
        <w:t>Cf. article 4, § 2 :</w:t>
      </w:r>
    </w:p>
    <w:p w14:paraId="5E28E180" w14:textId="02941B69" w:rsidR="004158D0" w:rsidRPr="00D71FFE" w:rsidRDefault="00015659" w:rsidP="00B23D33">
      <w:pPr>
        <w:pStyle w:val="Lijstalinea"/>
        <w:ind w:left="792"/>
        <w:jc w:val="both"/>
        <w:rPr>
          <w:lang w:val="fr-BE"/>
        </w:rPr>
      </w:pPr>
      <w:r w:rsidRPr="00D71FFE">
        <w:rPr>
          <w:lang w:val="fr-BE"/>
        </w:rPr>
        <w:t>Les budgets ci-dessous sont « corrigés » pour le premier semestre ou pour la période de mars à juin 2020, par hôpital jusqu'à 100 % du budget calculé, prévu ou attendu pour 2020 s’il n’y avait pas eu cette épidémie. Ce « budget attendu » est calculé sur la base de la facturation des prestations dont la date se situe au cours de la même période de 2019, telle que reprise dans les documents P de l'INAMI, augmentée de l'index global des honoraires 2020.</w:t>
      </w:r>
    </w:p>
    <w:p w14:paraId="059D8921" w14:textId="2B92307D" w:rsidR="008A5F77" w:rsidRPr="00D71FFE" w:rsidRDefault="00EA4510" w:rsidP="00D654E2">
      <w:pPr>
        <w:pStyle w:val="Lijstalinea"/>
        <w:ind w:left="792"/>
        <w:rPr>
          <w:lang w:val="fr-BE"/>
        </w:rPr>
      </w:pPr>
      <w:r w:rsidRPr="00D71FFE">
        <w:rPr>
          <w:lang w:val="fr-BE"/>
        </w:rPr>
        <w:t xml:space="preserve"> </w:t>
      </w:r>
    </w:p>
    <w:p w14:paraId="51D3997B" w14:textId="16FCE4A8" w:rsidR="007A4E6A" w:rsidRPr="007A4E6A" w:rsidRDefault="00EA4510">
      <w:pPr>
        <w:pStyle w:val="Lijstalinea"/>
        <w:ind w:left="792"/>
        <w:rPr>
          <w:lang w:val="fr-BE"/>
        </w:rPr>
      </w:pPr>
      <w:r w:rsidRPr="00D71FFE">
        <w:rPr>
          <w:lang w:val="fr-BE"/>
        </w:rPr>
        <w:t>Il est donc garanti que les budgets suivants sont complétés jusqu'à 100 % du montant attendu en circonstances normales, par hôpital :</w:t>
      </w:r>
    </w:p>
    <w:p w14:paraId="4B16A364" w14:textId="1D131432" w:rsidR="00D91456" w:rsidRDefault="00D91456" w:rsidP="003849CF">
      <w:pPr>
        <w:pStyle w:val="Lijstalinea"/>
        <w:ind w:left="708"/>
        <w:jc w:val="both"/>
        <w:rPr>
          <w:color w:val="2F5496" w:themeColor="accent1" w:themeShade="BF"/>
          <w:lang w:val="fr-BE"/>
        </w:rPr>
      </w:pPr>
    </w:p>
    <w:p w14:paraId="7FFA7BA1" w14:textId="7119BE18" w:rsidR="00E83D65" w:rsidRDefault="00DB4605" w:rsidP="003849CF">
      <w:pPr>
        <w:pStyle w:val="Lijstalinea"/>
        <w:ind w:left="708"/>
        <w:jc w:val="both"/>
        <w:rPr>
          <w:color w:val="2F5496" w:themeColor="accent1" w:themeShade="BF"/>
          <w:lang w:val="fr-BE"/>
        </w:rPr>
      </w:pPr>
      <w:r w:rsidRPr="00DB4605">
        <w:rPr>
          <w:noProof/>
        </w:rPr>
        <w:drawing>
          <wp:inline distT="0" distB="0" distL="0" distR="0" wp14:anchorId="22B5101D" wp14:editId="2161583A">
            <wp:extent cx="4831080" cy="1905000"/>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1080" cy="1905000"/>
                    </a:xfrm>
                    <a:prstGeom prst="rect">
                      <a:avLst/>
                    </a:prstGeom>
                    <a:noFill/>
                    <a:ln>
                      <a:noFill/>
                    </a:ln>
                  </pic:spPr>
                </pic:pic>
              </a:graphicData>
            </a:graphic>
          </wp:inline>
        </w:drawing>
      </w:r>
    </w:p>
    <w:p w14:paraId="4FE1F109" w14:textId="77777777" w:rsidR="000771E7" w:rsidRDefault="000771E7" w:rsidP="003849CF">
      <w:pPr>
        <w:pStyle w:val="Lijstalinea"/>
        <w:ind w:left="708"/>
        <w:jc w:val="both"/>
        <w:rPr>
          <w:color w:val="2F5496" w:themeColor="accent1" w:themeShade="BF"/>
          <w:lang w:val="fr-BE"/>
        </w:rPr>
      </w:pPr>
    </w:p>
    <w:p w14:paraId="4E9612D8" w14:textId="5CEA0868" w:rsidR="00D91456" w:rsidRPr="00963746" w:rsidRDefault="007A4E6A" w:rsidP="003849CF">
      <w:pPr>
        <w:pStyle w:val="Lijstalinea"/>
        <w:ind w:left="708"/>
        <w:jc w:val="both"/>
        <w:rPr>
          <w:color w:val="2F5496" w:themeColor="accent1" w:themeShade="BF"/>
          <w:lang w:val="fr-BE"/>
        </w:rPr>
      </w:pPr>
      <w:r w:rsidRPr="00963746">
        <w:rPr>
          <w:color w:val="2F5496" w:themeColor="accent1" w:themeShade="BF"/>
          <w:lang w:val="fr-BE"/>
        </w:rPr>
        <w:t xml:space="preserve">Comme cela a déjà été </w:t>
      </w:r>
      <w:r w:rsidR="003412D0">
        <w:rPr>
          <w:color w:val="2F5496" w:themeColor="accent1" w:themeShade="BF"/>
          <w:lang w:val="fr-BE"/>
        </w:rPr>
        <w:t>mentionné</w:t>
      </w:r>
      <w:r w:rsidRPr="00963746">
        <w:rPr>
          <w:color w:val="2F5496" w:themeColor="accent1" w:themeShade="BF"/>
          <w:lang w:val="fr-BE"/>
        </w:rPr>
        <w:t xml:space="preserve">, le même principe sera appliqué pour </w:t>
      </w:r>
      <w:r w:rsidR="00033174">
        <w:rPr>
          <w:color w:val="2F5496" w:themeColor="accent1" w:themeShade="BF"/>
          <w:lang w:val="fr-BE"/>
        </w:rPr>
        <w:t>toute la période du</w:t>
      </w:r>
      <w:r w:rsidRPr="00963746">
        <w:rPr>
          <w:color w:val="2F5496" w:themeColor="accent1" w:themeShade="BF"/>
          <w:lang w:val="fr-BE"/>
        </w:rPr>
        <w:t xml:space="preserve"> second semestre 2020.</w:t>
      </w:r>
    </w:p>
    <w:p w14:paraId="61EAB9FA" w14:textId="77777777" w:rsidR="007A4E6A" w:rsidRPr="00D71FFE" w:rsidRDefault="007A4E6A" w:rsidP="00963746">
      <w:pPr>
        <w:pStyle w:val="Lijstalinea"/>
        <w:ind w:left="708"/>
        <w:jc w:val="both"/>
        <w:rPr>
          <w:lang w:val="fr-BE"/>
        </w:rPr>
      </w:pPr>
    </w:p>
    <w:p w14:paraId="7696123C" w14:textId="1D2B1114" w:rsidR="00C34663" w:rsidRDefault="00127339" w:rsidP="00963746">
      <w:pPr>
        <w:pStyle w:val="Lijstalinea"/>
        <w:ind w:left="708"/>
        <w:jc w:val="both"/>
        <w:rPr>
          <w:lang w:val="fr-BE"/>
        </w:rPr>
      </w:pPr>
      <w:r w:rsidRPr="00D71FFE">
        <w:rPr>
          <w:lang w:val="fr-BE"/>
        </w:rPr>
        <w:t>Pour les frais de fonctionnement supportés par l'hôpital pour l'exécution des prestations INAMI, habituellement compensés par des retenues d’</w:t>
      </w:r>
      <w:r w:rsidRPr="00D71FFE">
        <w:rPr>
          <w:b/>
          <w:bCs/>
          <w:lang w:val="fr-BE"/>
        </w:rPr>
        <w:t>honoraires</w:t>
      </w:r>
      <w:r w:rsidRPr="00D71FFE">
        <w:rPr>
          <w:lang w:val="fr-BE"/>
        </w:rPr>
        <w:t xml:space="preserve"> (article 4, §3) : </w:t>
      </w:r>
    </w:p>
    <w:p w14:paraId="183AE1C4" w14:textId="77777777" w:rsidR="008641BE" w:rsidRPr="00D71FFE" w:rsidRDefault="008641BE" w:rsidP="00963746">
      <w:pPr>
        <w:pStyle w:val="Lijstalinea"/>
        <w:ind w:left="708"/>
        <w:jc w:val="both"/>
        <w:rPr>
          <w:lang w:val="fr-BE"/>
        </w:rPr>
      </w:pPr>
    </w:p>
    <w:p w14:paraId="23B8A948" w14:textId="10A03490" w:rsidR="002277B8" w:rsidRPr="00D71FFE" w:rsidRDefault="009D0EB2" w:rsidP="00F03501">
      <w:pPr>
        <w:pStyle w:val="Lijstalinea"/>
        <w:numPr>
          <w:ilvl w:val="0"/>
          <w:numId w:val="29"/>
        </w:numPr>
        <w:ind w:left="1152"/>
        <w:jc w:val="both"/>
        <w:rPr>
          <w:lang w:val="fr-BE"/>
        </w:rPr>
      </w:pPr>
      <w:r w:rsidRPr="00D71FFE">
        <w:rPr>
          <w:lang w:val="fr-BE"/>
        </w:rPr>
        <w:t xml:space="preserve">Pour chaque hôpital, il convient de vérifier dans un premier temps s'il existe une intervention financière pour cette partie, à l’aide du paramètre suivant :  </w:t>
      </w:r>
    </w:p>
    <w:p w14:paraId="6D0D2B30" w14:textId="5CB0FD45" w:rsidR="00566F04" w:rsidRPr="00D71FFE" w:rsidRDefault="00566F04" w:rsidP="00566F04">
      <w:pPr>
        <w:pStyle w:val="Lijstalinea"/>
        <w:ind w:left="1152"/>
        <w:jc w:val="both"/>
        <w:rPr>
          <w:lang w:val="fr-BE"/>
        </w:rPr>
      </w:pPr>
      <w:r w:rsidRPr="00D71FFE">
        <w:rPr>
          <w:noProof/>
          <w:lang w:val="en-GB" w:eastAsia="en-GB"/>
        </w:rPr>
        <w:drawing>
          <wp:inline distT="0" distB="0" distL="0" distR="0" wp14:anchorId="425BB1E3" wp14:editId="6E6742C3">
            <wp:extent cx="5013960" cy="169674"/>
            <wp:effectExtent l="0" t="0" r="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583" cy="181573"/>
                    </a:xfrm>
                    <a:prstGeom prst="rect">
                      <a:avLst/>
                    </a:prstGeom>
                    <a:noFill/>
                    <a:ln>
                      <a:noFill/>
                    </a:ln>
                  </pic:spPr>
                </pic:pic>
              </a:graphicData>
            </a:graphic>
          </wp:inline>
        </w:drawing>
      </w:r>
    </w:p>
    <w:p w14:paraId="265FE7EC" w14:textId="623E51A4" w:rsidR="00D040AE" w:rsidRPr="00D71FFE" w:rsidRDefault="00D040AE" w:rsidP="00F22841">
      <w:pPr>
        <w:ind w:left="792" w:firstLine="624"/>
        <w:rPr>
          <w:lang w:val="fr-BE"/>
        </w:rPr>
      </w:pPr>
      <w:r w:rsidRPr="00D71FFE">
        <w:rPr>
          <w:lang w:val="fr-BE"/>
        </w:rPr>
        <w:t>Où :</w:t>
      </w:r>
    </w:p>
    <w:p w14:paraId="0BCEF03A" w14:textId="447C4906" w:rsidR="00566F04" w:rsidRPr="00D71FFE" w:rsidRDefault="00566F04" w:rsidP="003C2898">
      <w:pPr>
        <w:pStyle w:val="Lijstalinea"/>
        <w:ind w:left="1152"/>
        <w:jc w:val="both"/>
      </w:pPr>
      <w:r w:rsidRPr="00D71FFE">
        <w:rPr>
          <w:noProof/>
          <w:lang w:val="en-GB" w:eastAsia="en-GB"/>
        </w:rPr>
        <w:lastRenderedPageBreak/>
        <w:drawing>
          <wp:inline distT="0" distB="0" distL="0" distR="0" wp14:anchorId="0633492C" wp14:editId="1BAE4603">
            <wp:extent cx="5013960" cy="94107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1303" cy="955586"/>
                    </a:xfrm>
                    <a:prstGeom prst="rect">
                      <a:avLst/>
                    </a:prstGeom>
                    <a:noFill/>
                    <a:ln>
                      <a:noFill/>
                    </a:ln>
                  </pic:spPr>
                </pic:pic>
              </a:graphicData>
            </a:graphic>
          </wp:inline>
        </w:drawing>
      </w:r>
    </w:p>
    <w:p w14:paraId="028F0D33" w14:textId="77777777" w:rsidR="00D91456" w:rsidRDefault="00D91456" w:rsidP="00B81F01">
      <w:pPr>
        <w:pStyle w:val="Lijstalinea"/>
        <w:ind w:left="1152"/>
        <w:jc w:val="both"/>
        <w:rPr>
          <w:lang w:val="fr-BE"/>
        </w:rPr>
      </w:pPr>
    </w:p>
    <w:p w14:paraId="46AE294C" w14:textId="291AC1F1" w:rsidR="00CA72BA" w:rsidRDefault="00211E33" w:rsidP="00B81F01">
      <w:pPr>
        <w:pStyle w:val="Lijstalinea"/>
        <w:ind w:left="1152"/>
        <w:jc w:val="both"/>
        <w:rPr>
          <w:lang w:val="fr-BE"/>
        </w:rPr>
      </w:pPr>
      <w:r w:rsidRPr="00D71FFE">
        <w:rPr>
          <w:lang w:val="fr-BE"/>
        </w:rPr>
        <w:t>L’AR permet une intervention pour ce budget partiel et « corrige » cette perte uniquement si, comme on peut s'y attendre</w:t>
      </w:r>
      <w:r w:rsidR="007A4E6A">
        <w:rPr>
          <w:lang w:val="fr-BE"/>
        </w:rPr>
        <w:t xml:space="preserve"> au moins</w:t>
      </w:r>
      <w:r w:rsidRPr="00D71FFE">
        <w:rPr>
          <w:lang w:val="fr-BE"/>
        </w:rPr>
        <w:t xml:space="preserve"> pour la </w:t>
      </w:r>
      <w:r w:rsidR="007A4E6A">
        <w:rPr>
          <w:lang w:val="fr-BE"/>
        </w:rPr>
        <w:t xml:space="preserve">première </w:t>
      </w:r>
      <w:r w:rsidRPr="00D71FFE">
        <w:rPr>
          <w:lang w:val="fr-BE"/>
        </w:rPr>
        <w:t xml:space="preserve">période COVID, l'hôpital a facturé moins d'honoraires </w:t>
      </w:r>
      <w:r w:rsidR="007A4E6A">
        <w:rPr>
          <w:lang w:val="fr-BE"/>
        </w:rPr>
        <w:t>à partir</w:t>
      </w:r>
      <w:r w:rsidRPr="00D71FFE">
        <w:rPr>
          <w:lang w:val="fr-BE"/>
        </w:rPr>
        <w:t xml:space="preserve"> de mars </w:t>
      </w:r>
      <w:r w:rsidR="007A4E6A">
        <w:rPr>
          <w:lang w:val="fr-BE"/>
        </w:rPr>
        <w:t>jusqu’au</w:t>
      </w:r>
      <w:r w:rsidRPr="00D71FFE">
        <w:rPr>
          <w:lang w:val="fr-BE"/>
        </w:rPr>
        <w:t xml:space="preserve"> juin 2020 par rapport à la même période de 2019 (compte tenu de l'indexation globale des honoraires en 2020) ou Ai &lt; 0.</w:t>
      </w:r>
    </w:p>
    <w:p w14:paraId="030357A8" w14:textId="32467C2F" w:rsidR="007A4E6A" w:rsidRDefault="007A4E6A" w:rsidP="00B81F01">
      <w:pPr>
        <w:pStyle w:val="Lijstalinea"/>
        <w:ind w:left="1152"/>
        <w:jc w:val="both"/>
        <w:rPr>
          <w:lang w:val="fr-BE"/>
        </w:rPr>
      </w:pPr>
    </w:p>
    <w:p w14:paraId="5516F1BB" w14:textId="4F908640" w:rsidR="007A4E6A" w:rsidRPr="00963746" w:rsidRDefault="007A4E6A">
      <w:pPr>
        <w:pStyle w:val="Lijstalinea"/>
        <w:ind w:left="1152"/>
        <w:jc w:val="both"/>
        <w:rPr>
          <w:color w:val="2F5496" w:themeColor="accent1" w:themeShade="BF"/>
          <w:lang w:val="fr-BE"/>
        </w:rPr>
      </w:pPr>
      <w:r w:rsidRPr="00963746">
        <w:rPr>
          <w:color w:val="2F5496" w:themeColor="accent1" w:themeShade="BF"/>
          <w:lang w:val="fr-BE"/>
        </w:rPr>
        <w:t xml:space="preserve">Dans la « facturation 2020 », il n’est pas tenu compte de la facturation des nouveaux codes de nomenclature. Ces nouveaux codes de nomenclature (p. ex. pour les tests PCR) s’accompagnent en effet de frais de fonctionnement complémentaires des hôpitaux. Par contre, les nouveaux codes de nomenclature </w:t>
      </w:r>
      <w:r w:rsidR="008102B0">
        <w:rPr>
          <w:color w:val="2F5496" w:themeColor="accent1" w:themeShade="BF"/>
          <w:lang w:val="fr-BE"/>
        </w:rPr>
        <w:t xml:space="preserve">2020 </w:t>
      </w:r>
      <w:r w:rsidRPr="00963746">
        <w:rPr>
          <w:color w:val="2F5496" w:themeColor="accent1" w:themeShade="BF"/>
          <w:lang w:val="fr-BE"/>
        </w:rPr>
        <w:t>seront pris en compte pour des prestations qui se substituent à d’autres prestations (p. ex. téléconsultation au lieu de consultation).</w:t>
      </w:r>
      <w:r w:rsidR="005E496C">
        <w:rPr>
          <w:color w:val="2F5496" w:themeColor="accent1" w:themeShade="BF"/>
          <w:lang w:val="fr-BE"/>
        </w:rPr>
        <w:t xml:space="preserve"> </w:t>
      </w:r>
      <w:r w:rsidR="00595F09">
        <w:rPr>
          <w:color w:val="2F5496" w:themeColor="accent1" w:themeShade="BF"/>
          <w:lang w:val="fr-BE"/>
        </w:rPr>
        <w:t>Enumération</w:t>
      </w:r>
      <w:r w:rsidR="005E496C">
        <w:rPr>
          <w:color w:val="2F5496" w:themeColor="accent1" w:themeShade="BF"/>
          <w:lang w:val="fr-BE"/>
        </w:rPr>
        <w:t xml:space="preserve"> de ce</w:t>
      </w:r>
      <w:r w:rsidR="00595F09">
        <w:rPr>
          <w:color w:val="2F5496" w:themeColor="accent1" w:themeShade="BF"/>
          <w:lang w:val="fr-BE"/>
        </w:rPr>
        <w:t>s codes</w:t>
      </w:r>
      <w:r w:rsidR="00833425">
        <w:rPr>
          <w:color w:val="2F5496" w:themeColor="accent1" w:themeShade="BF"/>
          <w:lang w:val="fr-BE"/>
        </w:rPr>
        <w:t xml:space="preserve"> en annexe.</w:t>
      </w:r>
    </w:p>
    <w:p w14:paraId="18E33058" w14:textId="77777777" w:rsidR="00814CDC" w:rsidRPr="00D71FFE" w:rsidRDefault="00814CDC" w:rsidP="00B81F01">
      <w:pPr>
        <w:pStyle w:val="Lijstalinea"/>
        <w:ind w:left="1152"/>
        <w:jc w:val="both"/>
        <w:rPr>
          <w:lang w:val="fr-BE"/>
        </w:rPr>
      </w:pPr>
    </w:p>
    <w:p w14:paraId="6667A48F" w14:textId="33A5E147" w:rsidR="003760D1" w:rsidRPr="00D71FFE" w:rsidRDefault="001D6CA0" w:rsidP="00F03501">
      <w:pPr>
        <w:pStyle w:val="Lijstalinea"/>
        <w:numPr>
          <w:ilvl w:val="0"/>
          <w:numId w:val="29"/>
        </w:numPr>
        <w:ind w:left="1152"/>
        <w:jc w:val="both"/>
        <w:rPr>
          <w:lang w:val="fr-BE"/>
        </w:rPr>
      </w:pPr>
      <w:r w:rsidRPr="00D71FFE">
        <w:rPr>
          <w:lang w:val="fr-BE"/>
        </w:rPr>
        <w:t>Si la condition pour cette intervention est remplie, le SPF SPSCAE calcule, en se fondant sur l’AR, le budget</w:t>
      </w:r>
      <w:r w:rsidR="007A4E6A">
        <w:rPr>
          <w:lang w:val="fr-BE"/>
        </w:rPr>
        <w:t xml:space="preserve"> </w:t>
      </w:r>
      <w:r w:rsidRPr="00D71FFE">
        <w:rPr>
          <w:lang w:val="fr-BE"/>
        </w:rPr>
        <w:t xml:space="preserve">à octroyer </w:t>
      </w:r>
      <w:r w:rsidR="007A4E6A">
        <w:rPr>
          <w:lang w:val="fr-BE"/>
        </w:rPr>
        <w:t>de chaque hôpital</w:t>
      </w:r>
      <w:r w:rsidR="007A4E6A" w:rsidRPr="00D71FFE">
        <w:rPr>
          <w:lang w:val="fr-BE"/>
        </w:rPr>
        <w:t xml:space="preserve"> </w:t>
      </w:r>
      <w:r w:rsidRPr="00D71FFE">
        <w:rPr>
          <w:lang w:val="fr-BE"/>
        </w:rPr>
        <w:t>sur la base du pourcentage moyen de prélèvements X</w:t>
      </w:r>
      <w:r w:rsidR="003D13C5" w:rsidRPr="00D71FFE">
        <w:rPr>
          <w:vertAlign w:val="subscript"/>
          <w:lang w:val="fr-BE"/>
        </w:rPr>
        <w:t>i.</w:t>
      </w:r>
      <w:r w:rsidRPr="00D71FFE">
        <w:rPr>
          <w:lang w:val="fr-BE"/>
        </w:rPr>
        <w:t xml:space="preserve">  L'hôpital propose lui-même le pourcentage de prélèvements X</w:t>
      </w:r>
      <w:r w:rsidR="003D13C5" w:rsidRPr="00D71FFE">
        <w:rPr>
          <w:vertAlign w:val="subscript"/>
          <w:lang w:val="fr-BE"/>
        </w:rPr>
        <w:t>i</w:t>
      </w:r>
      <w:r w:rsidRPr="00D71FFE">
        <w:rPr>
          <w:lang w:val="fr-BE"/>
        </w:rPr>
        <w:t xml:space="preserve"> ; la méthode de calcul s'effectue en accord entre le gestionnaire et le Conseil médical. Elle est concise mais soigneusement documentée. La justification </w:t>
      </w:r>
      <w:r w:rsidR="002C599E" w:rsidRPr="002C599E">
        <w:rPr>
          <w:color w:val="0070C0"/>
          <w:lang w:val="fr-BE"/>
        </w:rPr>
        <w:t>est demandée</w:t>
      </w:r>
      <w:r w:rsidR="002E020C">
        <w:rPr>
          <w:color w:val="0070C0"/>
          <w:lang w:val="fr-BE"/>
        </w:rPr>
        <w:t>, avec la confirmation du conseil médical et du réviseur d’entreprise (voir la circulaire dd. 9 mar</w:t>
      </w:r>
      <w:r w:rsidR="0099131F">
        <w:rPr>
          <w:color w:val="0070C0"/>
          <w:lang w:val="fr-BE"/>
        </w:rPr>
        <w:t>s 2021)</w:t>
      </w:r>
      <w:r w:rsidRPr="00D71FFE">
        <w:rPr>
          <w:lang w:val="fr-BE"/>
        </w:rPr>
        <w:t xml:space="preserve">. Dans le cadre </w:t>
      </w:r>
      <w:r w:rsidRPr="00D622EF">
        <w:rPr>
          <w:color w:val="0070C0"/>
          <w:lang w:val="fr-BE"/>
        </w:rPr>
        <w:t>d</w:t>
      </w:r>
      <w:r w:rsidR="00D622EF">
        <w:rPr>
          <w:color w:val="0070C0"/>
          <w:lang w:val="fr-BE"/>
        </w:rPr>
        <w:t>es calculs provisoires de</w:t>
      </w:r>
      <w:r w:rsidRPr="00D71FFE">
        <w:rPr>
          <w:lang w:val="fr-BE"/>
        </w:rPr>
        <w:t xml:space="preserve"> 2020, X</w:t>
      </w:r>
      <w:r w:rsidR="00367935" w:rsidRPr="00D71FFE">
        <w:rPr>
          <w:vertAlign w:val="subscript"/>
          <w:lang w:val="fr-BE"/>
        </w:rPr>
        <w:t>i</w:t>
      </w:r>
      <w:r w:rsidRPr="00D71FFE">
        <w:rPr>
          <w:lang w:val="fr-BE"/>
        </w:rPr>
        <w:t xml:space="preserve"> est utilisé pour déterminer le montant provisoire. </w:t>
      </w:r>
    </w:p>
    <w:p w14:paraId="67D77C89" w14:textId="50D18C54" w:rsidR="008A3515" w:rsidRPr="00D71FFE" w:rsidRDefault="008A3515" w:rsidP="00F03501">
      <w:pPr>
        <w:pStyle w:val="Lijstalinea"/>
        <w:ind w:left="1152"/>
        <w:jc w:val="both"/>
        <w:rPr>
          <w:lang w:val="fr-BE"/>
        </w:rPr>
      </w:pPr>
    </w:p>
    <w:p w14:paraId="31225DAC" w14:textId="12D4F5BC" w:rsidR="00356F5C" w:rsidRPr="00D71FFE" w:rsidRDefault="00356F5C" w:rsidP="003C2898">
      <w:pPr>
        <w:pStyle w:val="Lijstalinea"/>
        <w:ind w:left="1152"/>
        <w:jc w:val="both"/>
      </w:pPr>
      <w:r w:rsidRPr="00D71FFE">
        <w:rPr>
          <w:noProof/>
          <w:lang w:val="en-GB" w:eastAsia="en-GB"/>
        </w:rPr>
        <w:drawing>
          <wp:inline distT="0" distB="0" distL="0" distR="0" wp14:anchorId="1EFFEF4A" wp14:editId="507284C5">
            <wp:extent cx="5013960" cy="16967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0665" cy="216940"/>
                    </a:xfrm>
                    <a:prstGeom prst="rect">
                      <a:avLst/>
                    </a:prstGeom>
                    <a:noFill/>
                    <a:ln>
                      <a:noFill/>
                    </a:ln>
                  </pic:spPr>
                </pic:pic>
              </a:graphicData>
            </a:graphic>
          </wp:inline>
        </w:drawing>
      </w:r>
    </w:p>
    <w:p w14:paraId="011A284C" w14:textId="43BDDFBE" w:rsidR="007A4E6A" w:rsidRDefault="007A4E6A" w:rsidP="00716BAB">
      <w:pPr>
        <w:pStyle w:val="Lijstalinea"/>
        <w:ind w:left="1152"/>
        <w:rPr>
          <w:lang w:val="fr-BE"/>
        </w:rPr>
      </w:pPr>
      <w:r>
        <w:rPr>
          <w:lang w:val="fr-BE"/>
        </w:rPr>
        <w:t xml:space="preserve"> </w:t>
      </w:r>
    </w:p>
    <w:p w14:paraId="3CB9A734" w14:textId="77777777" w:rsidR="007A4E6A" w:rsidRPr="00942BD8" w:rsidRDefault="007A4E6A" w:rsidP="003849CF">
      <w:pPr>
        <w:pStyle w:val="Lijstalinea"/>
        <w:ind w:left="1152"/>
        <w:jc w:val="both"/>
        <w:rPr>
          <w:lang w:val="fr-BE"/>
        </w:rPr>
      </w:pPr>
      <w:r w:rsidRPr="00942BD8">
        <w:rPr>
          <w:lang w:val="fr-BE"/>
        </w:rPr>
        <w:t xml:space="preserve">Les pourcentages qui ont été transmis par les hôpitaux dans la collecte de données du premier semestre s’écartent fortement de ce que l’administration peut déduire des informations issues de la collecte de données statistiques FINHOSTA pour l’année 2018. C’est pourquoi il est demandé, par voie de circulaire </w:t>
      </w:r>
      <w:r w:rsidRPr="003849CF">
        <w:rPr>
          <w:lang w:val="fr-BE"/>
        </w:rPr>
        <w:t>(9 mars 2021)</w:t>
      </w:r>
      <w:r w:rsidRPr="00942BD8">
        <w:rPr>
          <w:lang w:val="fr-BE"/>
        </w:rPr>
        <w:t xml:space="preserve">, à chaque hôpital (gestionnaire et président du conseil médical) de préciser sur base de quelles données l’hôpital a calculé le pourcentage de prélèvements communiqué. Ces données ainsi que l’explication doivent être documentées et détaillées sur la base des éléments comptables, qu’il s’agisse des recettes ou des frais, ainsi que des autres explications vérifiables grâce à des sources officielles. Ces explications basées sur la comptabilité doivent être validées dans leur ensemble par le réviseur d’entreprise, qui dès lors en confirme l’exactitude.  </w:t>
      </w:r>
    </w:p>
    <w:p w14:paraId="0929B93E" w14:textId="368E5B33" w:rsidR="007A4E6A" w:rsidRPr="007A4E6A" w:rsidRDefault="007A4E6A" w:rsidP="003849CF">
      <w:pPr>
        <w:pStyle w:val="Lijstalinea"/>
        <w:ind w:left="1152"/>
        <w:jc w:val="both"/>
        <w:rPr>
          <w:lang w:val="fr-BE"/>
        </w:rPr>
      </w:pPr>
      <w:r w:rsidRPr="00942BD8">
        <w:rPr>
          <w:lang w:val="fr-BE"/>
        </w:rPr>
        <w:br/>
        <w:t xml:space="preserve">Dans l’éventualité où cette procédure donnerait pour certains hôpitaux un taux de prélèvement différent de celui préalablement communiqué, le taux validé par le réviseur d’entreprise remplacerait le taux de prélèvement </w:t>
      </w:r>
      <w:r w:rsidR="00A469CB">
        <w:rPr>
          <w:lang w:val="fr-BE"/>
        </w:rPr>
        <w:t xml:space="preserve">initialement </w:t>
      </w:r>
      <w:r w:rsidRPr="00942BD8">
        <w:rPr>
          <w:lang w:val="fr-BE"/>
        </w:rPr>
        <w:t xml:space="preserve"> communiqué</w:t>
      </w:r>
      <w:r w:rsidR="00A469CB">
        <w:rPr>
          <w:lang w:val="fr-BE"/>
        </w:rPr>
        <w:t>,</w:t>
      </w:r>
      <w:r w:rsidRPr="00942BD8">
        <w:rPr>
          <w:lang w:val="fr-BE"/>
        </w:rPr>
        <w:t xml:space="preserve"> </w:t>
      </w:r>
      <w:r w:rsidR="00C5203F">
        <w:rPr>
          <w:color w:val="0070C0"/>
          <w:lang w:val="fr-BE"/>
        </w:rPr>
        <w:t xml:space="preserve"> </w:t>
      </w:r>
      <w:r w:rsidR="00A469CB">
        <w:rPr>
          <w:color w:val="0070C0"/>
          <w:lang w:val="fr-BE"/>
        </w:rPr>
        <w:t>lors</w:t>
      </w:r>
      <w:r w:rsidR="00AA6FFE">
        <w:rPr>
          <w:color w:val="0070C0"/>
          <w:lang w:val="fr-BE"/>
        </w:rPr>
        <w:t xml:space="preserve"> </w:t>
      </w:r>
      <w:r w:rsidR="00A469CB">
        <w:rPr>
          <w:lang w:val="fr-BE"/>
        </w:rPr>
        <w:t>du</w:t>
      </w:r>
      <w:r w:rsidRPr="00942BD8">
        <w:rPr>
          <w:lang w:val="fr-BE"/>
        </w:rPr>
        <w:t xml:space="preserve"> décompte </w:t>
      </w:r>
      <w:r w:rsidR="00C54AEC">
        <w:rPr>
          <w:color w:val="0070C0"/>
          <w:lang w:val="fr-BE"/>
        </w:rPr>
        <w:t>définitif</w:t>
      </w:r>
      <w:r w:rsidRPr="00942BD8">
        <w:rPr>
          <w:lang w:val="fr-BE"/>
        </w:rPr>
        <w:t>, comme le prévoit l’AR IFFE.</w:t>
      </w:r>
    </w:p>
    <w:p w14:paraId="690FBB7D" w14:textId="77777777" w:rsidR="00B13079" w:rsidRPr="00D71FFE" w:rsidRDefault="00B13079" w:rsidP="00716BAB">
      <w:pPr>
        <w:pStyle w:val="Lijstalinea"/>
        <w:ind w:left="1152"/>
        <w:rPr>
          <w:lang w:val="fr-BE"/>
        </w:rPr>
      </w:pPr>
    </w:p>
    <w:p w14:paraId="2B4329AA" w14:textId="01E614BC" w:rsidR="003A773E" w:rsidRPr="009D2D3D" w:rsidRDefault="007872EB" w:rsidP="009D2D3D">
      <w:pPr>
        <w:pStyle w:val="Lijstalinea"/>
        <w:numPr>
          <w:ilvl w:val="0"/>
          <w:numId w:val="29"/>
        </w:numPr>
        <w:spacing w:after="0" w:line="240" w:lineRule="auto"/>
        <w:ind w:left="1152"/>
        <w:rPr>
          <w:rFonts w:ascii="Calibri" w:eastAsia="Times New Roman" w:hAnsi="Calibri" w:cs="Calibri"/>
          <w:color w:val="000000"/>
          <w:lang w:val="fr-BE" w:eastAsia="nl-BE"/>
        </w:rPr>
      </w:pPr>
      <w:r w:rsidRPr="00D71FFE">
        <w:rPr>
          <w:lang w:val="fr-BE"/>
        </w:rPr>
        <w:t xml:space="preserve">Les administrations calculent le montant de ce budget partiel par hôpital : </w:t>
      </w:r>
      <w:r w:rsidR="00651B6D" w:rsidRPr="00D71FFE">
        <w:rPr>
          <w:rFonts w:ascii="Calibri" w:eastAsia="Times New Roman" w:hAnsi="Calibri" w:cs="Calibri"/>
          <w:b/>
          <w:bCs/>
          <w:color w:val="000000"/>
          <w:lang w:val="fr-BE" w:eastAsia="fr"/>
        </w:rPr>
        <w:t>X</w:t>
      </w:r>
      <w:r w:rsidR="00651B6D" w:rsidRPr="00D71FFE">
        <w:rPr>
          <w:rFonts w:ascii="Calibri" w:eastAsia="Times New Roman" w:hAnsi="Calibri" w:cs="Calibri"/>
          <w:b/>
          <w:bCs/>
          <w:color w:val="000000"/>
          <w:vertAlign w:val="subscript"/>
          <w:lang w:val="fr-BE" w:eastAsia="fr"/>
        </w:rPr>
        <w:t xml:space="preserve">i </w:t>
      </w:r>
      <w:r w:rsidR="00651B6D" w:rsidRPr="00D71FFE">
        <w:rPr>
          <w:rFonts w:ascii="Calibri" w:eastAsia="Times New Roman" w:hAnsi="Calibri" w:cs="Calibri"/>
          <w:b/>
          <w:bCs/>
          <w:color w:val="000000"/>
          <w:lang w:val="fr-BE" w:eastAsia="fr"/>
        </w:rPr>
        <w:t>* A</w:t>
      </w:r>
      <w:r w:rsidR="00651B6D" w:rsidRPr="00D71FFE">
        <w:rPr>
          <w:rFonts w:ascii="Calibri" w:eastAsia="Times New Roman" w:hAnsi="Calibri" w:cs="Calibri"/>
          <w:b/>
          <w:bCs/>
          <w:color w:val="000000"/>
          <w:vertAlign w:val="subscript"/>
          <w:lang w:val="fr-BE" w:eastAsia="fr"/>
        </w:rPr>
        <w:t>i</w:t>
      </w:r>
    </w:p>
    <w:p w14:paraId="48D89FFE" w14:textId="77777777" w:rsidR="003A773E" w:rsidRPr="00D71FFE" w:rsidRDefault="003A773E" w:rsidP="00AE2AAA">
      <w:pPr>
        <w:pStyle w:val="Lijstalinea"/>
        <w:spacing w:after="0" w:line="240" w:lineRule="auto"/>
        <w:ind w:left="1152"/>
        <w:rPr>
          <w:rFonts w:ascii="Calibri" w:eastAsia="Times New Roman" w:hAnsi="Calibri" w:cs="Calibri"/>
          <w:color w:val="000000"/>
          <w:lang w:val="fr-BE" w:eastAsia="nl-BE"/>
        </w:rPr>
      </w:pPr>
    </w:p>
    <w:p w14:paraId="3C3077D0" w14:textId="6B6CCC2B" w:rsidR="0008589F" w:rsidRPr="00D71FFE" w:rsidRDefault="0008589F" w:rsidP="0008589F">
      <w:pPr>
        <w:spacing w:after="0" w:line="240" w:lineRule="auto"/>
        <w:rPr>
          <w:rFonts w:ascii="Calibri" w:eastAsia="Times New Roman" w:hAnsi="Calibri" w:cs="Calibri"/>
          <w:color w:val="000000"/>
          <w:lang w:val="fr-BE" w:eastAsia="nl-BE"/>
        </w:rPr>
      </w:pPr>
    </w:p>
    <w:p w14:paraId="778244A2" w14:textId="0F6874C0" w:rsidR="00CB7CEC" w:rsidRPr="00963746" w:rsidRDefault="00CB7CEC" w:rsidP="00963746">
      <w:pPr>
        <w:outlineLvl w:val="2"/>
        <w:rPr>
          <w:b/>
          <w:bCs/>
          <w:i/>
          <w:iCs/>
          <w:lang w:val="fr-BE"/>
        </w:rPr>
      </w:pPr>
      <w:bookmarkStart w:id="24" w:name="_Toc67817061"/>
      <w:r w:rsidRPr="00963746">
        <w:rPr>
          <w:b/>
          <w:bCs/>
          <w:i/>
          <w:iCs/>
          <w:lang w:val="fr-BE"/>
        </w:rPr>
        <w:t xml:space="preserve">Q &amp; </w:t>
      </w:r>
      <w:r w:rsidR="003D264C" w:rsidRPr="00963746">
        <w:rPr>
          <w:b/>
          <w:bCs/>
          <w:i/>
          <w:iCs/>
          <w:lang w:val="fr-BE"/>
        </w:rPr>
        <w:t>R</w:t>
      </w:r>
      <w:r w:rsidRPr="00963746">
        <w:rPr>
          <w:b/>
          <w:bCs/>
          <w:i/>
          <w:iCs/>
          <w:lang w:val="fr-BE"/>
        </w:rPr>
        <w:t xml:space="preserve"> Chapitre 3</w:t>
      </w:r>
      <w:bookmarkEnd w:id="24"/>
    </w:p>
    <w:p w14:paraId="512624CF" w14:textId="6824938D" w:rsidR="000D5C82" w:rsidRPr="00D71FFE" w:rsidRDefault="000D5C82" w:rsidP="00963746">
      <w:pPr>
        <w:pStyle w:val="Lijstalinea"/>
        <w:numPr>
          <w:ilvl w:val="0"/>
          <w:numId w:val="39"/>
        </w:numPr>
        <w:spacing w:after="0"/>
        <w:ind w:left="851"/>
        <w:jc w:val="both"/>
        <w:rPr>
          <w:lang w:val="fr-BE"/>
        </w:rPr>
      </w:pPr>
      <w:r w:rsidRPr="00D71FFE">
        <w:rPr>
          <w:lang w:val="fr-BE"/>
        </w:rPr>
        <w:t>Que sont les « documents P » de l’INAMI ?</w:t>
      </w:r>
    </w:p>
    <w:p w14:paraId="1CFB6819" w14:textId="77777777" w:rsidR="00566F04" w:rsidRPr="00D71FFE" w:rsidRDefault="00566F04" w:rsidP="00566F04">
      <w:pPr>
        <w:pStyle w:val="xmsonormal"/>
        <w:numPr>
          <w:ilvl w:val="0"/>
          <w:numId w:val="43"/>
        </w:numPr>
        <w:jc w:val="both"/>
        <w:rPr>
          <w:rFonts w:eastAsia="Times New Roman"/>
          <w:i/>
          <w:iCs/>
          <w:color w:val="000000"/>
          <w:lang w:val="fr-BE"/>
        </w:rPr>
      </w:pPr>
      <w:r w:rsidRPr="00D71FFE">
        <w:rPr>
          <w:rFonts w:eastAsia="Times New Roman"/>
          <w:i/>
          <w:iCs/>
          <w:color w:val="000000"/>
          <w:lang w:val="fr-BE"/>
        </w:rPr>
        <w:t>Les documents P sont des données semestrielles que les organismes assureurs transmettent à l'INAMI dans un délai de quatre mois. Ces données englobent les prestations effectuées, les prestataires de soins, les prescripteurs, les lieux où les prestations ont été effectuées et les lieux d'hospitalisation (mais n’englobent pas les prestations par patient).</w:t>
      </w:r>
    </w:p>
    <w:p w14:paraId="5072695C" w14:textId="663D5376" w:rsidR="00E536E4" w:rsidRPr="00963746" w:rsidRDefault="00E536E4" w:rsidP="000D5C82">
      <w:pPr>
        <w:pStyle w:val="xmsonormal"/>
        <w:numPr>
          <w:ilvl w:val="0"/>
          <w:numId w:val="43"/>
        </w:numPr>
        <w:jc w:val="both"/>
        <w:rPr>
          <w:rFonts w:eastAsia="Times New Roman"/>
          <w:i/>
          <w:iCs/>
          <w:color w:val="2F5496" w:themeColor="accent1" w:themeShade="BF"/>
          <w:lang w:val="fr-BE"/>
        </w:rPr>
      </w:pPr>
      <w:r w:rsidRPr="00D71FFE">
        <w:rPr>
          <w:rFonts w:eastAsia="Times New Roman"/>
          <w:i/>
          <w:iCs/>
          <w:color w:val="000000"/>
          <w:lang w:val="fr-BE"/>
        </w:rPr>
        <w:t>Grâce aux documents P, l’INAMI dispose de la facturation des honoraires pour les patients hospitalisés et ambulatoires des hôpitaux à tous les organismes assureurs, par mois de prestation et de facturation</w:t>
      </w:r>
      <w:r w:rsidR="003D2052">
        <w:rPr>
          <w:rFonts w:eastAsia="Times New Roman"/>
          <w:i/>
          <w:iCs/>
          <w:color w:val="000000"/>
          <w:lang w:val="fr-BE"/>
        </w:rPr>
        <w:t xml:space="preserve"> </w:t>
      </w:r>
      <w:r w:rsidR="003D2052" w:rsidRPr="00963746">
        <w:rPr>
          <w:rFonts w:eastAsia="Times New Roman"/>
          <w:i/>
          <w:iCs/>
          <w:color w:val="2F5496" w:themeColor="accent1" w:themeShade="BF"/>
          <w:lang w:val="fr-BE"/>
        </w:rPr>
        <w:t>et les comptabilise à 2 moments de l'année : le 30 juin et le 31 décembre.</w:t>
      </w:r>
    </w:p>
    <w:p w14:paraId="5D851A49" w14:textId="564E4EA4" w:rsidR="00FE7862" w:rsidRPr="00D71FFE" w:rsidRDefault="00FE7862" w:rsidP="00FE7862">
      <w:pPr>
        <w:pStyle w:val="xmsonormal"/>
        <w:ind w:left="1440"/>
        <w:jc w:val="both"/>
        <w:rPr>
          <w:i/>
          <w:iCs/>
          <w:lang w:val="fr-BE"/>
        </w:rPr>
      </w:pPr>
    </w:p>
    <w:p w14:paraId="65433EA1" w14:textId="6B775ADF" w:rsidR="003D2052" w:rsidRPr="00963746" w:rsidRDefault="003D2052" w:rsidP="00963746">
      <w:pPr>
        <w:pStyle w:val="Lijstalinea"/>
        <w:numPr>
          <w:ilvl w:val="0"/>
          <w:numId w:val="39"/>
        </w:numPr>
        <w:spacing w:after="0"/>
        <w:ind w:left="851"/>
        <w:jc w:val="both"/>
        <w:rPr>
          <w:color w:val="2F5496" w:themeColor="accent1" w:themeShade="BF"/>
          <w:lang w:val="fr-BE"/>
        </w:rPr>
      </w:pPr>
      <w:r w:rsidRPr="00963746">
        <w:rPr>
          <w:color w:val="2F5496" w:themeColor="accent1" w:themeShade="BF"/>
          <w:lang w:val="fr-BE"/>
        </w:rPr>
        <w:t>Pourquoi les données de facturation dans le décompte provisoire sont-elles encore incomplètes et cela sera-t-il encore le cas dans le décompte définitif ?</w:t>
      </w:r>
    </w:p>
    <w:p w14:paraId="5FC68186" w14:textId="5CE5FE58" w:rsidR="003D2052" w:rsidRPr="00963746" w:rsidRDefault="003D2052" w:rsidP="003849CF">
      <w:pPr>
        <w:pStyle w:val="xmsonormal"/>
        <w:numPr>
          <w:ilvl w:val="0"/>
          <w:numId w:val="43"/>
        </w:numPr>
        <w:jc w:val="both"/>
        <w:rPr>
          <w:i/>
          <w:iCs/>
          <w:color w:val="2F5496" w:themeColor="accent1" w:themeShade="BF"/>
          <w:lang w:val="fr-BE"/>
        </w:rPr>
      </w:pPr>
      <w:r w:rsidRPr="00963746">
        <w:rPr>
          <w:i/>
          <w:iCs/>
          <w:color w:val="2F5496" w:themeColor="accent1" w:themeShade="BF"/>
          <w:lang w:val="fr-BE"/>
        </w:rPr>
        <w:t xml:space="preserve">Dans le premier décompte provisoire (fin 2020 pour le premier semestre 2020), il </w:t>
      </w:r>
      <w:r w:rsidR="00326B0D">
        <w:rPr>
          <w:i/>
          <w:iCs/>
          <w:color w:val="2F5496" w:themeColor="accent1" w:themeShade="BF"/>
          <w:lang w:val="fr-BE"/>
        </w:rPr>
        <w:t>a été</w:t>
      </w:r>
      <w:r w:rsidR="00326B0D" w:rsidRPr="00963746">
        <w:rPr>
          <w:i/>
          <w:iCs/>
          <w:color w:val="2F5496" w:themeColor="accent1" w:themeShade="BF"/>
          <w:lang w:val="fr-BE"/>
        </w:rPr>
        <w:t xml:space="preserve"> </w:t>
      </w:r>
      <w:r w:rsidRPr="00963746">
        <w:rPr>
          <w:i/>
          <w:iCs/>
          <w:color w:val="2F5496" w:themeColor="accent1" w:themeShade="BF"/>
          <w:lang w:val="fr-BE"/>
        </w:rPr>
        <w:t xml:space="preserve">tenu compte de la facturation du premier semestre (respectivement de 2019 et 2020) en possession de l’INAMI au 30 juin.  </w:t>
      </w:r>
    </w:p>
    <w:p w14:paraId="5D63E61E" w14:textId="709DF81E" w:rsidR="003D2052" w:rsidRPr="00963746" w:rsidRDefault="003D2052" w:rsidP="003849CF">
      <w:pPr>
        <w:pStyle w:val="xmsonormal"/>
        <w:ind w:left="1416"/>
        <w:jc w:val="both"/>
        <w:rPr>
          <w:i/>
          <w:iCs/>
          <w:color w:val="2F5496" w:themeColor="accent1" w:themeShade="BF"/>
          <w:lang w:val="fr-BE"/>
        </w:rPr>
      </w:pPr>
      <w:r w:rsidRPr="00963746">
        <w:rPr>
          <w:i/>
          <w:iCs/>
          <w:color w:val="2F5496" w:themeColor="accent1" w:themeShade="BF"/>
          <w:lang w:val="fr-BE"/>
        </w:rPr>
        <w:t xml:space="preserve">D’une part, l’hôpital peut encore facturer jusqu’à 2 ans après la date de prestation et la facturation elle-même risque </w:t>
      </w:r>
      <w:r w:rsidR="00A469CB">
        <w:rPr>
          <w:i/>
          <w:iCs/>
          <w:color w:val="2F5496" w:themeColor="accent1" w:themeShade="BF"/>
          <w:lang w:val="fr-BE"/>
        </w:rPr>
        <w:t>donc</w:t>
      </w:r>
      <w:r w:rsidRPr="00963746">
        <w:rPr>
          <w:i/>
          <w:iCs/>
          <w:color w:val="2F5496" w:themeColor="accent1" w:themeShade="BF"/>
          <w:lang w:val="fr-BE"/>
        </w:rPr>
        <w:t xml:space="preserve"> d’être </w:t>
      </w:r>
      <w:r w:rsidR="00A469CB">
        <w:rPr>
          <w:i/>
          <w:iCs/>
          <w:color w:val="2F5496" w:themeColor="accent1" w:themeShade="BF"/>
          <w:lang w:val="fr-BE"/>
        </w:rPr>
        <w:t xml:space="preserve">encore </w:t>
      </w:r>
      <w:r w:rsidRPr="00963746">
        <w:rPr>
          <w:i/>
          <w:iCs/>
          <w:color w:val="2F5496" w:themeColor="accent1" w:themeShade="BF"/>
          <w:lang w:val="fr-BE"/>
        </w:rPr>
        <w:t>incomplète</w:t>
      </w:r>
      <w:r w:rsidR="00A469CB">
        <w:rPr>
          <w:i/>
          <w:iCs/>
          <w:color w:val="2F5496" w:themeColor="accent1" w:themeShade="BF"/>
          <w:lang w:val="fr-BE"/>
        </w:rPr>
        <w:t xml:space="preserve"> avant fin 2022</w:t>
      </w:r>
      <w:r w:rsidRPr="00963746">
        <w:rPr>
          <w:i/>
          <w:iCs/>
          <w:color w:val="2F5496" w:themeColor="accent1" w:themeShade="BF"/>
          <w:lang w:val="fr-BE"/>
        </w:rPr>
        <w:t xml:space="preserve">. D’autre part, les données de facturation hospitalière ne sont pas </w:t>
      </w:r>
      <w:r w:rsidR="00030980">
        <w:rPr>
          <w:i/>
          <w:iCs/>
          <w:color w:val="2F5496" w:themeColor="accent1" w:themeShade="BF"/>
          <w:lang w:val="fr-BE"/>
        </w:rPr>
        <w:t xml:space="preserve">directement </w:t>
      </w:r>
      <w:r w:rsidRPr="00963746">
        <w:rPr>
          <w:i/>
          <w:iCs/>
          <w:color w:val="2F5496" w:themeColor="accent1" w:themeShade="BF"/>
          <w:lang w:val="fr-BE"/>
        </w:rPr>
        <w:t xml:space="preserve"> en possession de l’INAMI, qui les reçoit </w:t>
      </w:r>
      <w:r w:rsidR="00030980">
        <w:rPr>
          <w:i/>
          <w:iCs/>
          <w:color w:val="2F5496" w:themeColor="accent1" w:themeShade="BF"/>
          <w:lang w:val="fr-BE"/>
        </w:rPr>
        <w:t xml:space="preserve">après traitement </w:t>
      </w:r>
      <w:r w:rsidRPr="00963746">
        <w:rPr>
          <w:i/>
          <w:iCs/>
          <w:color w:val="2F5496" w:themeColor="accent1" w:themeShade="BF"/>
          <w:lang w:val="fr-BE"/>
        </w:rPr>
        <w:t>des organismes assureurs.</w:t>
      </w:r>
    </w:p>
    <w:p w14:paraId="5C7FF113" w14:textId="50CABD84" w:rsidR="003D2052" w:rsidRPr="00963746" w:rsidRDefault="003D2052" w:rsidP="003849CF">
      <w:pPr>
        <w:pStyle w:val="xmsonormal"/>
        <w:ind w:left="1416"/>
        <w:jc w:val="both"/>
        <w:rPr>
          <w:i/>
          <w:iCs/>
          <w:color w:val="2F5496" w:themeColor="accent1" w:themeShade="BF"/>
          <w:lang w:val="fr-BE"/>
        </w:rPr>
      </w:pPr>
      <w:r w:rsidRPr="00963746">
        <w:rPr>
          <w:i/>
          <w:iCs/>
          <w:color w:val="2F5496" w:themeColor="accent1" w:themeShade="BF"/>
          <w:lang w:val="fr-BE"/>
        </w:rPr>
        <w:t xml:space="preserve">La méthode conduit donc inévitablement à des données de facturation incomplètes.  Cependant, les données de facturation sont obtenues de la même </w:t>
      </w:r>
      <w:r w:rsidR="00F51B04">
        <w:rPr>
          <w:i/>
          <w:iCs/>
          <w:color w:val="2F5496" w:themeColor="accent1" w:themeShade="BF"/>
          <w:lang w:val="fr-BE"/>
        </w:rPr>
        <w:t>manière</w:t>
      </w:r>
      <w:r w:rsidR="00F51B04" w:rsidRPr="00963746">
        <w:rPr>
          <w:i/>
          <w:iCs/>
          <w:color w:val="2F5496" w:themeColor="accent1" w:themeShade="BF"/>
          <w:lang w:val="fr-BE"/>
        </w:rPr>
        <w:t xml:space="preserve"> </w:t>
      </w:r>
      <w:r w:rsidRPr="00963746">
        <w:rPr>
          <w:i/>
          <w:iCs/>
          <w:color w:val="2F5496" w:themeColor="accent1" w:themeShade="BF"/>
          <w:lang w:val="fr-BE"/>
        </w:rPr>
        <w:t xml:space="preserve">pour les deux années, de sorte que la comparaison (entre 2020 et 2019) </w:t>
      </w:r>
      <w:r w:rsidR="00F51B04">
        <w:rPr>
          <w:i/>
          <w:iCs/>
          <w:color w:val="2F5496" w:themeColor="accent1" w:themeShade="BF"/>
          <w:lang w:val="fr-BE"/>
        </w:rPr>
        <w:t>donne une idée générale</w:t>
      </w:r>
      <w:r w:rsidRPr="00963746">
        <w:rPr>
          <w:i/>
          <w:iCs/>
          <w:color w:val="2F5496" w:themeColor="accent1" w:themeShade="BF"/>
          <w:lang w:val="fr-BE"/>
        </w:rPr>
        <w:t>. C’est le cas dans une moindre mesure pour les hôpitaux qui ont connu un retard de facturation lors d’une des deux années.</w:t>
      </w:r>
    </w:p>
    <w:p w14:paraId="3350607C" w14:textId="393A52E9" w:rsidR="003D2052" w:rsidRPr="00963746" w:rsidRDefault="003D2052" w:rsidP="003849CF">
      <w:pPr>
        <w:pStyle w:val="xmsonormal"/>
        <w:numPr>
          <w:ilvl w:val="0"/>
          <w:numId w:val="43"/>
        </w:numPr>
        <w:jc w:val="both"/>
        <w:rPr>
          <w:i/>
          <w:iCs/>
          <w:color w:val="2F5496" w:themeColor="accent1" w:themeShade="BF"/>
          <w:lang w:val="fr-BE"/>
        </w:rPr>
      </w:pPr>
      <w:r w:rsidRPr="00963746">
        <w:rPr>
          <w:i/>
          <w:iCs/>
          <w:color w:val="2F5496" w:themeColor="accent1" w:themeShade="BF"/>
          <w:lang w:val="fr-BE"/>
        </w:rPr>
        <w:t xml:space="preserve">Lors du décompte définitif, les données de facturation seront complètes, car le calcul sera effectué avec les facturations AMI au 31 décembre 2022 avec date de prestation dans le premier semestre 2020. À ce moment-là, la période de facturation légale (de 2 ans à partir de la date de prestation) sera </w:t>
      </w:r>
      <w:r w:rsidR="00326B0D">
        <w:rPr>
          <w:i/>
          <w:iCs/>
          <w:color w:val="2F5496" w:themeColor="accent1" w:themeShade="BF"/>
          <w:lang w:val="fr-BE"/>
        </w:rPr>
        <w:t>dé</w:t>
      </w:r>
      <w:r w:rsidRPr="00963746">
        <w:rPr>
          <w:i/>
          <w:iCs/>
          <w:color w:val="2F5496" w:themeColor="accent1" w:themeShade="BF"/>
          <w:lang w:val="fr-BE"/>
        </w:rPr>
        <w:t xml:space="preserve">passée. </w:t>
      </w:r>
    </w:p>
    <w:p w14:paraId="2D92552E" w14:textId="77777777" w:rsidR="003D2052" w:rsidRPr="00963746" w:rsidRDefault="003D2052" w:rsidP="003D2052">
      <w:pPr>
        <w:pStyle w:val="xmsonormal"/>
        <w:ind w:left="288"/>
        <w:jc w:val="both"/>
        <w:rPr>
          <w:i/>
          <w:iCs/>
          <w:color w:val="2F5496" w:themeColor="accent1" w:themeShade="BF"/>
          <w:lang w:val="fr-BE"/>
        </w:rPr>
      </w:pPr>
    </w:p>
    <w:p w14:paraId="61DAA146" w14:textId="77777777" w:rsidR="003D2052" w:rsidRPr="00963746" w:rsidRDefault="003D2052" w:rsidP="00963746">
      <w:pPr>
        <w:pStyle w:val="Lijstalinea"/>
        <w:numPr>
          <w:ilvl w:val="0"/>
          <w:numId w:val="39"/>
        </w:numPr>
        <w:spacing w:after="0"/>
        <w:ind w:left="851"/>
        <w:jc w:val="both"/>
        <w:rPr>
          <w:color w:val="2F5496" w:themeColor="accent1" w:themeShade="BF"/>
          <w:lang w:val="fr-BE"/>
        </w:rPr>
      </w:pPr>
      <w:r w:rsidRPr="00963746">
        <w:rPr>
          <w:color w:val="2F5496" w:themeColor="accent1" w:themeShade="BF"/>
          <w:lang w:val="fr-BE"/>
        </w:rPr>
        <w:t xml:space="preserve">Si le décompte provisoire mène à des montants « indicatifs », le décompte provisoire a-t-il du sens ? </w:t>
      </w:r>
    </w:p>
    <w:p w14:paraId="1B69D2EC" w14:textId="2170AE7E" w:rsidR="003D2052" w:rsidRPr="00963746" w:rsidRDefault="003D2052" w:rsidP="003849CF">
      <w:pPr>
        <w:pStyle w:val="xmsonormal"/>
        <w:numPr>
          <w:ilvl w:val="0"/>
          <w:numId w:val="43"/>
        </w:numPr>
        <w:jc w:val="both"/>
        <w:rPr>
          <w:i/>
          <w:iCs/>
          <w:color w:val="2F5496" w:themeColor="accent1" w:themeShade="BF"/>
          <w:lang w:val="fr-BE"/>
        </w:rPr>
      </w:pPr>
      <w:r w:rsidRPr="00963746">
        <w:rPr>
          <w:i/>
          <w:iCs/>
          <w:color w:val="2F5496" w:themeColor="accent1" w:themeShade="BF"/>
          <w:lang w:val="fr-BE"/>
        </w:rPr>
        <w:t>Le décompte provisoire permet à chaque hôpital</w:t>
      </w:r>
      <w:r w:rsidR="00326B0D">
        <w:rPr>
          <w:i/>
          <w:iCs/>
          <w:color w:val="2F5496" w:themeColor="accent1" w:themeShade="BF"/>
          <w:lang w:val="fr-BE"/>
        </w:rPr>
        <w:t>,</w:t>
      </w:r>
      <w:r w:rsidRPr="00963746">
        <w:rPr>
          <w:i/>
          <w:iCs/>
          <w:color w:val="2F5496" w:themeColor="accent1" w:themeShade="BF"/>
          <w:lang w:val="fr-BE"/>
        </w:rPr>
        <w:t xml:space="preserve"> dans un premier temps</w:t>
      </w:r>
      <w:r w:rsidR="00326B0D">
        <w:rPr>
          <w:i/>
          <w:iCs/>
          <w:color w:val="2F5496" w:themeColor="accent1" w:themeShade="BF"/>
          <w:lang w:val="fr-BE"/>
        </w:rPr>
        <w:t>,</w:t>
      </w:r>
      <w:r w:rsidRPr="00963746">
        <w:rPr>
          <w:i/>
          <w:iCs/>
          <w:color w:val="2F5496" w:themeColor="accent1" w:themeShade="BF"/>
          <w:lang w:val="fr-BE"/>
        </w:rPr>
        <w:t xml:space="preserve"> de voir la méthodologie utilisée et les paramètres utilisés. Sur base de la méthode de travai</w:t>
      </w:r>
      <w:r w:rsidR="008F529D">
        <w:rPr>
          <w:i/>
          <w:iCs/>
          <w:color w:val="2F5496" w:themeColor="accent1" w:themeShade="BF"/>
          <w:lang w:val="fr-BE"/>
        </w:rPr>
        <w:t>l</w:t>
      </w:r>
      <w:r w:rsidRPr="00963746">
        <w:rPr>
          <w:i/>
          <w:iCs/>
          <w:color w:val="2F5496" w:themeColor="accent1" w:themeShade="BF"/>
          <w:lang w:val="fr-BE"/>
        </w:rPr>
        <w:t>, et dans l’optique du dépôt des comptes annuels 2020, l’hôpital pourra, avec ses propres données de facturation, évaluer correctement le montant à percevoir en 2023 pour 2020. Le premier décompte provisoire comporte quelques erreurs qui seront corrigées dans un nouveau décompte provisoire pour le premier semestre 2020 (p. ex. décomptes par convention et par type de forfait hôpital de jour, montants exacts pour les forfaits des surcoûts et nombre correct de lits de l’arrêté ministériel, indemnisation correcte des MSF et MGF après nouvelle collecte de données, rectifications ponctuelles...)</w:t>
      </w:r>
    </w:p>
    <w:p w14:paraId="45CD6F11" w14:textId="77777777" w:rsidR="003D2052" w:rsidRPr="00963746" w:rsidRDefault="003D2052" w:rsidP="003849CF">
      <w:pPr>
        <w:pStyle w:val="xmsonormal"/>
        <w:ind w:left="1416"/>
        <w:jc w:val="both"/>
        <w:rPr>
          <w:i/>
          <w:iCs/>
          <w:color w:val="2F5496" w:themeColor="accent1" w:themeShade="BF"/>
          <w:lang w:val="fr-BE"/>
        </w:rPr>
      </w:pPr>
      <w:r w:rsidRPr="00963746">
        <w:rPr>
          <w:i/>
          <w:iCs/>
          <w:color w:val="2F5496" w:themeColor="accent1" w:themeShade="BF"/>
          <w:lang w:val="fr-BE"/>
        </w:rPr>
        <w:t xml:space="preserve">En vue d’un calcul correct, le premier décompte provisoire a montré que pour certains problèmes spécifiques (biologie clinique et anatomopathologie), une analyse et une concertation plus approfondies s’imposent encore. </w:t>
      </w:r>
    </w:p>
    <w:p w14:paraId="752AB604" w14:textId="3FFC0735" w:rsidR="003D2052" w:rsidRPr="00963746" w:rsidRDefault="003D2052" w:rsidP="003849CF">
      <w:pPr>
        <w:pStyle w:val="xmsonormal"/>
        <w:ind w:left="1416"/>
        <w:jc w:val="both"/>
        <w:rPr>
          <w:i/>
          <w:iCs/>
          <w:color w:val="2F5496" w:themeColor="accent1" w:themeShade="BF"/>
          <w:lang w:val="fr-BE"/>
        </w:rPr>
      </w:pPr>
      <w:r w:rsidRPr="00963746">
        <w:rPr>
          <w:i/>
          <w:iCs/>
          <w:color w:val="2F5496" w:themeColor="accent1" w:themeShade="BF"/>
          <w:lang w:val="fr-BE"/>
        </w:rPr>
        <w:t xml:space="preserve">En outre, un financement sera octroyé aux hôpitaux </w:t>
      </w:r>
      <w:r w:rsidR="00326B0D">
        <w:rPr>
          <w:i/>
          <w:iCs/>
          <w:color w:val="2F5496" w:themeColor="accent1" w:themeShade="BF"/>
          <w:lang w:val="fr-BE"/>
        </w:rPr>
        <w:t xml:space="preserve">généraux </w:t>
      </w:r>
      <w:r w:rsidRPr="00963746">
        <w:rPr>
          <w:i/>
          <w:iCs/>
          <w:color w:val="2F5496" w:themeColor="accent1" w:themeShade="BF"/>
          <w:lang w:val="fr-BE"/>
        </w:rPr>
        <w:t>sans service de soins intensifs, à condition qu’ils aient eu des activités</w:t>
      </w:r>
      <w:r w:rsidR="00326B0D">
        <w:rPr>
          <w:i/>
          <w:iCs/>
          <w:color w:val="2F5496" w:themeColor="accent1" w:themeShade="BF"/>
          <w:lang w:val="fr-BE"/>
        </w:rPr>
        <w:t xml:space="preserve"> en lien avec la</w:t>
      </w:r>
      <w:r w:rsidRPr="00963746">
        <w:rPr>
          <w:i/>
          <w:iCs/>
          <w:color w:val="2F5496" w:themeColor="accent1" w:themeShade="BF"/>
          <w:lang w:val="fr-BE"/>
        </w:rPr>
        <w:t xml:space="preserve"> COVID-19 ou aient prévu une capacité</w:t>
      </w:r>
      <w:r w:rsidR="00326B0D">
        <w:rPr>
          <w:i/>
          <w:iCs/>
          <w:color w:val="2F5496" w:themeColor="accent1" w:themeShade="BF"/>
          <w:lang w:val="fr-BE"/>
        </w:rPr>
        <w:t xml:space="preserve"> d’accueil</w:t>
      </w:r>
      <w:r w:rsidRPr="00963746">
        <w:rPr>
          <w:i/>
          <w:iCs/>
          <w:color w:val="2F5496" w:themeColor="accent1" w:themeShade="BF"/>
          <w:lang w:val="fr-BE"/>
        </w:rPr>
        <w:t xml:space="preserve"> pour ce</w:t>
      </w:r>
      <w:r w:rsidR="00326B0D">
        <w:rPr>
          <w:i/>
          <w:iCs/>
          <w:color w:val="2F5496" w:themeColor="accent1" w:themeShade="BF"/>
          <w:lang w:val="fr-BE"/>
        </w:rPr>
        <w:t xml:space="preserve"> type de</w:t>
      </w:r>
      <w:r w:rsidRPr="00963746">
        <w:rPr>
          <w:i/>
          <w:iCs/>
          <w:color w:val="2F5496" w:themeColor="accent1" w:themeShade="BF"/>
          <w:lang w:val="fr-BE"/>
        </w:rPr>
        <w:t xml:space="preserve"> patients. Cela sera également repris dans la </w:t>
      </w:r>
      <w:r w:rsidR="00326B0D">
        <w:rPr>
          <w:i/>
          <w:iCs/>
          <w:color w:val="2F5496" w:themeColor="accent1" w:themeShade="BF"/>
          <w:lang w:val="fr-BE"/>
        </w:rPr>
        <w:t>modification légale</w:t>
      </w:r>
      <w:r w:rsidRPr="00963746">
        <w:rPr>
          <w:i/>
          <w:iCs/>
          <w:color w:val="2F5496" w:themeColor="accent1" w:themeShade="BF"/>
          <w:lang w:val="fr-BE"/>
        </w:rPr>
        <w:t xml:space="preserve">. </w:t>
      </w:r>
    </w:p>
    <w:p w14:paraId="5497A95B" w14:textId="5948F9E0" w:rsidR="00566F04" w:rsidRPr="00963746" w:rsidRDefault="00566F04" w:rsidP="00566F04">
      <w:pPr>
        <w:pStyle w:val="xmsonormal"/>
        <w:ind w:left="1440"/>
        <w:jc w:val="both"/>
        <w:rPr>
          <w:rFonts w:eastAsia="Times New Roman"/>
          <w:i/>
          <w:iCs/>
          <w:color w:val="2F5496" w:themeColor="accent1" w:themeShade="BF"/>
          <w:lang w:val="fr-BE"/>
        </w:rPr>
      </w:pPr>
    </w:p>
    <w:p w14:paraId="21EE4B07" w14:textId="77777777" w:rsidR="0069572C" w:rsidRPr="00D71FFE" w:rsidRDefault="0069572C" w:rsidP="00566F04">
      <w:pPr>
        <w:pStyle w:val="xmsonormal"/>
        <w:ind w:left="1440"/>
        <w:jc w:val="both"/>
        <w:rPr>
          <w:rFonts w:eastAsia="Times New Roman"/>
          <w:color w:val="000000"/>
          <w:lang w:val="fr-BE"/>
        </w:rPr>
      </w:pPr>
    </w:p>
    <w:p w14:paraId="27429755" w14:textId="10DF030B" w:rsidR="0008589F" w:rsidRPr="00D71FFE" w:rsidRDefault="0008589F" w:rsidP="005E271E">
      <w:pPr>
        <w:pStyle w:val="Lijstalinea"/>
        <w:numPr>
          <w:ilvl w:val="1"/>
          <w:numId w:val="1"/>
        </w:numPr>
        <w:outlineLvl w:val="1"/>
        <w:rPr>
          <w:b/>
          <w:bCs/>
          <w:lang w:val="fr-BE"/>
        </w:rPr>
      </w:pPr>
      <w:bookmarkStart w:id="25" w:name="_Toc67817062"/>
      <w:r w:rsidRPr="00D71FFE">
        <w:rPr>
          <w:b/>
          <w:bCs/>
          <w:lang w:val="fr-BE"/>
        </w:rPr>
        <w:t>Chapitre 4 : intervention pour les activités supplémentaires des prestataires de soins habituellement financés par des honoraires</w:t>
      </w:r>
      <w:bookmarkEnd w:id="25"/>
    </w:p>
    <w:p w14:paraId="07511093" w14:textId="12A948C7" w:rsidR="009E3D19" w:rsidRPr="00326B0D" w:rsidRDefault="008A760B" w:rsidP="00963746">
      <w:pPr>
        <w:spacing w:after="0"/>
        <w:ind w:left="426"/>
        <w:jc w:val="both"/>
        <w:rPr>
          <w:lang w:val="fr-BE"/>
        </w:rPr>
      </w:pPr>
      <w:r w:rsidRPr="00326B0D">
        <w:rPr>
          <w:lang w:val="fr-BE"/>
        </w:rPr>
        <w:t xml:space="preserve">Le schéma ci-dessous indique quelles interventions sont prévues dans quels cas. </w:t>
      </w:r>
    </w:p>
    <w:p w14:paraId="3E13DE8A" w14:textId="2F502013" w:rsidR="003D2052" w:rsidRPr="00963746" w:rsidRDefault="003D2052" w:rsidP="00963746">
      <w:pPr>
        <w:pStyle w:val="Lijstalinea"/>
        <w:numPr>
          <w:ilvl w:val="0"/>
          <w:numId w:val="39"/>
        </w:numPr>
        <w:spacing w:after="0"/>
        <w:ind w:left="851"/>
        <w:jc w:val="both"/>
        <w:rPr>
          <w:color w:val="2F5496" w:themeColor="accent1" w:themeShade="BF"/>
          <w:lang w:val="fr-BE"/>
        </w:rPr>
      </w:pPr>
      <w:r w:rsidRPr="00963746">
        <w:rPr>
          <w:color w:val="2F5496" w:themeColor="accent1" w:themeShade="BF"/>
          <w:lang w:val="fr-BE"/>
        </w:rPr>
        <w:t>Certaines interventions ne sont pas prévues pour les hôpitaux psychiatriques dans les cas où certaines activités</w:t>
      </w:r>
      <w:r w:rsidR="00326B0D">
        <w:rPr>
          <w:color w:val="2F5496" w:themeColor="accent1" w:themeShade="BF"/>
          <w:lang w:val="fr-BE"/>
        </w:rPr>
        <w:t>,</w:t>
      </w:r>
      <w:r w:rsidRPr="00963746">
        <w:rPr>
          <w:color w:val="2F5496" w:themeColor="accent1" w:themeShade="BF"/>
          <w:lang w:val="fr-BE"/>
        </w:rPr>
        <w:t xml:space="preserve"> pour lesquelles une indemnité financière est prévue, ne sont pas pratiquées dans ces hôpitaux. </w:t>
      </w:r>
    </w:p>
    <w:p w14:paraId="0982728B" w14:textId="77777777" w:rsidR="00816889" w:rsidRPr="00D71FFE" w:rsidRDefault="00816889" w:rsidP="00F03501">
      <w:pPr>
        <w:pStyle w:val="Lijstalinea"/>
        <w:ind w:left="792"/>
        <w:jc w:val="both"/>
        <w:rPr>
          <w:lang w:val="fr-BE"/>
        </w:rPr>
      </w:pPr>
    </w:p>
    <w:p w14:paraId="6C70FB30" w14:textId="1DE400B7" w:rsidR="00816889" w:rsidRPr="00D71FFE" w:rsidRDefault="00816889" w:rsidP="00963746">
      <w:pPr>
        <w:pStyle w:val="Lijstalinea"/>
        <w:ind w:left="851"/>
        <w:jc w:val="both"/>
        <w:rPr>
          <w:lang w:val="fr-BE"/>
        </w:rPr>
      </w:pPr>
      <w:r w:rsidRPr="00D71FFE">
        <w:rPr>
          <w:lang w:val="fr-BE"/>
        </w:rPr>
        <w:t>Certaines prestations supplémentaires font déjà l'objet d'un financement pour les prestataires de soins salariés et l'intervention est par conséquent réservée aux prestataires de soins indépendants, car (cf. Chapitre 3 de l'AR) le coût des prestataires de soins salariés est déjà garanti à l'hôpital comme partie des frais de fonctionnement récurrents financés par le biais des honoraires, et une deuxième intervention n’est donc pas prévue.</w:t>
      </w:r>
    </w:p>
    <w:p w14:paraId="45613F39" w14:textId="77777777" w:rsidR="00816889" w:rsidRPr="00D71FFE" w:rsidRDefault="00816889" w:rsidP="0008589F">
      <w:pPr>
        <w:pStyle w:val="Lijstalinea"/>
        <w:ind w:left="792"/>
        <w:rPr>
          <w:lang w:val="fr-BE"/>
        </w:rPr>
      </w:pPr>
    </w:p>
    <w:p w14:paraId="12D36FB7" w14:textId="07A84370" w:rsidR="00651919" w:rsidRPr="00D71FFE" w:rsidRDefault="003D2052" w:rsidP="00F03501">
      <w:pPr>
        <w:pStyle w:val="Lijstalinea"/>
        <w:ind w:left="792"/>
        <w:jc w:val="both"/>
        <w:rPr>
          <w:lang w:val="fr-BE"/>
        </w:rPr>
      </w:pPr>
      <w:r w:rsidRPr="00963746">
        <w:rPr>
          <w:color w:val="2F5496" w:themeColor="accent1" w:themeShade="BF"/>
          <w:lang w:val="fr-BE"/>
        </w:rPr>
        <w:t xml:space="preserve">À l’exception des </w:t>
      </w:r>
      <w:r w:rsidR="00030980">
        <w:rPr>
          <w:color w:val="2F5496" w:themeColor="accent1" w:themeShade="BF"/>
          <w:lang w:val="fr-BE"/>
        </w:rPr>
        <w:t xml:space="preserve">interventions pour les </w:t>
      </w:r>
      <w:r w:rsidRPr="00963746">
        <w:rPr>
          <w:color w:val="2F5496" w:themeColor="accent1" w:themeShade="BF"/>
          <w:lang w:val="fr-BE"/>
        </w:rPr>
        <w:t>MSF</w:t>
      </w:r>
      <w:r w:rsidR="00030980">
        <w:rPr>
          <w:color w:val="2F5496" w:themeColor="accent1" w:themeShade="BF"/>
          <w:lang w:val="fr-BE"/>
        </w:rPr>
        <w:t>/MGF</w:t>
      </w:r>
      <w:r w:rsidRPr="00963746">
        <w:rPr>
          <w:color w:val="2F5496" w:themeColor="accent1" w:themeShade="BF"/>
          <w:lang w:val="fr-BE"/>
        </w:rPr>
        <w:t xml:space="preserve">, qui disposent </w:t>
      </w:r>
      <w:r w:rsidR="005613D6">
        <w:rPr>
          <w:color w:val="2F5496" w:themeColor="accent1" w:themeShade="BF"/>
          <w:lang w:val="fr-BE"/>
        </w:rPr>
        <w:t>de deux</w:t>
      </w:r>
      <w:r w:rsidR="005613D6" w:rsidRPr="00963746">
        <w:rPr>
          <w:color w:val="2F5496" w:themeColor="accent1" w:themeShade="BF"/>
          <w:lang w:val="fr-BE"/>
        </w:rPr>
        <w:t xml:space="preserve"> </w:t>
      </w:r>
      <w:r w:rsidRPr="00963746">
        <w:rPr>
          <w:color w:val="2F5496" w:themeColor="accent1" w:themeShade="BF"/>
          <w:lang w:val="fr-BE"/>
        </w:rPr>
        <w:t>prime</w:t>
      </w:r>
      <w:r w:rsidR="005613D6">
        <w:rPr>
          <w:color w:val="2F5496" w:themeColor="accent1" w:themeShade="BF"/>
          <w:lang w:val="fr-BE"/>
        </w:rPr>
        <w:t>s</w:t>
      </w:r>
      <w:r w:rsidRPr="00963746">
        <w:rPr>
          <w:color w:val="2F5496" w:themeColor="accent1" w:themeShade="BF"/>
          <w:lang w:val="fr-BE"/>
        </w:rPr>
        <w:t xml:space="preserve"> brute</w:t>
      </w:r>
      <w:r w:rsidR="005613D6">
        <w:rPr>
          <w:color w:val="2F5496" w:themeColor="accent1" w:themeShade="BF"/>
          <w:lang w:val="fr-BE"/>
        </w:rPr>
        <w:t>s</w:t>
      </w:r>
      <w:r w:rsidRPr="00963746">
        <w:rPr>
          <w:color w:val="2F5496" w:themeColor="accent1" w:themeShade="BF"/>
          <w:lang w:val="fr-BE"/>
        </w:rPr>
        <w:t xml:space="preserve"> individuelle</w:t>
      </w:r>
      <w:r w:rsidR="005613D6">
        <w:rPr>
          <w:color w:val="2F5496" w:themeColor="accent1" w:themeShade="BF"/>
          <w:lang w:val="fr-BE"/>
        </w:rPr>
        <w:t>s</w:t>
      </w:r>
      <w:r w:rsidRPr="00963746">
        <w:rPr>
          <w:color w:val="2F5496" w:themeColor="accent1" w:themeShade="BF"/>
          <w:lang w:val="fr-BE"/>
        </w:rPr>
        <w:t xml:space="preserve"> garantie (250€ par mois à partir de mars</w:t>
      </w:r>
      <w:r w:rsidR="005613D6">
        <w:rPr>
          <w:color w:val="2F5496" w:themeColor="accent1" w:themeShade="BF"/>
          <w:lang w:val="fr-BE"/>
        </w:rPr>
        <w:t xml:space="preserve"> et</w:t>
      </w:r>
      <w:r w:rsidRPr="00963746">
        <w:rPr>
          <w:color w:val="2F5496" w:themeColor="accent1" w:themeShade="BF"/>
          <w:lang w:val="fr-BE"/>
        </w:rPr>
        <w:t xml:space="preserve"> montant unique de 985€ </w:t>
      </w:r>
      <w:r w:rsidR="005613D6">
        <w:rPr>
          <w:color w:val="2F5496" w:themeColor="accent1" w:themeShade="BF"/>
          <w:lang w:val="fr-BE"/>
        </w:rPr>
        <w:t>par ETP</w:t>
      </w:r>
      <w:r w:rsidR="009E186D">
        <w:rPr>
          <w:color w:val="2F5496" w:themeColor="accent1" w:themeShade="BF"/>
          <w:lang w:val="fr-BE"/>
        </w:rPr>
        <w:t xml:space="preserve"> </w:t>
      </w:r>
      <w:r w:rsidR="005613D6">
        <w:rPr>
          <w:color w:val="2F5496" w:themeColor="accent1" w:themeShade="BF"/>
          <w:lang w:val="fr-BE"/>
        </w:rPr>
        <w:t>pour les prestations de</w:t>
      </w:r>
      <w:r w:rsidRPr="00963746">
        <w:rPr>
          <w:color w:val="2F5496" w:themeColor="accent1" w:themeShade="BF"/>
          <w:lang w:val="fr-BE"/>
        </w:rPr>
        <w:t xml:space="preserve"> septemb</w:t>
      </w:r>
      <w:r w:rsidR="005613D6">
        <w:rPr>
          <w:color w:val="2F5496" w:themeColor="accent1" w:themeShade="BF"/>
          <w:lang w:val="fr-BE"/>
        </w:rPr>
        <w:t>re</w:t>
      </w:r>
      <w:r w:rsidRPr="00963746">
        <w:rPr>
          <w:color w:val="2F5496" w:themeColor="accent1" w:themeShade="BF"/>
          <w:lang w:val="fr-BE"/>
        </w:rPr>
        <w:t xml:space="preserve"> à novembre) et </w:t>
      </w:r>
      <w:r w:rsidR="005613D6">
        <w:rPr>
          <w:color w:val="2F5496" w:themeColor="accent1" w:themeShade="BF"/>
          <w:lang w:val="fr-BE"/>
        </w:rPr>
        <w:t>d’</w:t>
      </w:r>
      <w:r w:rsidRPr="00963746">
        <w:rPr>
          <w:color w:val="2F5496" w:themeColor="accent1" w:themeShade="BF"/>
          <w:lang w:val="fr-BE"/>
        </w:rPr>
        <w:t>une enveloppe commune pour les gardes</w:t>
      </w:r>
      <w:r w:rsidR="005613D6">
        <w:rPr>
          <w:color w:val="2F5496" w:themeColor="accent1" w:themeShade="BF"/>
          <w:lang w:val="fr-BE"/>
        </w:rPr>
        <w:t xml:space="preserve"> prestées par les</w:t>
      </w:r>
      <w:r w:rsidR="005613D6" w:rsidRPr="005613D6">
        <w:rPr>
          <w:color w:val="2F5496" w:themeColor="accent1" w:themeShade="BF"/>
          <w:lang w:val="fr-BE"/>
        </w:rPr>
        <w:t xml:space="preserve"> </w:t>
      </w:r>
      <w:r w:rsidR="005613D6" w:rsidRPr="00887C50">
        <w:rPr>
          <w:color w:val="2F5496" w:themeColor="accent1" w:themeShade="BF"/>
          <w:lang w:val="fr-BE"/>
        </w:rPr>
        <w:t>médecins en formation</w:t>
      </w:r>
      <w:r w:rsidRPr="00963746">
        <w:rPr>
          <w:color w:val="2F5496" w:themeColor="accent1" w:themeShade="BF"/>
          <w:lang w:val="fr-BE"/>
        </w:rPr>
        <w:t>, permanences et engagements supplémentaires (composée de 600€ par mois par ETP MSF/MGF)</w:t>
      </w:r>
      <w:r w:rsidR="00816889" w:rsidRPr="00963746">
        <w:rPr>
          <w:color w:val="2F5496" w:themeColor="accent1" w:themeShade="BF"/>
          <w:lang w:val="fr-BE"/>
        </w:rPr>
        <w:t xml:space="preserve">, </w:t>
      </w:r>
      <w:r w:rsidR="005510C6">
        <w:rPr>
          <w:color w:val="2F5496" w:themeColor="accent1" w:themeShade="BF"/>
          <w:lang w:val="fr-BE"/>
        </w:rPr>
        <w:t xml:space="preserve">interventions qui sont destinées exclusivement aux MSF/MGF, </w:t>
      </w:r>
      <w:r w:rsidR="00816889" w:rsidRPr="00D71FFE">
        <w:rPr>
          <w:lang w:val="fr-BE"/>
        </w:rPr>
        <w:t xml:space="preserve">le Conseil médical dispose d'une autonomie assez large dans l'attribution du montant pour autant que l’objectif de l’intervention soit respecté. </w:t>
      </w:r>
      <w:r w:rsidR="009E186D">
        <w:rPr>
          <w:lang w:val="fr-BE"/>
        </w:rPr>
        <w:t>L</w:t>
      </w:r>
      <w:r w:rsidR="00816889" w:rsidRPr="00D71FFE">
        <w:rPr>
          <w:lang w:val="fr-BE"/>
        </w:rPr>
        <w:t>es moyens soient alloués aux médecins</w:t>
      </w:r>
      <w:r w:rsidR="009E186D">
        <w:rPr>
          <w:lang w:val="fr-BE"/>
        </w:rPr>
        <w:t xml:space="preserve"> indépendants</w:t>
      </w:r>
      <w:r w:rsidR="00816889" w:rsidRPr="00D71FFE">
        <w:rPr>
          <w:lang w:val="fr-BE"/>
        </w:rPr>
        <w:t xml:space="preserve"> ou autres prestataires de soins qui sont rémunérés par des honoraires et qui ont presté des activités liées aux soins, à l'organisation, à la coordination, à la communication</w:t>
      </w:r>
      <w:r>
        <w:rPr>
          <w:lang w:val="fr-BE"/>
        </w:rPr>
        <w:t>,</w:t>
      </w:r>
      <w:r w:rsidR="005613D6">
        <w:rPr>
          <w:lang w:val="fr-BE"/>
        </w:rPr>
        <w:t xml:space="preserve"> etc.</w:t>
      </w:r>
      <w:r>
        <w:rPr>
          <w:lang w:val="fr-BE"/>
        </w:rPr>
        <w:t xml:space="preserve"> ou</w:t>
      </w:r>
      <w:r w:rsidR="00816889" w:rsidRPr="00D71FFE">
        <w:rPr>
          <w:lang w:val="fr-BE"/>
        </w:rPr>
        <w:t xml:space="preserve"> aux formations dans le contexte et à cause de l’épidémie de coronavirus COVID-19. Ceci englobe également la concertation dans le cadre des plans de crise et d'urgence et de la stratégie de sortie de crise au sein de l'hôpital. </w:t>
      </w:r>
    </w:p>
    <w:p w14:paraId="1DCFE423" w14:textId="7C4CAC14" w:rsidR="00651919" w:rsidRPr="00D71FFE" w:rsidRDefault="00651919" w:rsidP="00F03501">
      <w:pPr>
        <w:pStyle w:val="Lijstalinea"/>
        <w:ind w:left="792"/>
        <w:jc w:val="both"/>
        <w:rPr>
          <w:lang w:val="fr-BE"/>
        </w:rPr>
      </w:pPr>
    </w:p>
    <w:p w14:paraId="53D2A08D" w14:textId="77777777" w:rsidR="0088615E" w:rsidRPr="00D71FFE" w:rsidRDefault="0088615E" w:rsidP="0088615E">
      <w:pPr>
        <w:pStyle w:val="Lijstalinea"/>
        <w:ind w:left="792"/>
        <w:jc w:val="both"/>
        <w:rPr>
          <w:b/>
          <w:bCs/>
          <w:lang w:val="fr-BE"/>
        </w:rPr>
      </w:pPr>
      <w:r w:rsidRPr="00D71FFE">
        <w:rPr>
          <w:lang w:val="fr-BE"/>
        </w:rPr>
        <w:t xml:space="preserve">Les critères d’attribution ainsi que les attributions seront demandés dans le cadre du </w:t>
      </w:r>
      <w:r w:rsidRPr="00D71FFE">
        <w:rPr>
          <w:i/>
          <w:iCs/>
          <w:lang w:val="fr-BE"/>
        </w:rPr>
        <w:t>reporting</w:t>
      </w:r>
      <w:r w:rsidRPr="00D71FFE">
        <w:rPr>
          <w:lang w:val="fr-BE"/>
        </w:rPr>
        <w:t xml:space="preserve"> (cf. article 10 de l’AR). </w:t>
      </w:r>
    </w:p>
    <w:p w14:paraId="52662494" w14:textId="77777777" w:rsidR="0088615E" w:rsidRPr="00D71FFE" w:rsidRDefault="0088615E" w:rsidP="0088615E">
      <w:pPr>
        <w:pStyle w:val="Lijstalinea"/>
        <w:ind w:left="792"/>
        <w:jc w:val="both"/>
        <w:rPr>
          <w:lang w:val="fr-BE"/>
        </w:rPr>
      </w:pPr>
    </w:p>
    <w:p w14:paraId="33961610" w14:textId="69DA79F8" w:rsidR="0088615E" w:rsidRPr="00D71FFE" w:rsidRDefault="0088615E" w:rsidP="0088615E">
      <w:pPr>
        <w:pStyle w:val="Lijstalinea"/>
        <w:ind w:left="792"/>
        <w:jc w:val="both"/>
        <w:rPr>
          <w:lang w:val="fr-BE"/>
        </w:rPr>
      </w:pPr>
      <w:r w:rsidRPr="00D71FFE">
        <w:rPr>
          <w:lang w:val="fr-BE"/>
        </w:rPr>
        <w:t xml:space="preserve">Il est à noter que l'intervention dans la rémunération de base des MSF (cf. article 6 § 2 et § 3, e), 1.) n'est prévue que si leur coût salarial est supporté par les médecins indépendants, les pools de médecins, etc. </w:t>
      </w:r>
      <w:r w:rsidR="003D2052" w:rsidRPr="00963746">
        <w:rPr>
          <w:color w:val="2F5496" w:themeColor="accent1" w:themeShade="BF"/>
          <w:lang w:val="fr-BE"/>
        </w:rPr>
        <w:t xml:space="preserve">L’intervention est également prévue si, par exemple, l’hôpital fait office d’organisme de paiement, mais récupère ensuite intégralement ces montants auprès de(s) (association de) médecins indépendants. </w:t>
      </w:r>
      <w:r w:rsidRPr="00D71FFE">
        <w:rPr>
          <w:lang w:val="fr-BE"/>
        </w:rPr>
        <w:t>Si les hôpitaux prennent en charge le coût salarial des MSF, le financement est déjà prévu par l'article 4, § 3. Le calcul sera donc basé sur le nombre d'équivalents temps plein MSF qui sont (finalement) à charge d'un prestataire de soins indépendant et non de l'hôpital, comme indiqué</w:t>
      </w:r>
      <w:r w:rsidR="003D2052">
        <w:rPr>
          <w:lang w:val="fr-BE"/>
        </w:rPr>
        <w:t xml:space="preserve"> </w:t>
      </w:r>
      <w:r w:rsidR="003D2052" w:rsidRPr="00963746">
        <w:rPr>
          <w:color w:val="2F5496" w:themeColor="accent1" w:themeShade="BF"/>
          <w:lang w:val="fr-BE"/>
        </w:rPr>
        <w:t>par l’hôpital d’affectation</w:t>
      </w:r>
      <w:r w:rsidRPr="00963746">
        <w:rPr>
          <w:color w:val="2F5496" w:themeColor="accent1" w:themeShade="BF"/>
          <w:lang w:val="fr-BE"/>
        </w:rPr>
        <w:t xml:space="preserve"> </w:t>
      </w:r>
      <w:r w:rsidRPr="00D71FFE">
        <w:rPr>
          <w:lang w:val="fr-BE"/>
        </w:rPr>
        <w:t>dans les informations fournies lors de la collecte de décembre 2020.</w:t>
      </w:r>
    </w:p>
    <w:p w14:paraId="2472667D" w14:textId="77777777" w:rsidR="0088615E" w:rsidRPr="00D71FFE" w:rsidRDefault="0088615E" w:rsidP="00F03501">
      <w:pPr>
        <w:pStyle w:val="Lijstalinea"/>
        <w:ind w:left="792"/>
        <w:jc w:val="both"/>
        <w:rPr>
          <w:lang w:val="fr-BE"/>
        </w:rPr>
      </w:pPr>
    </w:p>
    <w:p w14:paraId="63279445" w14:textId="3BB99CF0" w:rsidR="00053643" w:rsidRPr="00D71FFE" w:rsidRDefault="00074121" w:rsidP="00A43647">
      <w:pPr>
        <w:pStyle w:val="Lijstalinea"/>
        <w:ind w:left="0" w:firstLine="708"/>
        <w:jc w:val="both"/>
        <w:rPr>
          <w:lang w:val="fr-BE"/>
        </w:rPr>
      </w:pPr>
      <w:r w:rsidRPr="00074121">
        <w:rPr>
          <w:noProof/>
          <w:lang w:val="en-GB" w:eastAsia="en-GB"/>
        </w:rPr>
        <w:lastRenderedPageBreak/>
        <w:drawing>
          <wp:inline distT="0" distB="0" distL="0" distR="0" wp14:anchorId="4E7AE672" wp14:editId="4BB9E888">
            <wp:extent cx="5469499" cy="6859492"/>
            <wp:effectExtent l="38100" t="38100" r="36195" b="368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7790" cy="6894973"/>
                    </a:xfrm>
                    <a:prstGeom prst="rect">
                      <a:avLst/>
                    </a:prstGeom>
                    <a:noFill/>
                    <a:ln w="38100">
                      <a:solidFill>
                        <a:schemeClr val="accent1"/>
                      </a:solidFill>
                    </a:ln>
                  </pic:spPr>
                </pic:pic>
              </a:graphicData>
            </a:graphic>
          </wp:inline>
        </w:drawing>
      </w:r>
    </w:p>
    <w:p w14:paraId="45285CB8" w14:textId="77777777" w:rsidR="00502817" w:rsidRDefault="00502817" w:rsidP="008C3DF4">
      <w:pPr>
        <w:pStyle w:val="Lijstalinea"/>
        <w:rPr>
          <w:color w:val="2F5496" w:themeColor="accent1" w:themeShade="BF"/>
          <w:lang w:val="fr-BE"/>
        </w:rPr>
      </w:pPr>
    </w:p>
    <w:p w14:paraId="32D701A4" w14:textId="77777777" w:rsidR="00502817" w:rsidRDefault="00502817" w:rsidP="008C3DF4">
      <w:pPr>
        <w:pStyle w:val="Lijstalinea"/>
        <w:rPr>
          <w:color w:val="2F5496" w:themeColor="accent1" w:themeShade="BF"/>
          <w:lang w:val="fr-BE"/>
        </w:rPr>
      </w:pPr>
    </w:p>
    <w:p w14:paraId="67068F5E" w14:textId="77777777" w:rsidR="00502817" w:rsidRDefault="00502817" w:rsidP="008C3DF4">
      <w:pPr>
        <w:pStyle w:val="Lijstalinea"/>
        <w:rPr>
          <w:color w:val="2F5496" w:themeColor="accent1" w:themeShade="BF"/>
          <w:lang w:val="fr-BE"/>
        </w:rPr>
      </w:pPr>
    </w:p>
    <w:p w14:paraId="615F87DF" w14:textId="77777777" w:rsidR="00502817" w:rsidRDefault="00502817" w:rsidP="008C3DF4">
      <w:pPr>
        <w:pStyle w:val="Lijstalinea"/>
        <w:rPr>
          <w:color w:val="2F5496" w:themeColor="accent1" w:themeShade="BF"/>
          <w:lang w:val="fr-BE"/>
        </w:rPr>
      </w:pPr>
    </w:p>
    <w:p w14:paraId="10359F0A" w14:textId="77777777" w:rsidR="00502817" w:rsidRDefault="00502817" w:rsidP="008C3DF4">
      <w:pPr>
        <w:pStyle w:val="Lijstalinea"/>
        <w:rPr>
          <w:color w:val="2F5496" w:themeColor="accent1" w:themeShade="BF"/>
          <w:lang w:val="fr-BE"/>
        </w:rPr>
      </w:pPr>
    </w:p>
    <w:p w14:paraId="001C95BF" w14:textId="4D27F668" w:rsidR="00502817" w:rsidRDefault="00502817" w:rsidP="008C3DF4">
      <w:pPr>
        <w:pStyle w:val="Lijstalinea"/>
        <w:rPr>
          <w:color w:val="2F5496" w:themeColor="accent1" w:themeShade="BF"/>
          <w:lang w:val="fr-BE"/>
        </w:rPr>
      </w:pPr>
    </w:p>
    <w:p w14:paraId="1124D065" w14:textId="4C5B79A6" w:rsidR="003007F7" w:rsidRDefault="003007F7" w:rsidP="008C3DF4">
      <w:pPr>
        <w:pStyle w:val="Lijstalinea"/>
        <w:rPr>
          <w:color w:val="2F5496" w:themeColor="accent1" w:themeShade="BF"/>
          <w:lang w:val="fr-BE"/>
        </w:rPr>
      </w:pPr>
    </w:p>
    <w:p w14:paraId="6C56AFAA" w14:textId="549E0F35" w:rsidR="003007F7" w:rsidRDefault="003007F7" w:rsidP="008C3DF4">
      <w:pPr>
        <w:pStyle w:val="Lijstalinea"/>
        <w:rPr>
          <w:color w:val="2F5496" w:themeColor="accent1" w:themeShade="BF"/>
          <w:lang w:val="fr-BE"/>
        </w:rPr>
      </w:pPr>
    </w:p>
    <w:p w14:paraId="4EBA473C" w14:textId="77777777" w:rsidR="003007F7" w:rsidRDefault="003007F7" w:rsidP="008C3DF4">
      <w:pPr>
        <w:pStyle w:val="Lijstalinea"/>
        <w:rPr>
          <w:color w:val="2F5496" w:themeColor="accent1" w:themeShade="BF"/>
          <w:lang w:val="fr-BE"/>
        </w:rPr>
      </w:pPr>
    </w:p>
    <w:p w14:paraId="78DF9F29" w14:textId="77777777" w:rsidR="00502817" w:rsidRDefault="00502817" w:rsidP="008C3DF4">
      <w:pPr>
        <w:pStyle w:val="Lijstalinea"/>
        <w:rPr>
          <w:color w:val="2F5496" w:themeColor="accent1" w:themeShade="BF"/>
          <w:lang w:val="fr-BE"/>
        </w:rPr>
      </w:pPr>
    </w:p>
    <w:p w14:paraId="5B8895A3" w14:textId="63A981A6" w:rsidR="008C3DF4" w:rsidRPr="0021034D" w:rsidRDefault="008C3DF4" w:rsidP="0021034D">
      <w:pPr>
        <w:rPr>
          <w:color w:val="2F5496" w:themeColor="accent1" w:themeShade="BF"/>
          <w:lang w:val="fr-BE"/>
        </w:rPr>
      </w:pPr>
      <w:r w:rsidRPr="0021034D">
        <w:rPr>
          <w:color w:val="2F5496" w:themeColor="accent1" w:themeShade="BF"/>
          <w:lang w:val="fr-BE"/>
        </w:rPr>
        <w:lastRenderedPageBreak/>
        <w:t>Représentation schématique des budgets partiels qui se rapportent aux MSF et MGF dans les hôpitaux durant les mois de 2020 en question :</w:t>
      </w:r>
    </w:p>
    <w:p w14:paraId="6030A972" w14:textId="45E15DFE" w:rsidR="008C3DF4" w:rsidRDefault="008C3DF4" w:rsidP="008C3DF4">
      <w:pPr>
        <w:pStyle w:val="Lijstalinea"/>
        <w:rPr>
          <w:lang w:val="fr-BE"/>
        </w:rPr>
      </w:pPr>
    </w:p>
    <w:p w14:paraId="71DFC278" w14:textId="068B4A83" w:rsidR="008C3DF4" w:rsidRDefault="00074121" w:rsidP="00963746">
      <w:pPr>
        <w:pStyle w:val="Lijstalinea"/>
        <w:ind w:left="0"/>
        <w:rPr>
          <w:lang w:val="fr-BE"/>
        </w:rPr>
      </w:pPr>
      <w:r w:rsidRPr="00074121">
        <w:rPr>
          <w:noProof/>
          <w:lang w:val="en-GB" w:eastAsia="en-GB"/>
        </w:rPr>
        <w:drawing>
          <wp:inline distT="0" distB="0" distL="0" distR="0" wp14:anchorId="274D840E" wp14:editId="67FFC02A">
            <wp:extent cx="5760720" cy="3008630"/>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008630"/>
                    </a:xfrm>
                    <a:prstGeom prst="rect">
                      <a:avLst/>
                    </a:prstGeom>
                    <a:noFill/>
                    <a:ln>
                      <a:noFill/>
                    </a:ln>
                  </pic:spPr>
                </pic:pic>
              </a:graphicData>
            </a:graphic>
          </wp:inline>
        </w:drawing>
      </w:r>
    </w:p>
    <w:p w14:paraId="67BA634D" w14:textId="74807C9A" w:rsidR="008C3DF4" w:rsidRDefault="008C3DF4" w:rsidP="008C3DF4">
      <w:pPr>
        <w:pStyle w:val="Lijstalinea"/>
        <w:rPr>
          <w:lang w:val="fr-BE"/>
        </w:rPr>
      </w:pPr>
    </w:p>
    <w:p w14:paraId="15DCDDBF" w14:textId="5684CF1C" w:rsidR="008C3DF4" w:rsidRDefault="00074121" w:rsidP="00963746">
      <w:pPr>
        <w:pStyle w:val="Lijstalinea"/>
        <w:ind w:left="0"/>
        <w:rPr>
          <w:lang w:val="fr-BE"/>
        </w:rPr>
      </w:pPr>
      <w:r w:rsidRPr="00074121">
        <w:rPr>
          <w:noProof/>
          <w:lang w:val="en-GB" w:eastAsia="en-GB"/>
        </w:rPr>
        <w:drawing>
          <wp:inline distT="0" distB="0" distL="0" distR="0" wp14:anchorId="4F3A75E5" wp14:editId="138D7F96">
            <wp:extent cx="5760720" cy="31134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113405"/>
                    </a:xfrm>
                    <a:prstGeom prst="rect">
                      <a:avLst/>
                    </a:prstGeom>
                    <a:noFill/>
                    <a:ln>
                      <a:noFill/>
                    </a:ln>
                  </pic:spPr>
                </pic:pic>
              </a:graphicData>
            </a:graphic>
          </wp:inline>
        </w:drawing>
      </w:r>
    </w:p>
    <w:p w14:paraId="3ABDDEA0" w14:textId="21127F10" w:rsidR="008C3DF4" w:rsidRDefault="008C3DF4" w:rsidP="008C3DF4">
      <w:pPr>
        <w:pStyle w:val="Lijstalinea"/>
        <w:rPr>
          <w:lang w:val="fr-BE"/>
        </w:rPr>
      </w:pPr>
    </w:p>
    <w:p w14:paraId="5DA1419B" w14:textId="14C6A7BE" w:rsidR="008C3DF4" w:rsidRDefault="00074121" w:rsidP="00963746">
      <w:pPr>
        <w:pStyle w:val="Lijstalinea"/>
        <w:ind w:left="142"/>
        <w:rPr>
          <w:lang w:val="fr-BE"/>
        </w:rPr>
      </w:pPr>
      <w:r w:rsidRPr="00074121">
        <w:rPr>
          <w:noProof/>
          <w:lang w:val="en-GB" w:eastAsia="en-GB"/>
        </w:rPr>
        <w:lastRenderedPageBreak/>
        <w:drawing>
          <wp:inline distT="0" distB="0" distL="0" distR="0" wp14:anchorId="240F1A2F" wp14:editId="0790EC92">
            <wp:extent cx="5760720" cy="5008245"/>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008245"/>
                    </a:xfrm>
                    <a:prstGeom prst="rect">
                      <a:avLst/>
                    </a:prstGeom>
                    <a:noFill/>
                    <a:ln>
                      <a:noFill/>
                    </a:ln>
                  </pic:spPr>
                </pic:pic>
              </a:graphicData>
            </a:graphic>
          </wp:inline>
        </w:drawing>
      </w:r>
    </w:p>
    <w:p w14:paraId="65ACE336" w14:textId="06058691" w:rsidR="008C3DF4" w:rsidRDefault="008C3DF4" w:rsidP="008C3DF4">
      <w:pPr>
        <w:pStyle w:val="Lijstalinea"/>
        <w:rPr>
          <w:lang w:val="fr-BE"/>
        </w:rPr>
      </w:pPr>
    </w:p>
    <w:p w14:paraId="1D080AFF" w14:textId="77777777" w:rsidR="00756AB4" w:rsidRDefault="00756AB4" w:rsidP="008C3DF4">
      <w:pPr>
        <w:pStyle w:val="Lijstalinea"/>
        <w:rPr>
          <w:lang w:val="fr-BE"/>
        </w:rPr>
      </w:pPr>
    </w:p>
    <w:p w14:paraId="5AC64479" w14:textId="713D225D" w:rsidR="0034404F" w:rsidRPr="00963746" w:rsidRDefault="009B7305" w:rsidP="00963746">
      <w:pPr>
        <w:outlineLvl w:val="2"/>
        <w:rPr>
          <w:b/>
          <w:bCs/>
          <w:i/>
          <w:iCs/>
          <w:lang w:val="fr-BE"/>
        </w:rPr>
      </w:pPr>
      <w:bookmarkStart w:id="26" w:name="_Toc67817063"/>
      <w:r w:rsidRPr="00963746">
        <w:rPr>
          <w:b/>
          <w:bCs/>
          <w:i/>
          <w:iCs/>
          <w:lang w:val="fr-BE"/>
        </w:rPr>
        <w:t xml:space="preserve">Q &amp; </w:t>
      </w:r>
      <w:r w:rsidR="003D264C" w:rsidRPr="00963746">
        <w:rPr>
          <w:b/>
          <w:bCs/>
          <w:i/>
          <w:iCs/>
          <w:lang w:val="fr-BE"/>
        </w:rPr>
        <w:t>R</w:t>
      </w:r>
      <w:r w:rsidRPr="00963746">
        <w:rPr>
          <w:b/>
          <w:bCs/>
          <w:i/>
          <w:iCs/>
          <w:lang w:val="fr-BE"/>
        </w:rPr>
        <w:t xml:space="preserve"> Chapitre 4 (généralités</w:t>
      </w:r>
      <w:r w:rsidR="008C3DF4" w:rsidRPr="00963746">
        <w:rPr>
          <w:b/>
          <w:bCs/>
          <w:i/>
          <w:iCs/>
          <w:lang w:val="fr-BE"/>
        </w:rPr>
        <w:t>, pour les MSF/MGF : cf. FAQ distincte</w:t>
      </w:r>
      <w:r w:rsidRPr="00963746">
        <w:rPr>
          <w:b/>
          <w:bCs/>
          <w:i/>
          <w:iCs/>
          <w:lang w:val="fr-BE"/>
        </w:rPr>
        <w:t>)</w:t>
      </w:r>
      <w:bookmarkEnd w:id="26"/>
    </w:p>
    <w:p w14:paraId="0D607BE1" w14:textId="2564A3B9" w:rsidR="00F7335A" w:rsidRPr="00D71FFE" w:rsidRDefault="00F7335A" w:rsidP="003721DC">
      <w:pPr>
        <w:pStyle w:val="xmsonormal"/>
        <w:numPr>
          <w:ilvl w:val="0"/>
          <w:numId w:val="42"/>
        </w:numPr>
        <w:jc w:val="both"/>
        <w:rPr>
          <w:lang w:val="fr-BE"/>
        </w:rPr>
      </w:pPr>
      <w:r w:rsidRPr="00D71FFE">
        <w:rPr>
          <w:lang w:val="fr-BE"/>
        </w:rPr>
        <w:t xml:space="preserve">Qui entre en ligne de compte pour ces rémunérations ? </w:t>
      </w:r>
    </w:p>
    <w:p w14:paraId="3C873DA4" w14:textId="3525E01F" w:rsidR="00A80327" w:rsidRPr="00963746" w:rsidRDefault="00E0238B" w:rsidP="003849CF">
      <w:pPr>
        <w:pStyle w:val="xmsonormal"/>
        <w:numPr>
          <w:ilvl w:val="1"/>
          <w:numId w:val="42"/>
        </w:numPr>
        <w:jc w:val="both"/>
        <w:rPr>
          <w:i/>
          <w:iCs/>
          <w:color w:val="2F5496" w:themeColor="accent1" w:themeShade="BF"/>
          <w:lang w:val="fr-BE"/>
        </w:rPr>
      </w:pPr>
      <w:r w:rsidRPr="00D71FFE">
        <w:rPr>
          <w:i/>
          <w:iCs/>
          <w:lang w:val="fr-BE"/>
        </w:rPr>
        <w:t>Tous les prestataires de soins financés par des honoraires</w:t>
      </w:r>
      <w:r w:rsidRPr="00963746">
        <w:rPr>
          <w:i/>
          <w:iCs/>
          <w:color w:val="2F5496" w:themeColor="accent1" w:themeShade="BF"/>
          <w:lang w:val="fr-BE"/>
        </w:rPr>
        <w:t xml:space="preserve">. </w:t>
      </w:r>
      <w:r w:rsidR="008C3DF4" w:rsidRPr="00963746">
        <w:rPr>
          <w:i/>
          <w:iCs/>
          <w:color w:val="2F5496" w:themeColor="accent1" w:themeShade="BF"/>
          <w:lang w:val="fr-BE"/>
        </w:rPr>
        <w:t xml:space="preserve">Le calcul de l’intervention se fait indépendamment de l’octroi. Le but est de prévoir une indemnisation correcte des efforts non rémunérés ou sous-rémunérés durant l’épidémie de COVID-19 pour les prestataires de soins qui se sont mobilisés, proportionnellement à ces efforts.  </w:t>
      </w:r>
    </w:p>
    <w:p w14:paraId="68FB62F1" w14:textId="16B45A0D" w:rsidR="00A80327" w:rsidRPr="00D71FFE" w:rsidRDefault="00047B7F" w:rsidP="00A80327">
      <w:pPr>
        <w:pStyle w:val="xmsonormal"/>
        <w:numPr>
          <w:ilvl w:val="1"/>
          <w:numId w:val="43"/>
        </w:numPr>
        <w:jc w:val="both"/>
        <w:rPr>
          <w:i/>
          <w:iCs/>
          <w:lang w:val="fr-BE"/>
        </w:rPr>
      </w:pPr>
      <w:r w:rsidRPr="00D71FFE">
        <w:rPr>
          <w:i/>
          <w:iCs/>
          <w:lang w:val="fr-BE"/>
        </w:rPr>
        <w:t>Outre les médecins, d'autres prestataires de soins sont habituellement financés par des honoraires et entrent en ligne de compte pour la rémunération des activités supplémentaires, toujours à condition qu'ils aient participé à des activités liées à l'épidémie de coronavirus COVID-19 (p. ex. les permanences, l'organisation et la coordination COVID-19, la stratégie de sortie de crise, le plan d'urgence et la gestion de crise, les formations, le soutien dans le domaine de l'hygiène hospitalière et dans la lutte contre les infections, ...).</w:t>
      </w:r>
    </w:p>
    <w:p w14:paraId="38467967" w14:textId="174803D9" w:rsidR="00B44352" w:rsidRPr="00D71FFE" w:rsidRDefault="00B44352" w:rsidP="00A80327">
      <w:pPr>
        <w:pStyle w:val="xmsonormal"/>
        <w:numPr>
          <w:ilvl w:val="1"/>
          <w:numId w:val="43"/>
        </w:numPr>
        <w:jc w:val="both"/>
        <w:rPr>
          <w:i/>
          <w:iCs/>
          <w:lang w:val="fr-BE"/>
        </w:rPr>
      </w:pPr>
      <w:r w:rsidRPr="00D71FFE">
        <w:rPr>
          <w:i/>
          <w:iCs/>
          <w:lang w:val="fr-BE"/>
        </w:rPr>
        <w:t xml:space="preserve">Les prestataires de soins qui ne sont normalement pas actifs dans l'hôpital mais qui ont été mobilisés pendant l'épidémie de coronavirus COVID-19, peuvent également entrer en ligne de compte. Il peut s'agir de MSF qui suivent un trajet scientifique, de médecins </w:t>
      </w:r>
      <w:r w:rsidR="0088615E" w:rsidRPr="00D71FFE">
        <w:rPr>
          <w:i/>
          <w:iCs/>
          <w:lang w:val="fr-BE"/>
        </w:rPr>
        <w:t>qui ne sont plus actifs (dans un hôpital)</w:t>
      </w:r>
      <w:r w:rsidRPr="00D71FFE">
        <w:rPr>
          <w:i/>
          <w:iCs/>
          <w:lang w:val="fr-BE"/>
        </w:rPr>
        <w:t>, ...</w:t>
      </w:r>
    </w:p>
    <w:p w14:paraId="6F7056DB" w14:textId="4621ECBB" w:rsidR="006E14A7" w:rsidRPr="00D71FFE" w:rsidRDefault="00216B2C" w:rsidP="00A80327">
      <w:pPr>
        <w:pStyle w:val="xmsonormal"/>
        <w:numPr>
          <w:ilvl w:val="1"/>
          <w:numId w:val="43"/>
        </w:numPr>
        <w:jc w:val="both"/>
        <w:rPr>
          <w:i/>
          <w:iCs/>
          <w:lang w:val="fr-BE"/>
        </w:rPr>
      </w:pPr>
      <w:r w:rsidRPr="00D71FFE">
        <w:rPr>
          <w:i/>
          <w:iCs/>
          <w:lang w:val="fr-BE"/>
        </w:rPr>
        <w:t xml:space="preserve">Un nombre limité de budgets partiels est également prévu pour les prestataires de soins salariés qui sont financés par des honoraires. L’hôpital a toutefois </w:t>
      </w:r>
      <w:r w:rsidRPr="00D71FFE">
        <w:rPr>
          <w:i/>
          <w:iCs/>
          <w:lang w:val="fr-BE"/>
        </w:rPr>
        <w:lastRenderedPageBreak/>
        <w:t xml:space="preserve">continué de verser leur salaire mensuel normal, et l'article 4, § 3, de l’AR prévoit déjà une intervention dans ce cadre pour l'hôpital. </w:t>
      </w:r>
    </w:p>
    <w:p w14:paraId="20E9A51C" w14:textId="48B985C1" w:rsidR="008A084C" w:rsidRDefault="003C1179" w:rsidP="00A80327">
      <w:pPr>
        <w:pStyle w:val="xmsonormal"/>
        <w:numPr>
          <w:ilvl w:val="1"/>
          <w:numId w:val="43"/>
        </w:numPr>
        <w:jc w:val="both"/>
        <w:rPr>
          <w:i/>
          <w:iCs/>
          <w:lang w:val="fr-BE"/>
        </w:rPr>
      </w:pPr>
      <w:r w:rsidRPr="00D71FFE">
        <w:rPr>
          <w:i/>
          <w:iCs/>
          <w:lang w:val="fr-BE"/>
        </w:rPr>
        <w:t>Il existe un certain nombre de budgets partiels</w:t>
      </w:r>
      <w:r w:rsidR="00C66411">
        <w:rPr>
          <w:i/>
          <w:iCs/>
          <w:lang w:val="fr-BE"/>
        </w:rPr>
        <w:t xml:space="preserve"> </w:t>
      </w:r>
      <w:r w:rsidR="00C66411" w:rsidRPr="00C66411">
        <w:rPr>
          <w:i/>
          <w:iCs/>
          <w:lang w:val="fr-BE"/>
        </w:rPr>
        <w:t xml:space="preserve">(adaptation des permanences </w:t>
      </w:r>
      <w:r w:rsidR="00C66411">
        <w:rPr>
          <w:i/>
          <w:iCs/>
          <w:lang w:val="fr-BE"/>
        </w:rPr>
        <w:t>aux</w:t>
      </w:r>
      <w:r w:rsidR="00C66411" w:rsidRPr="00C66411">
        <w:rPr>
          <w:i/>
          <w:iCs/>
          <w:lang w:val="fr-BE"/>
        </w:rPr>
        <w:t xml:space="preserve"> urgences </w:t>
      </w:r>
      <w:r w:rsidR="00C66411">
        <w:rPr>
          <w:i/>
          <w:iCs/>
          <w:lang w:val="fr-BE"/>
        </w:rPr>
        <w:t>au</w:t>
      </w:r>
      <w:r w:rsidR="00C66411" w:rsidRPr="00C66411">
        <w:rPr>
          <w:i/>
          <w:iCs/>
          <w:lang w:val="fr-BE"/>
        </w:rPr>
        <w:t xml:space="preserve"> soins intensifs, coordination médicale, hygiène hospitalière et prévention des infections, formation donnée et suivie)</w:t>
      </w:r>
      <w:r w:rsidRPr="003849CF">
        <w:rPr>
          <w:i/>
          <w:iCs/>
          <w:u w:val="single"/>
          <w:lang w:val="fr-BE"/>
        </w:rPr>
        <w:t xml:space="preserve"> uniquement</w:t>
      </w:r>
      <w:r w:rsidRPr="00D71FFE">
        <w:rPr>
          <w:i/>
          <w:iCs/>
          <w:lang w:val="fr-BE"/>
        </w:rPr>
        <w:t xml:space="preserve"> pour les prestataires de soins indépendants qui, dans des circonstances normales, gagnent un revenu grâce à la facturation de prestations. Si, pendant l'épidémie de coronavirus COVID-19, ces prestataires de soins se sont engagés d'une autre manière dans les soins COVID-19 sans pouvoir facturer des prestations pour ces soins, ils ont droit à une rémunération pour leur contribution.</w:t>
      </w:r>
    </w:p>
    <w:p w14:paraId="104D1FA6" w14:textId="1A5D8C0A" w:rsidR="0017432B" w:rsidRPr="00C66964" w:rsidRDefault="0017432B" w:rsidP="00C66964">
      <w:pPr>
        <w:pStyle w:val="xmsonormal"/>
        <w:numPr>
          <w:ilvl w:val="1"/>
          <w:numId w:val="43"/>
        </w:numPr>
        <w:jc w:val="both"/>
        <w:rPr>
          <w:i/>
          <w:iCs/>
          <w:color w:val="0070C0"/>
          <w:lang w:val="fr-BE"/>
        </w:rPr>
      </w:pPr>
      <w:r w:rsidRPr="00C66964">
        <w:rPr>
          <w:i/>
          <w:iCs/>
          <w:color w:val="0070C0"/>
          <w:lang w:val="fr-BE"/>
        </w:rPr>
        <w:t xml:space="preserve">Dans la collecte des données, les </w:t>
      </w:r>
      <w:r w:rsidR="00C66964" w:rsidRPr="00C66964">
        <w:rPr>
          <w:i/>
          <w:iCs/>
          <w:color w:val="0070C0"/>
          <w:lang w:val="fr-BE"/>
        </w:rPr>
        <w:t>prestataires</w:t>
      </w:r>
      <w:r w:rsidRPr="00C66964">
        <w:rPr>
          <w:i/>
          <w:iCs/>
          <w:color w:val="0070C0"/>
          <w:lang w:val="fr-BE"/>
        </w:rPr>
        <w:t xml:space="preserve"> indépendants et salariés (médecins et autres) doivent être enregistrés </w:t>
      </w:r>
      <w:r w:rsidR="00333AA2">
        <w:rPr>
          <w:i/>
          <w:iCs/>
          <w:color w:val="0070C0"/>
          <w:lang w:val="fr-BE"/>
        </w:rPr>
        <w:t xml:space="preserve">de manière nominative </w:t>
      </w:r>
      <w:r w:rsidRPr="00C66964">
        <w:rPr>
          <w:i/>
          <w:iCs/>
          <w:color w:val="0070C0"/>
          <w:lang w:val="fr-BE"/>
        </w:rPr>
        <w:t>avec une détermination correcte de leur temps de travail consacré à des activités conduisant à la facturation d'honoraires (en ETP)</w:t>
      </w:r>
      <w:r w:rsidR="00EF6713">
        <w:rPr>
          <w:i/>
          <w:iCs/>
          <w:color w:val="0070C0"/>
          <w:lang w:val="fr-BE"/>
        </w:rPr>
        <w:t xml:space="preserve">, donc </w:t>
      </w:r>
      <w:r w:rsidR="005510C6">
        <w:rPr>
          <w:i/>
          <w:iCs/>
          <w:color w:val="0070C0"/>
          <w:lang w:val="fr-BE"/>
        </w:rPr>
        <w:t>à l’exclusion d</w:t>
      </w:r>
      <w:r w:rsidR="00EF6713">
        <w:rPr>
          <w:i/>
          <w:iCs/>
          <w:color w:val="0070C0"/>
          <w:lang w:val="fr-BE"/>
        </w:rPr>
        <w:t>es activités financ</w:t>
      </w:r>
      <w:r w:rsidR="00F106E9">
        <w:rPr>
          <w:i/>
          <w:iCs/>
          <w:color w:val="0070C0"/>
          <w:lang w:val="fr-BE"/>
        </w:rPr>
        <w:t>és via le BMF, conventions</w:t>
      </w:r>
      <w:r w:rsidR="005510C6">
        <w:rPr>
          <w:i/>
          <w:iCs/>
          <w:color w:val="0070C0"/>
          <w:lang w:val="fr-BE"/>
        </w:rPr>
        <w:t xml:space="preserve"> INAMI</w:t>
      </w:r>
      <w:r w:rsidR="00F106E9">
        <w:rPr>
          <w:i/>
          <w:iCs/>
          <w:color w:val="0070C0"/>
          <w:lang w:val="fr-BE"/>
        </w:rPr>
        <w:t>, contrats B4,….</w:t>
      </w:r>
    </w:p>
    <w:p w14:paraId="64E92032" w14:textId="5888CD1D" w:rsidR="008A084C" w:rsidRPr="00D71FFE" w:rsidRDefault="008A084C" w:rsidP="008A084C">
      <w:pPr>
        <w:pStyle w:val="xmsonormal"/>
        <w:ind w:left="1416"/>
        <w:jc w:val="both"/>
        <w:rPr>
          <w:lang w:val="fr-BE"/>
        </w:rPr>
      </w:pPr>
    </w:p>
    <w:p w14:paraId="637B5850" w14:textId="11D22C2F" w:rsidR="00877767" w:rsidRPr="00D71FFE" w:rsidRDefault="00877767" w:rsidP="00877767">
      <w:pPr>
        <w:pStyle w:val="xmsonormal"/>
        <w:numPr>
          <w:ilvl w:val="0"/>
          <w:numId w:val="42"/>
        </w:numPr>
        <w:jc w:val="both"/>
        <w:rPr>
          <w:lang w:val="fr-BE"/>
        </w:rPr>
      </w:pPr>
      <w:r w:rsidRPr="00D71FFE">
        <w:rPr>
          <w:lang w:val="fr-BE"/>
        </w:rPr>
        <w:t xml:space="preserve">Qui ou quel organe décide dans chaque hôpital individuel qui </w:t>
      </w:r>
      <w:r w:rsidR="005613D6">
        <w:rPr>
          <w:lang w:val="fr-BE"/>
        </w:rPr>
        <w:t>a</w:t>
      </w:r>
      <w:r w:rsidR="005613D6" w:rsidRPr="00D71FFE">
        <w:rPr>
          <w:lang w:val="fr-BE"/>
        </w:rPr>
        <w:t xml:space="preserve"> </w:t>
      </w:r>
      <w:r w:rsidRPr="00D71FFE">
        <w:rPr>
          <w:lang w:val="fr-BE"/>
        </w:rPr>
        <w:t xml:space="preserve">droit à une </w:t>
      </w:r>
      <w:r w:rsidR="005510C6">
        <w:rPr>
          <w:lang w:val="fr-BE"/>
        </w:rPr>
        <w:t>intervention</w:t>
      </w:r>
      <w:r w:rsidRPr="00D71FFE">
        <w:rPr>
          <w:lang w:val="fr-BE"/>
        </w:rPr>
        <w:t xml:space="preserve"> ? </w:t>
      </w:r>
      <w:r w:rsidR="005613D6">
        <w:rPr>
          <w:lang w:val="fr-BE"/>
        </w:rPr>
        <w:t>et quel</w:t>
      </w:r>
      <w:r w:rsidRPr="00D71FFE">
        <w:rPr>
          <w:lang w:val="fr-BE"/>
        </w:rPr>
        <w:t xml:space="preserve"> montant d</w:t>
      </w:r>
      <w:r w:rsidR="005613D6">
        <w:rPr>
          <w:lang w:val="fr-BE"/>
        </w:rPr>
        <w:t>’</w:t>
      </w:r>
      <w:r w:rsidRPr="00D71FFE">
        <w:rPr>
          <w:lang w:val="fr-BE"/>
        </w:rPr>
        <w:t xml:space="preserve"> interventions? </w:t>
      </w:r>
    </w:p>
    <w:p w14:paraId="43499CD4" w14:textId="46F5C4AA" w:rsidR="00C90B89" w:rsidRPr="00D71FFE" w:rsidRDefault="00C90B89" w:rsidP="00453520">
      <w:pPr>
        <w:pStyle w:val="xmsonormal"/>
        <w:numPr>
          <w:ilvl w:val="1"/>
          <w:numId w:val="42"/>
        </w:numPr>
        <w:jc w:val="both"/>
        <w:rPr>
          <w:i/>
          <w:iCs/>
          <w:lang w:val="fr-BE"/>
        </w:rPr>
      </w:pPr>
      <w:r w:rsidRPr="00D71FFE">
        <w:rPr>
          <w:i/>
          <w:iCs/>
          <w:lang w:val="fr-BE"/>
        </w:rPr>
        <w:t>Aucune concertation n'est requise pour la prime brute mensuelle versée aux MS</w:t>
      </w:r>
      <w:r w:rsidR="0098369E">
        <w:rPr>
          <w:i/>
          <w:iCs/>
          <w:lang w:val="fr-BE"/>
        </w:rPr>
        <w:t>F</w:t>
      </w:r>
      <w:r w:rsidR="005510C6">
        <w:rPr>
          <w:i/>
          <w:iCs/>
          <w:lang w:val="fr-BE"/>
        </w:rPr>
        <w:t>/MGF</w:t>
      </w:r>
      <w:r w:rsidRPr="00D71FFE">
        <w:rPr>
          <w:i/>
          <w:iCs/>
          <w:lang w:val="fr-BE"/>
        </w:rPr>
        <w:t>, l'instance qui paie en temps normal peut le faire immédiatement.</w:t>
      </w:r>
    </w:p>
    <w:p w14:paraId="6137AC2C" w14:textId="0C5F691D" w:rsidR="008E26A7" w:rsidRPr="00C35507" w:rsidRDefault="00227AA7" w:rsidP="00C35507">
      <w:pPr>
        <w:pStyle w:val="xmsonormal"/>
        <w:numPr>
          <w:ilvl w:val="1"/>
          <w:numId w:val="42"/>
        </w:numPr>
        <w:jc w:val="both"/>
        <w:rPr>
          <w:i/>
          <w:iCs/>
          <w:lang w:val="fr-BE"/>
        </w:rPr>
      </w:pPr>
      <w:r w:rsidRPr="00D71FFE">
        <w:rPr>
          <w:i/>
          <w:iCs/>
          <w:lang w:val="fr-BE"/>
        </w:rPr>
        <w:t xml:space="preserve">Le Conseil médical décide de l’octroi des interventions aux médecins </w:t>
      </w:r>
      <w:r w:rsidR="00A45842">
        <w:rPr>
          <w:i/>
          <w:iCs/>
          <w:lang w:val="fr-BE"/>
        </w:rPr>
        <w:t>avec le</w:t>
      </w:r>
      <w:r w:rsidRPr="00D71FFE">
        <w:rPr>
          <w:i/>
          <w:iCs/>
          <w:lang w:val="fr-BE"/>
        </w:rPr>
        <w:t xml:space="preserve"> statut d'indépendant</w:t>
      </w:r>
      <w:r w:rsidR="008E7456">
        <w:rPr>
          <w:i/>
          <w:iCs/>
          <w:lang w:val="fr-BE"/>
        </w:rPr>
        <w:t>.</w:t>
      </w:r>
      <w:r w:rsidRPr="00D71FFE">
        <w:rPr>
          <w:i/>
          <w:iCs/>
          <w:lang w:val="fr-BE"/>
        </w:rPr>
        <w:t xml:space="preserve"> </w:t>
      </w:r>
    </w:p>
    <w:p w14:paraId="6CB990C6" w14:textId="159C8595" w:rsidR="00E34F7E" w:rsidRPr="00D71FFE" w:rsidRDefault="001643A3" w:rsidP="00453520">
      <w:pPr>
        <w:pStyle w:val="xmsonormal"/>
        <w:numPr>
          <w:ilvl w:val="1"/>
          <w:numId w:val="42"/>
        </w:numPr>
        <w:jc w:val="both"/>
        <w:rPr>
          <w:i/>
          <w:iCs/>
          <w:lang w:val="fr-BE"/>
        </w:rPr>
      </w:pPr>
      <w:r w:rsidRPr="00D71FFE">
        <w:rPr>
          <w:i/>
          <w:iCs/>
          <w:lang w:val="fr-BE"/>
        </w:rPr>
        <w:t xml:space="preserve">L'hôpital décide pour les prestataires de soins qui portent le statut de salarié, ainsi que pour les prestataires de soins (autres que les médecins) avec un statut d'indépendant, à moins qu'il </w:t>
      </w:r>
      <w:r w:rsidR="008E7456">
        <w:rPr>
          <w:i/>
          <w:iCs/>
          <w:lang w:val="fr-BE"/>
        </w:rPr>
        <w:t>est établi</w:t>
      </w:r>
      <w:r w:rsidR="008E7456" w:rsidRPr="00D71FFE">
        <w:rPr>
          <w:i/>
          <w:iCs/>
          <w:lang w:val="fr-BE"/>
        </w:rPr>
        <w:t xml:space="preserve"> </w:t>
      </w:r>
      <w:r w:rsidRPr="00D71FFE">
        <w:rPr>
          <w:i/>
          <w:iCs/>
          <w:lang w:val="fr-BE"/>
        </w:rPr>
        <w:t xml:space="preserve">un organe ad hoc pour ces prestataires de soins au niveau de l'hôpital. </w:t>
      </w:r>
    </w:p>
    <w:p w14:paraId="0A53FB7F" w14:textId="52E3E0CC" w:rsidR="006F5A75" w:rsidRPr="00D71FFE" w:rsidRDefault="006F5A75" w:rsidP="006F5A75">
      <w:pPr>
        <w:pStyle w:val="xmsonormal"/>
        <w:jc w:val="both"/>
        <w:rPr>
          <w:lang w:val="fr-BE"/>
        </w:rPr>
      </w:pPr>
    </w:p>
    <w:p w14:paraId="5D187B77" w14:textId="0ED2F5D3" w:rsidR="006F5A75" w:rsidRPr="00963746" w:rsidRDefault="00410D5E" w:rsidP="006F5A75">
      <w:pPr>
        <w:pStyle w:val="xmsonormal"/>
        <w:numPr>
          <w:ilvl w:val="0"/>
          <w:numId w:val="42"/>
        </w:numPr>
        <w:jc w:val="both"/>
        <w:rPr>
          <w:color w:val="2F5496" w:themeColor="accent1" w:themeShade="BF"/>
          <w:lang w:val="fr-BE"/>
        </w:rPr>
      </w:pPr>
      <w:r w:rsidRPr="00963746">
        <w:rPr>
          <w:color w:val="2F5496" w:themeColor="accent1" w:themeShade="BF"/>
          <w:lang w:val="fr-BE"/>
        </w:rPr>
        <w:t>De quelle manière l'</w:t>
      </w:r>
      <w:r w:rsidR="00B57F86">
        <w:rPr>
          <w:color w:val="2F5496" w:themeColor="accent1" w:themeShade="BF"/>
          <w:lang w:val="fr-BE"/>
        </w:rPr>
        <w:t xml:space="preserve">attribution effective des interventions </w:t>
      </w:r>
      <w:r w:rsidRPr="00963746">
        <w:rPr>
          <w:color w:val="2F5496" w:themeColor="accent1" w:themeShade="BF"/>
          <w:lang w:val="fr-BE"/>
        </w:rPr>
        <w:t xml:space="preserve"> par hôpital sera-t-elle </w:t>
      </w:r>
      <w:r w:rsidR="00B57F86">
        <w:rPr>
          <w:color w:val="2F5496" w:themeColor="accent1" w:themeShade="BF"/>
          <w:lang w:val="fr-BE"/>
        </w:rPr>
        <w:t>vérifiée via le reporting prévu à l’article xx</w:t>
      </w:r>
      <w:r w:rsidRPr="00963746">
        <w:rPr>
          <w:color w:val="2F5496" w:themeColor="accent1" w:themeShade="BF"/>
          <w:lang w:val="fr-BE"/>
        </w:rPr>
        <w:t xml:space="preserve"> ?</w:t>
      </w:r>
    </w:p>
    <w:p w14:paraId="214539CB" w14:textId="68BA730B" w:rsidR="00410D5E" w:rsidRPr="00DB4605" w:rsidRDefault="00410D5E" w:rsidP="00D777FF">
      <w:pPr>
        <w:pStyle w:val="xmsonormal"/>
        <w:numPr>
          <w:ilvl w:val="0"/>
          <w:numId w:val="43"/>
        </w:numPr>
        <w:jc w:val="both"/>
        <w:rPr>
          <w:i/>
          <w:iCs/>
          <w:color w:val="2F5496" w:themeColor="accent1" w:themeShade="BF"/>
          <w:lang w:val="fr-BE"/>
        </w:rPr>
      </w:pPr>
      <w:r w:rsidRPr="00963746">
        <w:rPr>
          <w:i/>
          <w:iCs/>
          <w:color w:val="2F5496" w:themeColor="accent1" w:themeShade="BF"/>
          <w:lang w:val="fr-BE"/>
        </w:rPr>
        <w:t xml:space="preserve">Pour tous les budgets partiels </w:t>
      </w:r>
      <w:r w:rsidR="00B57F86">
        <w:rPr>
          <w:i/>
          <w:iCs/>
          <w:color w:val="2F5496" w:themeColor="accent1" w:themeShade="BF"/>
          <w:lang w:val="fr-BE"/>
        </w:rPr>
        <w:t>concernant les prestataires de soins habituellement rémunérés par des honoraires facturés</w:t>
      </w:r>
      <w:r w:rsidRPr="00963746">
        <w:rPr>
          <w:i/>
          <w:iCs/>
          <w:color w:val="2F5496" w:themeColor="accent1" w:themeShade="BF"/>
          <w:lang w:val="fr-BE"/>
        </w:rPr>
        <w:t xml:space="preserve">, un ‘template’ sera fourni dans lequel les critères ou principes </w:t>
      </w:r>
      <w:r w:rsidR="005613D6" w:rsidRPr="005613D6">
        <w:rPr>
          <w:i/>
          <w:iCs/>
          <w:color w:val="2F5496" w:themeColor="accent1" w:themeShade="BF"/>
          <w:lang w:val="fr-BE"/>
        </w:rPr>
        <w:t xml:space="preserve">d’attribution </w:t>
      </w:r>
      <w:r w:rsidRPr="00963746">
        <w:rPr>
          <w:i/>
          <w:iCs/>
          <w:color w:val="2F5496" w:themeColor="accent1" w:themeShade="BF"/>
          <w:lang w:val="fr-BE"/>
        </w:rPr>
        <w:t>pourront être inclus</w:t>
      </w:r>
      <w:r w:rsidR="005613D6">
        <w:rPr>
          <w:i/>
          <w:iCs/>
          <w:color w:val="2F5496" w:themeColor="accent1" w:themeShade="BF"/>
          <w:lang w:val="fr-BE"/>
        </w:rPr>
        <w:t xml:space="preserve"> </w:t>
      </w:r>
      <w:r w:rsidRPr="00D777FF">
        <w:rPr>
          <w:i/>
          <w:iCs/>
          <w:color w:val="2F5496" w:themeColor="accent1" w:themeShade="BF"/>
          <w:lang w:val="fr-BE"/>
        </w:rPr>
        <w:t>pour chaque budget partiel. Une attention particulière sera accordée à l'</w:t>
      </w:r>
      <w:r w:rsidR="006D4ED7" w:rsidRPr="00D777FF">
        <w:rPr>
          <w:i/>
          <w:iCs/>
          <w:color w:val="2F5496" w:themeColor="accent1" w:themeShade="BF"/>
          <w:lang w:val="fr-BE"/>
        </w:rPr>
        <w:t>attribution</w:t>
      </w:r>
      <w:r w:rsidRPr="00DB4605">
        <w:rPr>
          <w:i/>
          <w:iCs/>
          <w:color w:val="2F5496" w:themeColor="accent1" w:themeShade="BF"/>
          <w:lang w:val="fr-BE"/>
        </w:rPr>
        <w:t xml:space="preserve"> aux MSF/MGF.</w:t>
      </w:r>
    </w:p>
    <w:p w14:paraId="0B33CBA7" w14:textId="77777777" w:rsidR="006F5A75" w:rsidRPr="00074121" w:rsidRDefault="006F5A75" w:rsidP="006F5A75">
      <w:pPr>
        <w:pStyle w:val="xmsonormal"/>
        <w:jc w:val="both"/>
        <w:rPr>
          <w:lang w:val="fr-BE"/>
        </w:rPr>
      </w:pPr>
    </w:p>
    <w:p w14:paraId="7B4ADF44" w14:textId="2E1AB687" w:rsidR="006A0565" w:rsidRPr="00D71FFE" w:rsidRDefault="006A0565" w:rsidP="003721DC">
      <w:pPr>
        <w:pStyle w:val="xmsonormal"/>
        <w:numPr>
          <w:ilvl w:val="0"/>
          <w:numId w:val="42"/>
        </w:numPr>
        <w:jc w:val="both"/>
        <w:rPr>
          <w:lang w:val="fr-BE"/>
        </w:rPr>
      </w:pPr>
      <w:r w:rsidRPr="00D71FFE">
        <w:rPr>
          <w:lang w:val="fr-BE"/>
        </w:rPr>
        <w:t xml:space="preserve">Un </w:t>
      </w:r>
      <w:r w:rsidRPr="00D71FFE">
        <w:rPr>
          <w:b/>
          <w:bCs/>
          <w:lang w:val="fr-BE"/>
        </w:rPr>
        <w:t>délai</w:t>
      </w:r>
      <w:r w:rsidRPr="00D71FFE">
        <w:rPr>
          <w:lang w:val="fr-BE"/>
        </w:rPr>
        <w:t xml:space="preserve"> a-t-il été fixé pour les paiements aux bénéficiaires désignés par le Conseil médical (y compris les MSF et les MGF qui suivent un stage en milieu hospitalier) ?</w:t>
      </w:r>
    </w:p>
    <w:p w14:paraId="0D394BC6" w14:textId="021CF6DF" w:rsidR="00931BEC" w:rsidRPr="00963746" w:rsidRDefault="006A0565" w:rsidP="009B0E62">
      <w:pPr>
        <w:pStyle w:val="Lijstalinea"/>
        <w:numPr>
          <w:ilvl w:val="0"/>
          <w:numId w:val="43"/>
        </w:numPr>
        <w:rPr>
          <w:rFonts w:ascii="Calibri" w:hAnsi="Calibri" w:cs="Calibri"/>
          <w:i/>
          <w:iCs/>
          <w:color w:val="2F5496" w:themeColor="accent1" w:themeShade="BF"/>
          <w:lang w:val="fr-BE" w:eastAsia="nl-BE"/>
        </w:rPr>
      </w:pPr>
      <w:r w:rsidRPr="009B0E62">
        <w:rPr>
          <w:i/>
          <w:iCs/>
          <w:lang w:val="fr-BE"/>
        </w:rPr>
        <w:t>L’AR</w:t>
      </w:r>
      <w:r w:rsidR="009B0E62" w:rsidRPr="009B0E62">
        <w:rPr>
          <w:i/>
          <w:iCs/>
          <w:lang w:val="fr-BE"/>
        </w:rPr>
        <w:t xml:space="preserve"> actuel IFFE </w:t>
      </w:r>
      <w:r w:rsidRPr="009B0E62">
        <w:rPr>
          <w:i/>
          <w:iCs/>
          <w:lang w:val="fr-BE"/>
        </w:rPr>
        <w:t>n’impose de délais de paiement pour aucun bénéficiaire. Seuls les décomptes provisoires ou définitifs aux hôpitaux ont été prévus, jamais le délai d’utilisation ou d’exécution par l’hôpital ou par le Conseil médical</w:t>
      </w:r>
      <w:r w:rsidRPr="00963746">
        <w:rPr>
          <w:i/>
          <w:iCs/>
          <w:color w:val="2F5496" w:themeColor="accent1" w:themeShade="BF"/>
          <w:lang w:val="fr-BE"/>
        </w:rPr>
        <w:t>.</w:t>
      </w:r>
      <w:r w:rsidR="009B0E62" w:rsidRPr="00963746">
        <w:rPr>
          <w:i/>
          <w:iCs/>
          <w:color w:val="2F5496" w:themeColor="accent1" w:themeShade="BF"/>
          <w:lang w:val="fr-BE"/>
        </w:rPr>
        <w:t xml:space="preserve"> </w:t>
      </w:r>
      <w:r w:rsidR="009B0E62" w:rsidRPr="00963746">
        <w:rPr>
          <w:rFonts w:ascii="Calibri" w:hAnsi="Calibri" w:cs="Calibri"/>
          <w:i/>
          <w:iCs/>
          <w:color w:val="2F5496" w:themeColor="accent1" w:themeShade="BF"/>
          <w:lang w:val="fr-BE" w:eastAsia="nl-BE"/>
        </w:rPr>
        <w:t>L</w:t>
      </w:r>
      <w:r w:rsidR="005613D6">
        <w:rPr>
          <w:rFonts w:ascii="Calibri" w:hAnsi="Calibri" w:cs="Calibri"/>
          <w:i/>
          <w:iCs/>
          <w:color w:val="2F5496" w:themeColor="accent1" w:themeShade="BF"/>
          <w:lang w:val="fr-BE" w:eastAsia="nl-BE"/>
        </w:rPr>
        <w:t>a modification de l’</w:t>
      </w:r>
      <w:r w:rsidR="009B0E62" w:rsidRPr="00963746">
        <w:rPr>
          <w:rFonts w:ascii="Calibri" w:hAnsi="Calibri" w:cs="Calibri"/>
          <w:i/>
          <w:iCs/>
          <w:color w:val="2F5496" w:themeColor="accent1" w:themeShade="BF"/>
          <w:lang w:val="fr-BE" w:eastAsia="nl-BE"/>
        </w:rPr>
        <w:t>AR IFFE prévoira un délai de paiement, en tout cas pour les MSF</w:t>
      </w:r>
      <w:r w:rsidR="006D4ED7">
        <w:rPr>
          <w:rFonts w:ascii="Calibri" w:hAnsi="Calibri" w:cs="Calibri"/>
          <w:i/>
          <w:iCs/>
          <w:color w:val="2F5496" w:themeColor="accent1" w:themeShade="BF"/>
          <w:lang w:val="fr-BE" w:eastAsia="nl-BE"/>
        </w:rPr>
        <w:t>/MGF</w:t>
      </w:r>
      <w:r w:rsidR="009B0E62" w:rsidRPr="00963746">
        <w:rPr>
          <w:rFonts w:ascii="Calibri" w:hAnsi="Calibri" w:cs="Calibri"/>
          <w:i/>
          <w:iCs/>
          <w:color w:val="2F5496" w:themeColor="accent1" w:themeShade="BF"/>
          <w:lang w:val="fr-BE" w:eastAsia="nl-BE"/>
        </w:rPr>
        <w:t>.</w:t>
      </w:r>
    </w:p>
    <w:p w14:paraId="741331B4" w14:textId="6A084E5C" w:rsidR="009B0E62" w:rsidRPr="00963746" w:rsidRDefault="00931BEC" w:rsidP="003849CF">
      <w:pPr>
        <w:pStyle w:val="Lijstalinea"/>
        <w:numPr>
          <w:ilvl w:val="0"/>
          <w:numId w:val="43"/>
        </w:numPr>
        <w:rPr>
          <w:i/>
          <w:iCs/>
          <w:color w:val="2F5496" w:themeColor="accent1" w:themeShade="BF"/>
          <w:lang w:val="fr-BE"/>
        </w:rPr>
      </w:pPr>
      <w:r w:rsidRPr="00963746">
        <w:rPr>
          <w:rFonts w:ascii="Calibri" w:hAnsi="Calibri" w:cs="Calibri"/>
          <w:i/>
          <w:iCs/>
          <w:color w:val="2F5496" w:themeColor="accent1" w:themeShade="BF"/>
          <w:lang w:val="fr-BE" w:eastAsia="nl-BE"/>
        </w:rPr>
        <w:t xml:space="preserve">Les hôpitaux ont reçu </w:t>
      </w:r>
      <w:r w:rsidR="005613D6">
        <w:rPr>
          <w:rFonts w:ascii="Calibri" w:hAnsi="Calibri" w:cs="Calibri"/>
          <w:i/>
          <w:iCs/>
          <w:color w:val="2F5496" w:themeColor="accent1" w:themeShade="BF"/>
          <w:lang w:val="fr-BE" w:eastAsia="nl-BE"/>
        </w:rPr>
        <w:t>deux</w:t>
      </w:r>
      <w:r w:rsidR="005613D6" w:rsidRPr="00963746">
        <w:rPr>
          <w:rFonts w:ascii="Calibri" w:hAnsi="Calibri" w:cs="Calibri"/>
          <w:i/>
          <w:iCs/>
          <w:color w:val="2F5496" w:themeColor="accent1" w:themeShade="BF"/>
          <w:lang w:val="fr-BE" w:eastAsia="nl-BE"/>
        </w:rPr>
        <w:t xml:space="preserve"> </w:t>
      </w:r>
      <w:r w:rsidRPr="00963746">
        <w:rPr>
          <w:rFonts w:ascii="Calibri" w:hAnsi="Calibri" w:cs="Calibri"/>
          <w:i/>
          <w:iCs/>
          <w:color w:val="2F5496" w:themeColor="accent1" w:themeShade="BF"/>
          <w:lang w:val="fr-BE" w:eastAsia="nl-BE"/>
        </w:rPr>
        <w:t>circulaire</w:t>
      </w:r>
      <w:r w:rsidR="005613D6">
        <w:rPr>
          <w:rFonts w:ascii="Calibri" w:hAnsi="Calibri" w:cs="Calibri"/>
          <w:i/>
          <w:iCs/>
          <w:color w:val="2F5496" w:themeColor="accent1" w:themeShade="BF"/>
          <w:lang w:val="fr-BE" w:eastAsia="nl-BE"/>
        </w:rPr>
        <w:t>s,</w:t>
      </w:r>
      <w:r w:rsidR="00D777FF">
        <w:rPr>
          <w:rFonts w:ascii="Calibri" w:hAnsi="Calibri" w:cs="Calibri"/>
          <w:i/>
          <w:iCs/>
          <w:color w:val="2F5496" w:themeColor="accent1" w:themeShade="BF"/>
          <w:lang w:val="fr-BE" w:eastAsia="nl-BE"/>
        </w:rPr>
        <w:t xml:space="preserve"> </w:t>
      </w:r>
      <w:r w:rsidR="005613D6">
        <w:rPr>
          <w:rFonts w:ascii="Calibri" w:hAnsi="Calibri" w:cs="Calibri"/>
          <w:i/>
          <w:iCs/>
          <w:color w:val="2F5496" w:themeColor="accent1" w:themeShade="BF"/>
          <w:lang w:val="fr-BE" w:eastAsia="nl-BE"/>
        </w:rPr>
        <w:t xml:space="preserve">du </w:t>
      </w:r>
      <w:r w:rsidRPr="00963746">
        <w:rPr>
          <w:rFonts w:ascii="Calibri" w:hAnsi="Calibri" w:cs="Calibri"/>
          <w:i/>
          <w:iCs/>
          <w:color w:val="2F5496" w:themeColor="accent1" w:themeShade="BF"/>
          <w:lang w:val="fr-BE" w:eastAsia="nl-BE"/>
        </w:rPr>
        <w:t xml:space="preserve">17 décembre 2020 et </w:t>
      </w:r>
      <w:r w:rsidR="005613D6">
        <w:rPr>
          <w:rFonts w:ascii="Calibri" w:hAnsi="Calibri" w:cs="Calibri"/>
          <w:i/>
          <w:iCs/>
          <w:color w:val="2F5496" w:themeColor="accent1" w:themeShade="BF"/>
          <w:lang w:val="fr-BE" w:eastAsia="nl-BE"/>
        </w:rPr>
        <w:t xml:space="preserve">du </w:t>
      </w:r>
      <w:r w:rsidRPr="00963746">
        <w:rPr>
          <w:rFonts w:ascii="Calibri" w:hAnsi="Calibri" w:cs="Calibri"/>
          <w:i/>
          <w:iCs/>
          <w:color w:val="2F5496" w:themeColor="accent1" w:themeShade="BF"/>
          <w:lang w:val="fr-BE" w:eastAsia="nl-BE"/>
        </w:rPr>
        <w:t>5 mars 2021</w:t>
      </w:r>
      <w:r w:rsidR="005613D6">
        <w:rPr>
          <w:rFonts w:ascii="Calibri" w:hAnsi="Calibri" w:cs="Calibri"/>
          <w:i/>
          <w:iCs/>
          <w:color w:val="2F5496" w:themeColor="accent1" w:themeShade="BF"/>
          <w:lang w:val="fr-BE" w:eastAsia="nl-BE"/>
        </w:rPr>
        <w:t>,</w:t>
      </w:r>
      <w:r w:rsidRPr="00963746">
        <w:rPr>
          <w:rFonts w:ascii="Calibri" w:hAnsi="Calibri" w:cs="Calibri"/>
          <w:i/>
          <w:iCs/>
          <w:color w:val="2F5496" w:themeColor="accent1" w:themeShade="BF"/>
          <w:lang w:val="fr-BE" w:eastAsia="nl-BE"/>
        </w:rPr>
        <w:t xml:space="preserve"> concernant les interventions pour les MSF et MGF, dans </w:t>
      </w:r>
      <w:r w:rsidR="007F2DB5">
        <w:rPr>
          <w:rFonts w:ascii="Calibri" w:hAnsi="Calibri" w:cs="Calibri"/>
          <w:i/>
          <w:iCs/>
          <w:color w:val="2F5496" w:themeColor="accent1" w:themeShade="BF"/>
          <w:lang w:val="fr-BE" w:eastAsia="nl-BE"/>
        </w:rPr>
        <w:t>lesquelles</w:t>
      </w:r>
      <w:r w:rsidR="007F2DB5" w:rsidRPr="00963746">
        <w:rPr>
          <w:rFonts w:ascii="Calibri" w:hAnsi="Calibri" w:cs="Calibri"/>
          <w:i/>
          <w:iCs/>
          <w:color w:val="2F5496" w:themeColor="accent1" w:themeShade="BF"/>
          <w:lang w:val="fr-BE" w:eastAsia="nl-BE"/>
        </w:rPr>
        <w:t xml:space="preserve"> </w:t>
      </w:r>
      <w:r w:rsidRPr="00963746">
        <w:rPr>
          <w:rFonts w:ascii="Calibri" w:hAnsi="Calibri" w:cs="Calibri"/>
          <w:i/>
          <w:iCs/>
          <w:color w:val="2F5496" w:themeColor="accent1" w:themeShade="BF"/>
          <w:lang w:val="fr-BE" w:eastAsia="nl-BE"/>
        </w:rPr>
        <w:t>il est demandé, en plus du paiement habituel de la rémunération de base, de verser le plus rapidement possible l’intervention unique exceptionnell</w:t>
      </w:r>
      <w:r w:rsidR="007F2DB5">
        <w:rPr>
          <w:rFonts w:ascii="Calibri" w:hAnsi="Calibri" w:cs="Calibri"/>
          <w:i/>
          <w:iCs/>
          <w:color w:val="2F5496" w:themeColor="accent1" w:themeShade="BF"/>
          <w:lang w:val="fr-BE" w:eastAsia="nl-BE"/>
        </w:rPr>
        <w:t xml:space="preserve">e de 985 euros </w:t>
      </w:r>
      <w:r w:rsidRPr="00963746">
        <w:rPr>
          <w:rFonts w:ascii="Calibri" w:hAnsi="Calibri" w:cs="Calibri"/>
          <w:i/>
          <w:iCs/>
          <w:color w:val="2F5496" w:themeColor="accent1" w:themeShade="BF"/>
          <w:lang w:val="fr-BE" w:eastAsia="nl-BE"/>
        </w:rPr>
        <w:t xml:space="preserve"> </w:t>
      </w:r>
      <w:r w:rsidR="007F2DB5">
        <w:rPr>
          <w:rFonts w:ascii="Calibri" w:hAnsi="Calibri" w:cs="Calibri"/>
          <w:i/>
          <w:iCs/>
          <w:color w:val="2F5496" w:themeColor="accent1" w:themeShade="BF"/>
          <w:lang w:val="fr-BE" w:eastAsia="nl-BE"/>
        </w:rPr>
        <w:t>aux</w:t>
      </w:r>
      <w:r w:rsidRPr="00963746">
        <w:rPr>
          <w:rFonts w:ascii="Calibri" w:hAnsi="Calibri" w:cs="Calibri"/>
          <w:i/>
          <w:iCs/>
          <w:color w:val="2F5496" w:themeColor="accent1" w:themeShade="BF"/>
          <w:lang w:val="fr-BE" w:eastAsia="nl-BE"/>
        </w:rPr>
        <w:t xml:space="preserve"> MSF et MGF et au plus tard pour le 30 avril 2021. Dans ce</w:t>
      </w:r>
      <w:r w:rsidR="007F2DB5">
        <w:rPr>
          <w:rFonts w:ascii="Calibri" w:hAnsi="Calibri" w:cs="Calibri"/>
          <w:i/>
          <w:iCs/>
          <w:color w:val="2F5496" w:themeColor="accent1" w:themeShade="BF"/>
          <w:lang w:val="fr-BE" w:eastAsia="nl-BE"/>
        </w:rPr>
        <w:t>s</w:t>
      </w:r>
      <w:r w:rsidRPr="00963746">
        <w:rPr>
          <w:rFonts w:ascii="Calibri" w:hAnsi="Calibri" w:cs="Calibri"/>
          <w:i/>
          <w:iCs/>
          <w:color w:val="2F5496" w:themeColor="accent1" w:themeShade="BF"/>
          <w:lang w:val="fr-BE" w:eastAsia="nl-BE"/>
        </w:rPr>
        <w:t xml:space="preserve"> circulaire</w:t>
      </w:r>
      <w:r w:rsidR="007F2DB5">
        <w:rPr>
          <w:rFonts w:ascii="Calibri" w:hAnsi="Calibri" w:cs="Calibri"/>
          <w:i/>
          <w:iCs/>
          <w:color w:val="2F5496" w:themeColor="accent1" w:themeShade="BF"/>
          <w:lang w:val="fr-BE" w:eastAsia="nl-BE"/>
        </w:rPr>
        <w:t>s</w:t>
      </w:r>
      <w:r w:rsidRPr="00963746">
        <w:rPr>
          <w:rFonts w:ascii="Calibri" w:hAnsi="Calibri" w:cs="Calibri"/>
          <w:i/>
          <w:iCs/>
          <w:color w:val="2F5496" w:themeColor="accent1" w:themeShade="BF"/>
          <w:lang w:val="fr-BE" w:eastAsia="nl-BE"/>
        </w:rPr>
        <w:t xml:space="preserve">, </w:t>
      </w:r>
      <w:r w:rsidR="007F2DB5">
        <w:rPr>
          <w:rFonts w:ascii="Calibri" w:hAnsi="Calibri" w:cs="Calibri"/>
          <w:i/>
          <w:iCs/>
          <w:color w:val="2F5496" w:themeColor="accent1" w:themeShade="BF"/>
          <w:lang w:val="fr-BE" w:eastAsia="nl-BE"/>
        </w:rPr>
        <w:t xml:space="preserve">le ministre </w:t>
      </w:r>
      <w:r w:rsidRPr="00963746">
        <w:rPr>
          <w:rFonts w:ascii="Calibri" w:hAnsi="Calibri" w:cs="Calibri"/>
          <w:i/>
          <w:iCs/>
          <w:color w:val="2F5496" w:themeColor="accent1" w:themeShade="BF"/>
          <w:lang w:val="fr-BE" w:eastAsia="nl-BE"/>
        </w:rPr>
        <w:t xml:space="preserve">insiste aussi pour que toutes les obligations vis-à-vis des médecins en formation soient respectées le plus rapidement possible.  Si l’hôpital qui perçoit les interventions pour ces mesures (= l’hôpital où le MSF et le MGF sont employés) n’est pas l’organisme de paiement habituel, </w:t>
      </w:r>
      <w:r w:rsidR="007F2DB5">
        <w:rPr>
          <w:rFonts w:ascii="Calibri" w:hAnsi="Calibri" w:cs="Calibri"/>
          <w:i/>
          <w:iCs/>
          <w:color w:val="2F5496" w:themeColor="accent1" w:themeShade="BF"/>
          <w:lang w:val="fr-BE" w:eastAsia="nl-BE"/>
        </w:rPr>
        <w:t>il est</w:t>
      </w:r>
      <w:r w:rsidR="007F2DB5" w:rsidRPr="00963746">
        <w:rPr>
          <w:rFonts w:ascii="Calibri" w:hAnsi="Calibri" w:cs="Calibri"/>
          <w:i/>
          <w:iCs/>
          <w:color w:val="2F5496" w:themeColor="accent1" w:themeShade="BF"/>
          <w:lang w:val="fr-BE" w:eastAsia="nl-BE"/>
        </w:rPr>
        <w:t xml:space="preserve"> </w:t>
      </w:r>
      <w:r w:rsidRPr="00963746">
        <w:rPr>
          <w:rFonts w:ascii="Calibri" w:hAnsi="Calibri" w:cs="Calibri"/>
          <w:i/>
          <w:iCs/>
          <w:color w:val="2F5496" w:themeColor="accent1" w:themeShade="BF"/>
          <w:lang w:val="fr-BE" w:eastAsia="nl-BE"/>
        </w:rPr>
        <w:t>demand</w:t>
      </w:r>
      <w:r w:rsidR="007F2DB5">
        <w:rPr>
          <w:rFonts w:ascii="Calibri" w:hAnsi="Calibri" w:cs="Calibri"/>
          <w:i/>
          <w:iCs/>
          <w:color w:val="2F5496" w:themeColor="accent1" w:themeShade="BF"/>
          <w:lang w:val="fr-BE" w:eastAsia="nl-BE"/>
        </w:rPr>
        <w:t>é</w:t>
      </w:r>
      <w:r w:rsidRPr="00963746">
        <w:rPr>
          <w:rFonts w:ascii="Calibri" w:hAnsi="Calibri" w:cs="Calibri"/>
          <w:i/>
          <w:iCs/>
          <w:color w:val="2F5496" w:themeColor="accent1" w:themeShade="BF"/>
          <w:lang w:val="fr-BE" w:eastAsia="nl-BE"/>
        </w:rPr>
        <w:t xml:space="preserve"> que les accords nécessaires soient pris </w:t>
      </w:r>
      <w:r w:rsidR="007F2DB5">
        <w:rPr>
          <w:rFonts w:ascii="Calibri" w:hAnsi="Calibri" w:cs="Calibri"/>
          <w:i/>
          <w:iCs/>
          <w:color w:val="2F5496" w:themeColor="accent1" w:themeShade="BF"/>
          <w:lang w:val="fr-BE" w:eastAsia="nl-BE"/>
        </w:rPr>
        <w:t>rapidement</w:t>
      </w:r>
      <w:r w:rsidRPr="00963746">
        <w:rPr>
          <w:rFonts w:ascii="Calibri" w:hAnsi="Calibri" w:cs="Calibri"/>
          <w:i/>
          <w:iCs/>
          <w:color w:val="2F5496" w:themeColor="accent1" w:themeShade="BF"/>
          <w:lang w:val="fr-BE" w:eastAsia="nl-BE"/>
        </w:rPr>
        <w:t xml:space="preserve"> avec l’organisme de paiement. </w:t>
      </w:r>
      <w:r w:rsidR="007F2DB5">
        <w:rPr>
          <w:rFonts w:ascii="Calibri" w:hAnsi="Calibri" w:cs="Calibri"/>
          <w:i/>
          <w:iCs/>
          <w:color w:val="2F5496" w:themeColor="accent1" w:themeShade="BF"/>
          <w:lang w:val="fr-BE" w:eastAsia="nl-BE"/>
        </w:rPr>
        <w:t>De</w:t>
      </w:r>
      <w:r w:rsidRPr="00963746">
        <w:rPr>
          <w:rFonts w:ascii="Calibri" w:hAnsi="Calibri" w:cs="Calibri"/>
          <w:i/>
          <w:iCs/>
          <w:color w:val="2F5496" w:themeColor="accent1" w:themeShade="BF"/>
          <w:lang w:val="fr-BE" w:eastAsia="nl-BE"/>
        </w:rPr>
        <w:t xml:space="preserve"> plus amples explications </w:t>
      </w:r>
      <w:r w:rsidR="007F2DB5">
        <w:rPr>
          <w:rFonts w:ascii="Calibri" w:hAnsi="Calibri" w:cs="Calibri"/>
          <w:i/>
          <w:iCs/>
          <w:color w:val="2F5496" w:themeColor="accent1" w:themeShade="BF"/>
          <w:lang w:val="fr-BE" w:eastAsia="nl-BE"/>
        </w:rPr>
        <w:t xml:space="preserve">sont indiquées </w:t>
      </w:r>
      <w:r w:rsidRPr="00963746">
        <w:rPr>
          <w:rFonts w:ascii="Calibri" w:hAnsi="Calibri" w:cs="Calibri"/>
          <w:i/>
          <w:iCs/>
          <w:color w:val="2F5496" w:themeColor="accent1" w:themeShade="BF"/>
          <w:lang w:val="fr-BE" w:eastAsia="nl-BE"/>
        </w:rPr>
        <w:t>dans la FAQ consacrée aux MSF et MGF.</w:t>
      </w:r>
    </w:p>
    <w:p w14:paraId="7BD47FF5" w14:textId="43633AE0" w:rsidR="003E7AB2" w:rsidRPr="00D71FFE" w:rsidRDefault="003E7AB2" w:rsidP="003E7AB2">
      <w:pPr>
        <w:pStyle w:val="xmsonormal"/>
        <w:numPr>
          <w:ilvl w:val="0"/>
          <w:numId w:val="42"/>
        </w:numPr>
        <w:jc w:val="both"/>
        <w:rPr>
          <w:lang w:val="fr-BE"/>
        </w:rPr>
      </w:pPr>
      <w:r w:rsidRPr="00D71FFE">
        <w:rPr>
          <w:lang w:val="fr-BE"/>
        </w:rPr>
        <w:lastRenderedPageBreak/>
        <w:t>Comment le gouvernement assurera-t-il le suivi de l’octroi des rémunérations ?</w:t>
      </w:r>
    </w:p>
    <w:p w14:paraId="223DDB7B" w14:textId="77777777" w:rsidR="003E7AB2" w:rsidRPr="00D71FFE" w:rsidRDefault="003E7AB2" w:rsidP="003E7AB2">
      <w:pPr>
        <w:pStyle w:val="xmsonormal"/>
        <w:numPr>
          <w:ilvl w:val="0"/>
          <w:numId w:val="43"/>
        </w:numPr>
        <w:jc w:val="both"/>
        <w:rPr>
          <w:i/>
          <w:iCs/>
          <w:lang w:val="fr-BE"/>
        </w:rPr>
      </w:pPr>
      <w:r w:rsidRPr="00D71FFE">
        <w:rPr>
          <w:i/>
          <w:iCs/>
          <w:lang w:val="fr-BE"/>
        </w:rPr>
        <w:t xml:space="preserve">L’AR IFFE prévoit que les hôpitaux doivent faire rapport de l’utilisation des montants à l’autorité (cf. art.  8, §7 et art. 10, 3.) </w:t>
      </w:r>
    </w:p>
    <w:p w14:paraId="3A19D2BA" w14:textId="448605B0" w:rsidR="003E7AB2" w:rsidRPr="00D71FFE" w:rsidRDefault="003E7AB2" w:rsidP="003E7AB2">
      <w:pPr>
        <w:pStyle w:val="xmsonormal"/>
        <w:numPr>
          <w:ilvl w:val="0"/>
          <w:numId w:val="43"/>
        </w:numPr>
        <w:jc w:val="both"/>
        <w:rPr>
          <w:i/>
          <w:iCs/>
          <w:lang w:val="fr-BE"/>
        </w:rPr>
      </w:pPr>
      <w:r w:rsidRPr="00D71FFE">
        <w:rPr>
          <w:i/>
          <w:iCs/>
          <w:lang w:val="fr-BE"/>
        </w:rPr>
        <w:t>Pour la partie MSF, un reporting très détaillé sera demandé, en tenant compte de toutes les parties allouées (rémunération de base, prime brute mensuelle de 250 €, rémunérations de garde et permanence – et la prime du second semestre). La façon dont le Conseil médical a réparti le budget et a alloué les montants individuels et globaux pourra donc être vérifiée pour chaque hôpital.</w:t>
      </w:r>
    </w:p>
    <w:p w14:paraId="6C39BC7A" w14:textId="69266DDE" w:rsidR="00983AD3" w:rsidRPr="00D71FFE" w:rsidRDefault="00983AD3" w:rsidP="003E7AB2">
      <w:pPr>
        <w:pStyle w:val="xmsonormal"/>
        <w:numPr>
          <w:ilvl w:val="0"/>
          <w:numId w:val="43"/>
        </w:numPr>
        <w:jc w:val="both"/>
        <w:rPr>
          <w:i/>
          <w:iCs/>
          <w:lang w:val="fr-BE"/>
        </w:rPr>
      </w:pPr>
      <w:r w:rsidRPr="00D71FFE">
        <w:rPr>
          <w:i/>
          <w:iCs/>
          <w:lang w:val="fr-BE"/>
        </w:rPr>
        <w:t xml:space="preserve">Un outil de reporting adapté sera transmis aux hôpitaux en 2021, à compléter et à transmettre obligatoirement aux administrations. </w:t>
      </w:r>
    </w:p>
    <w:p w14:paraId="27BABD59" w14:textId="77777777" w:rsidR="0012237E" w:rsidRPr="00D71FFE" w:rsidRDefault="0012237E" w:rsidP="0012237E">
      <w:pPr>
        <w:pStyle w:val="xmsonormal"/>
        <w:ind w:left="1440"/>
        <w:jc w:val="both"/>
        <w:rPr>
          <w:i/>
          <w:iCs/>
          <w:lang w:val="fr-BE"/>
        </w:rPr>
      </w:pPr>
    </w:p>
    <w:p w14:paraId="3889B701" w14:textId="175A4128" w:rsidR="00CE358B" w:rsidRPr="00D71FFE" w:rsidRDefault="00C114CE" w:rsidP="00A45966">
      <w:pPr>
        <w:pStyle w:val="xmsonormal"/>
        <w:numPr>
          <w:ilvl w:val="0"/>
          <w:numId w:val="42"/>
        </w:numPr>
        <w:rPr>
          <w:lang w:val="fr-BE"/>
        </w:rPr>
      </w:pPr>
      <w:r w:rsidRPr="00D71FFE">
        <w:rPr>
          <w:lang w:val="fr-BE"/>
        </w:rPr>
        <w:t>Les budgets partiels sont établis sur la base du financement existant pour les activités connues et rémunérées. Chaque budget partiel doit-il également être accordé au bénéficiaire habituel de cette rémunération ?</w:t>
      </w:r>
    </w:p>
    <w:p w14:paraId="7EBAEA1A" w14:textId="77777777" w:rsidR="001A69AD" w:rsidRPr="00D71FFE" w:rsidRDefault="001A69AD" w:rsidP="00263EB9">
      <w:pPr>
        <w:pStyle w:val="xmsonormal"/>
        <w:numPr>
          <w:ilvl w:val="0"/>
          <w:numId w:val="43"/>
        </w:numPr>
        <w:jc w:val="both"/>
        <w:rPr>
          <w:i/>
          <w:iCs/>
          <w:lang w:val="fr-BE"/>
        </w:rPr>
      </w:pPr>
      <w:r w:rsidRPr="00D71FFE">
        <w:rPr>
          <w:i/>
          <w:iCs/>
          <w:lang w:val="fr-BE"/>
        </w:rPr>
        <w:t xml:space="preserve">L’article 6, § 2, du Chapitre 4 de l'AR dresse la liste des activités supplémentaires qui pourraient être réalisées par des prestataires de soins habituellement financés par des honoraires, pour la bonne organisation des soins COVID-19. </w:t>
      </w:r>
    </w:p>
    <w:p w14:paraId="6852C124" w14:textId="7C0AE38A" w:rsidR="009671FA" w:rsidRDefault="001A69AD" w:rsidP="009671FA">
      <w:pPr>
        <w:spacing w:after="0"/>
        <w:ind w:left="1416"/>
        <w:jc w:val="both"/>
        <w:rPr>
          <w:i/>
          <w:iCs/>
          <w:lang w:val="fr-BE"/>
        </w:rPr>
      </w:pPr>
      <w:r w:rsidRPr="00D71FFE">
        <w:rPr>
          <w:i/>
          <w:iCs/>
          <w:lang w:val="fr-BE"/>
        </w:rPr>
        <w:t xml:space="preserve">Une intervention est prévue pour chacune de ces activités supplémentaires (cf. budgets au §3 de l'AR). Ces budgets partiels rassemblés représentent le montant disponible pour les prestataires de soins rémunérés par des honoraires, et sont calculés par hôpital. </w:t>
      </w:r>
    </w:p>
    <w:p w14:paraId="3FC077D6" w14:textId="77777777" w:rsidR="00931BEC" w:rsidRPr="00D71FFE" w:rsidRDefault="00931BEC" w:rsidP="00931BEC">
      <w:pPr>
        <w:pStyle w:val="Lijstalinea"/>
        <w:ind w:left="1440"/>
        <w:jc w:val="both"/>
        <w:rPr>
          <w:i/>
          <w:iCs/>
          <w:lang w:val="fr-BE"/>
        </w:rPr>
      </w:pPr>
      <w:r w:rsidRPr="00D71FFE">
        <w:rPr>
          <w:i/>
          <w:iCs/>
          <w:lang w:val="fr-BE"/>
        </w:rPr>
        <w:t>La destination finale de ces moyens, pour des activités COVID qui ne peuvent pas être facturées mais qui s’avèrent nécessaires, sera discutée et décidée par l'organe adéquat. Les activités énumérées dans l’AR servent ici surtout de fil conducteur, mais ce sont les efforts supplémentaires fournis au sein de l'hôpital qui détermineront l’attribution de ces interventions.</w:t>
      </w:r>
    </w:p>
    <w:p w14:paraId="03745083" w14:textId="654A9551" w:rsidR="001A69AD" w:rsidRDefault="001A69AD" w:rsidP="009671FA">
      <w:pPr>
        <w:spacing w:after="0"/>
        <w:ind w:left="1416"/>
        <w:jc w:val="both"/>
        <w:rPr>
          <w:i/>
          <w:iCs/>
          <w:lang w:val="fr-BE"/>
        </w:rPr>
      </w:pPr>
      <w:r w:rsidRPr="00D71FFE">
        <w:rPr>
          <w:i/>
          <w:iCs/>
          <w:lang w:val="fr-BE"/>
        </w:rPr>
        <w:t>Seule la prime brute mensuelle (250 € + cotisations sociales à charge de l'employeur) octroyée à chaque MSF est fixée, aussi bien en termes de bénéficiaires que de montant.</w:t>
      </w:r>
    </w:p>
    <w:p w14:paraId="794F2C6C" w14:textId="77777777" w:rsidR="00931BEC" w:rsidRPr="00963746" w:rsidRDefault="00931BEC" w:rsidP="009671FA">
      <w:pPr>
        <w:spacing w:after="0"/>
        <w:ind w:left="1416"/>
        <w:jc w:val="both"/>
        <w:rPr>
          <w:i/>
          <w:iCs/>
          <w:color w:val="2F5496" w:themeColor="accent1" w:themeShade="BF"/>
          <w:lang w:val="fr-BE"/>
        </w:rPr>
      </w:pPr>
    </w:p>
    <w:p w14:paraId="798B9B27" w14:textId="3571E6EA" w:rsidR="00931BEC" w:rsidRPr="00963746" w:rsidRDefault="00931BEC">
      <w:pPr>
        <w:spacing w:after="0"/>
        <w:ind w:left="1416"/>
        <w:jc w:val="both"/>
        <w:rPr>
          <w:i/>
          <w:iCs/>
          <w:color w:val="2F5496" w:themeColor="accent1" w:themeShade="BF"/>
          <w:lang w:val="fr-BE"/>
        </w:rPr>
      </w:pPr>
      <w:r w:rsidRPr="00963746">
        <w:rPr>
          <w:i/>
          <w:iCs/>
          <w:color w:val="2F5496" w:themeColor="accent1" w:themeShade="BF"/>
          <w:lang w:val="fr-BE"/>
        </w:rPr>
        <w:t xml:space="preserve">L’enveloppe </w:t>
      </w:r>
      <w:r w:rsidR="007F2DB5">
        <w:rPr>
          <w:i/>
          <w:iCs/>
          <w:color w:val="2F5496" w:themeColor="accent1" w:themeShade="BF"/>
          <w:lang w:val="fr-BE"/>
        </w:rPr>
        <w:t>de l’hôpital</w:t>
      </w:r>
      <w:r w:rsidR="007F2DB5" w:rsidRPr="00963746">
        <w:rPr>
          <w:i/>
          <w:iCs/>
          <w:color w:val="2F5496" w:themeColor="accent1" w:themeShade="BF"/>
          <w:lang w:val="fr-BE"/>
        </w:rPr>
        <w:t xml:space="preserve"> </w:t>
      </w:r>
      <w:r w:rsidRPr="00963746">
        <w:rPr>
          <w:i/>
          <w:iCs/>
          <w:color w:val="2F5496" w:themeColor="accent1" w:themeShade="BF"/>
          <w:lang w:val="fr-BE"/>
        </w:rPr>
        <w:t xml:space="preserve">pour les MSF et MGF ne peut </w:t>
      </w:r>
      <w:r w:rsidR="007F2DB5">
        <w:rPr>
          <w:i/>
          <w:iCs/>
          <w:color w:val="2F5496" w:themeColor="accent1" w:themeShade="BF"/>
          <w:lang w:val="fr-BE"/>
        </w:rPr>
        <w:t>être utilisée qu’en faveur des</w:t>
      </w:r>
      <w:r w:rsidRPr="00963746">
        <w:rPr>
          <w:i/>
          <w:iCs/>
          <w:color w:val="2F5496" w:themeColor="accent1" w:themeShade="BF"/>
          <w:lang w:val="fr-BE"/>
        </w:rPr>
        <w:t xml:space="preserve"> MSF et MGF. La répartition </w:t>
      </w:r>
      <w:r w:rsidR="007F2DB5">
        <w:rPr>
          <w:i/>
          <w:iCs/>
          <w:color w:val="2F5496" w:themeColor="accent1" w:themeShade="BF"/>
          <w:lang w:val="fr-BE"/>
        </w:rPr>
        <w:t>exacte</w:t>
      </w:r>
      <w:r w:rsidR="007F2DB5" w:rsidRPr="00963746">
        <w:rPr>
          <w:i/>
          <w:iCs/>
          <w:color w:val="2F5496" w:themeColor="accent1" w:themeShade="BF"/>
          <w:lang w:val="fr-BE"/>
        </w:rPr>
        <w:t xml:space="preserve"> </w:t>
      </w:r>
      <w:r w:rsidRPr="00963746">
        <w:rPr>
          <w:i/>
          <w:iCs/>
          <w:color w:val="2F5496" w:themeColor="accent1" w:themeShade="BF"/>
          <w:lang w:val="fr-BE"/>
        </w:rPr>
        <w:t xml:space="preserve">fait l’objet d’une décision du conseil médical </w:t>
      </w:r>
      <w:r w:rsidR="007F2DB5">
        <w:rPr>
          <w:i/>
          <w:iCs/>
          <w:color w:val="2F5496" w:themeColor="accent1" w:themeShade="BF"/>
          <w:lang w:val="fr-BE"/>
        </w:rPr>
        <w:t xml:space="preserve">pour, entre autres, indemniser les </w:t>
      </w:r>
      <w:r w:rsidRPr="00963746">
        <w:rPr>
          <w:i/>
          <w:iCs/>
          <w:color w:val="2F5496" w:themeColor="accent1" w:themeShade="BF"/>
          <w:lang w:val="fr-BE"/>
        </w:rPr>
        <w:t>gardes et permanences, mais aussi</w:t>
      </w:r>
      <w:r w:rsidR="00057529">
        <w:rPr>
          <w:i/>
          <w:iCs/>
          <w:color w:val="2F5496" w:themeColor="accent1" w:themeShade="BF"/>
          <w:lang w:val="fr-BE"/>
        </w:rPr>
        <w:t xml:space="preserve"> </w:t>
      </w:r>
      <w:r w:rsidR="007F2DB5">
        <w:rPr>
          <w:i/>
          <w:iCs/>
          <w:color w:val="2F5496" w:themeColor="accent1" w:themeShade="BF"/>
          <w:lang w:val="fr-BE"/>
        </w:rPr>
        <w:t>d’</w:t>
      </w:r>
      <w:r w:rsidRPr="00963746">
        <w:rPr>
          <w:i/>
          <w:iCs/>
          <w:color w:val="2F5496" w:themeColor="accent1" w:themeShade="BF"/>
          <w:lang w:val="fr-BE"/>
        </w:rPr>
        <w:t xml:space="preserve">autres formes d’efforts supplémentaires </w:t>
      </w:r>
      <w:r w:rsidR="007F2DB5">
        <w:rPr>
          <w:i/>
          <w:iCs/>
          <w:color w:val="2F5496" w:themeColor="accent1" w:themeShade="BF"/>
          <w:lang w:val="fr-BE"/>
        </w:rPr>
        <w:t xml:space="preserve">fournis </w:t>
      </w:r>
      <w:r w:rsidR="006D4ED7">
        <w:rPr>
          <w:i/>
          <w:iCs/>
          <w:color w:val="2F5496" w:themeColor="accent1" w:themeShade="BF"/>
          <w:lang w:val="fr-BE"/>
        </w:rPr>
        <w:t xml:space="preserve">par les MSF/MGF </w:t>
      </w:r>
      <w:r w:rsidR="007F2DB5">
        <w:rPr>
          <w:i/>
          <w:iCs/>
          <w:color w:val="2F5496" w:themeColor="accent1" w:themeShade="BF"/>
          <w:lang w:val="fr-BE"/>
        </w:rPr>
        <w:t>dans le cadre de</w:t>
      </w:r>
      <w:r w:rsidRPr="00963746">
        <w:rPr>
          <w:i/>
          <w:iCs/>
          <w:color w:val="2F5496" w:themeColor="accent1" w:themeShade="BF"/>
          <w:lang w:val="fr-BE"/>
        </w:rPr>
        <w:t xml:space="preserve"> la gestion de crise au niveau de l’hôpital. </w:t>
      </w:r>
      <w:r w:rsidR="007F2DB5">
        <w:rPr>
          <w:i/>
          <w:iCs/>
          <w:color w:val="2F5496" w:themeColor="accent1" w:themeShade="BF"/>
          <w:lang w:val="fr-BE"/>
        </w:rPr>
        <w:t>De plus</w:t>
      </w:r>
      <w:r w:rsidRPr="00963746">
        <w:rPr>
          <w:i/>
          <w:iCs/>
          <w:color w:val="2F5496" w:themeColor="accent1" w:themeShade="BF"/>
          <w:lang w:val="fr-BE"/>
        </w:rPr>
        <w:t xml:space="preserve"> amples explications</w:t>
      </w:r>
      <w:r w:rsidR="007F2DB5">
        <w:rPr>
          <w:i/>
          <w:iCs/>
          <w:color w:val="2F5496" w:themeColor="accent1" w:themeShade="BF"/>
          <w:lang w:val="fr-BE"/>
        </w:rPr>
        <w:t xml:space="preserve"> sont indiquées</w:t>
      </w:r>
      <w:r w:rsidRPr="00963746">
        <w:rPr>
          <w:i/>
          <w:iCs/>
          <w:color w:val="2F5496" w:themeColor="accent1" w:themeShade="BF"/>
          <w:lang w:val="fr-BE"/>
        </w:rPr>
        <w:t xml:space="preserve"> dans</w:t>
      </w:r>
      <w:r w:rsidR="007F2DB5">
        <w:rPr>
          <w:i/>
          <w:iCs/>
          <w:color w:val="2F5496" w:themeColor="accent1" w:themeShade="BF"/>
          <w:lang w:val="fr-BE"/>
        </w:rPr>
        <w:t xml:space="preserve"> </w:t>
      </w:r>
      <w:r w:rsidRPr="00963746">
        <w:rPr>
          <w:i/>
          <w:iCs/>
          <w:color w:val="2F5496" w:themeColor="accent1" w:themeShade="BF"/>
          <w:lang w:val="fr-BE"/>
        </w:rPr>
        <w:t>la FAQ consacrée aux MSF et MGF.</w:t>
      </w:r>
    </w:p>
    <w:p w14:paraId="3457882C" w14:textId="06E84CE3" w:rsidR="001A69AD" w:rsidRDefault="001A69AD" w:rsidP="00C36909">
      <w:pPr>
        <w:pStyle w:val="Lijstalinea"/>
        <w:numPr>
          <w:ilvl w:val="1"/>
          <w:numId w:val="42"/>
        </w:numPr>
        <w:jc w:val="both"/>
        <w:rPr>
          <w:i/>
          <w:iCs/>
          <w:lang w:val="fr-BE"/>
        </w:rPr>
      </w:pPr>
      <w:r w:rsidRPr="00D71FFE">
        <w:rPr>
          <w:i/>
          <w:iCs/>
          <w:lang w:val="fr-BE"/>
        </w:rPr>
        <w:t xml:space="preserve">Le calcul visant à déterminer le budget partiel par hôpital (sur la base des rémunérations existantes ou de la nomenclature pour les activités connues) est donc distinct des rémunérations supplémentaires liées à des activités COVID. Concrètement, cela signifie également que les moyens obtenus p. ex. </w:t>
      </w:r>
      <w:r w:rsidRPr="00D71FFE">
        <w:rPr>
          <w:i/>
          <w:iCs/>
          <w:u w:val="single"/>
          <w:lang w:val="fr-BE"/>
        </w:rPr>
        <w:t>via</w:t>
      </w:r>
      <w:r w:rsidRPr="00D71FFE">
        <w:rPr>
          <w:i/>
          <w:iCs/>
          <w:lang w:val="fr-BE"/>
        </w:rPr>
        <w:t xml:space="preserve"> les rémunérations de permanence ne doivent pas être exclusivement utilisés</w:t>
      </w:r>
      <w:r w:rsidRPr="00D71FFE">
        <w:rPr>
          <w:i/>
          <w:iCs/>
          <w:u w:val="single"/>
          <w:lang w:val="fr-BE"/>
        </w:rPr>
        <w:t xml:space="preserve"> pour</w:t>
      </w:r>
      <w:r w:rsidRPr="00D71FFE">
        <w:rPr>
          <w:i/>
          <w:iCs/>
          <w:lang w:val="fr-BE"/>
        </w:rPr>
        <w:t xml:space="preserve"> la permanence, mais peuvent également être octroyés pour rémunérer d'autres activités COVID.</w:t>
      </w:r>
    </w:p>
    <w:p w14:paraId="18DA44A8" w14:textId="77777777" w:rsidR="00DF4427" w:rsidRPr="00D71FFE" w:rsidRDefault="00DF4427" w:rsidP="00DF4427">
      <w:pPr>
        <w:pStyle w:val="Lijstalinea"/>
        <w:ind w:left="1440"/>
        <w:jc w:val="both"/>
        <w:rPr>
          <w:i/>
          <w:iCs/>
          <w:lang w:val="fr-BE"/>
        </w:rPr>
      </w:pPr>
    </w:p>
    <w:p w14:paraId="1DAF7E5B" w14:textId="4951B6CB" w:rsidR="008626CC" w:rsidRDefault="008626CC" w:rsidP="008626CC">
      <w:pPr>
        <w:pStyle w:val="xmsonormal"/>
        <w:rPr>
          <w:b/>
          <w:bCs/>
          <w:lang w:val="fr-BE"/>
        </w:rPr>
      </w:pPr>
    </w:p>
    <w:p w14:paraId="5EDE5BDE" w14:textId="1377307D" w:rsidR="00DB4605" w:rsidRDefault="00DB4605" w:rsidP="008626CC">
      <w:pPr>
        <w:pStyle w:val="xmsonormal"/>
        <w:rPr>
          <w:b/>
          <w:bCs/>
          <w:lang w:val="fr-BE"/>
        </w:rPr>
      </w:pPr>
    </w:p>
    <w:p w14:paraId="5E8BE0E8" w14:textId="272F6383" w:rsidR="00DB4605" w:rsidRDefault="00DB4605" w:rsidP="008626CC">
      <w:pPr>
        <w:pStyle w:val="xmsonormal"/>
        <w:rPr>
          <w:b/>
          <w:bCs/>
          <w:lang w:val="fr-BE"/>
        </w:rPr>
      </w:pPr>
    </w:p>
    <w:p w14:paraId="600951FC" w14:textId="77777777" w:rsidR="00DB4605" w:rsidRPr="00D71FFE" w:rsidRDefault="00DB4605" w:rsidP="008626CC">
      <w:pPr>
        <w:pStyle w:val="xmsonormal"/>
        <w:rPr>
          <w:b/>
          <w:bCs/>
          <w:lang w:val="fr-BE"/>
        </w:rPr>
      </w:pPr>
    </w:p>
    <w:p w14:paraId="646D9C83" w14:textId="20AAAAB0" w:rsidR="00464B3F" w:rsidRPr="00D71FFE" w:rsidRDefault="00464B3F" w:rsidP="00963746">
      <w:pPr>
        <w:pStyle w:val="Lijstalinea"/>
        <w:numPr>
          <w:ilvl w:val="1"/>
          <w:numId w:val="1"/>
        </w:numPr>
        <w:jc w:val="both"/>
        <w:outlineLvl w:val="1"/>
        <w:rPr>
          <w:b/>
          <w:bCs/>
          <w:lang w:val="fr-BE"/>
        </w:rPr>
      </w:pPr>
      <w:bookmarkStart w:id="27" w:name="_Toc67817064"/>
      <w:r w:rsidRPr="00D71FFE">
        <w:rPr>
          <w:b/>
          <w:bCs/>
          <w:lang w:val="fr-BE"/>
        </w:rPr>
        <w:lastRenderedPageBreak/>
        <w:t>Chapitre 5 : intervention pour la disponibilité des prestataires de soins qui sont rémunérés par des honoraires, dans le cadre de l'obligation de réserver un pourcentage de capacité en lits pour les soins COVID-19</w:t>
      </w:r>
      <w:bookmarkEnd w:id="27"/>
    </w:p>
    <w:p w14:paraId="1B8BE0EC" w14:textId="1EDE45C2" w:rsidR="00B723DC" w:rsidRPr="00D71FFE" w:rsidRDefault="00B723DC" w:rsidP="00A27D29">
      <w:pPr>
        <w:pStyle w:val="Lijstalinea"/>
        <w:ind w:left="792"/>
        <w:rPr>
          <w:b/>
          <w:bCs/>
          <w:lang w:val="fr-BE"/>
        </w:rPr>
      </w:pPr>
    </w:p>
    <w:p w14:paraId="64A40EE1" w14:textId="15202ECC" w:rsidR="003237DB" w:rsidRPr="00D71FFE" w:rsidRDefault="00162A24" w:rsidP="00F03501">
      <w:pPr>
        <w:pStyle w:val="Lijstalinea"/>
        <w:ind w:left="792"/>
        <w:jc w:val="both"/>
        <w:rPr>
          <w:lang w:val="fr-BE"/>
        </w:rPr>
      </w:pPr>
      <w:r w:rsidRPr="00D71FFE">
        <w:rPr>
          <w:lang w:val="fr-BE"/>
        </w:rPr>
        <w:t>À partir du 1</w:t>
      </w:r>
      <w:r w:rsidRPr="00D71FFE">
        <w:rPr>
          <w:vertAlign w:val="superscript"/>
          <w:lang w:val="fr-BE"/>
        </w:rPr>
        <w:t>er</w:t>
      </w:r>
      <w:r w:rsidRPr="00D71FFE">
        <w:rPr>
          <w:lang w:val="fr-BE"/>
        </w:rPr>
        <w:t xml:space="preserve"> juin 2020, pour chaque lit intensif et non-intensif à réserver obligatoirement, un montant est mis à la disposition des prestataires de soins qui sont rémunérés par des honoraires</w:t>
      </w:r>
      <w:r w:rsidR="00074121">
        <w:rPr>
          <w:lang w:val="fr-BE"/>
        </w:rPr>
        <w:t xml:space="preserve">, uniquement en </w:t>
      </w:r>
      <w:r w:rsidR="007F2DB5">
        <w:rPr>
          <w:lang w:val="fr-BE"/>
        </w:rPr>
        <w:t>ph</w:t>
      </w:r>
      <w:r w:rsidR="00074121">
        <w:rPr>
          <w:lang w:val="fr-BE"/>
        </w:rPr>
        <w:t>ase 0</w:t>
      </w:r>
      <w:r w:rsidRPr="00D71FFE">
        <w:rPr>
          <w:lang w:val="fr-BE"/>
        </w:rPr>
        <w:t xml:space="preserve">. </w:t>
      </w:r>
    </w:p>
    <w:p w14:paraId="0951E01D" w14:textId="77777777" w:rsidR="000C4385" w:rsidRPr="00D71FFE" w:rsidRDefault="000C4385" w:rsidP="00BA39EC">
      <w:pPr>
        <w:pStyle w:val="Lijstalinea"/>
        <w:ind w:left="792"/>
        <w:jc w:val="both"/>
        <w:rPr>
          <w:lang w:val="fr-BE"/>
        </w:rPr>
      </w:pPr>
    </w:p>
    <w:p w14:paraId="6E60850A" w14:textId="77777777" w:rsidR="009F555F" w:rsidRPr="00D71FFE" w:rsidRDefault="00E92D61" w:rsidP="009F555F">
      <w:pPr>
        <w:pStyle w:val="Lijstalinea"/>
        <w:ind w:left="792"/>
        <w:jc w:val="both"/>
        <w:rPr>
          <w:lang w:val="fr-BE"/>
        </w:rPr>
      </w:pPr>
      <w:r w:rsidRPr="00D71FFE">
        <w:rPr>
          <w:lang w:val="fr-BE"/>
        </w:rPr>
        <w:t xml:space="preserve">Pour l'impact résultant de la réservation de lits dans la phase 0 du « Surge Capacity plan » sur l'activité des prestataires de soins financés par des honoraires, un « forfait de disponibilité » est accordé par lit réservé à partir du 1er juin 2020. Les lits réservés concernent les lits d'hôpitaux intensifs et non intensifs, à savoir : 15 % des lits intensifs agréés (n) + 4*n lits non intensifs, comme imposé par le Comité « Hospital &amp; Transport Surge Capacity » dans la communication du 17 juin 2020. </w:t>
      </w:r>
    </w:p>
    <w:p w14:paraId="3D94EFDE" w14:textId="77777777" w:rsidR="009F555F" w:rsidRPr="00D71FFE" w:rsidRDefault="009F555F" w:rsidP="009F555F">
      <w:pPr>
        <w:pStyle w:val="Lijstalinea"/>
        <w:ind w:left="792"/>
        <w:jc w:val="both"/>
        <w:rPr>
          <w:lang w:val="fr-BE"/>
        </w:rPr>
      </w:pPr>
    </w:p>
    <w:p w14:paraId="5AAF6844" w14:textId="6E46EBA7" w:rsidR="00094187" w:rsidRPr="00D71FFE" w:rsidRDefault="00E92D61" w:rsidP="009F555F">
      <w:pPr>
        <w:pStyle w:val="Lijstalinea"/>
        <w:ind w:left="792"/>
        <w:jc w:val="both"/>
        <w:rPr>
          <w:lang w:val="fr-BE"/>
        </w:rPr>
      </w:pPr>
      <w:r w:rsidRPr="00D71FFE">
        <w:rPr>
          <w:lang w:val="fr-BE"/>
        </w:rPr>
        <w:t xml:space="preserve">Cette intervention est calculée </w:t>
      </w:r>
      <w:r w:rsidR="0081317A" w:rsidRPr="00D71FFE">
        <w:rPr>
          <w:lang w:val="fr-BE"/>
        </w:rPr>
        <w:t>sur la base de</w:t>
      </w:r>
      <w:r w:rsidRPr="00D71FFE">
        <w:rPr>
          <w:lang w:val="fr-BE"/>
        </w:rPr>
        <w:t xml:space="preserve"> la moyenne nationale des honoraires facturés (par lit) à l’INAMI pour les séjours hospitaliers en 2018.</w:t>
      </w:r>
    </w:p>
    <w:p w14:paraId="29BD7A46" w14:textId="77777777" w:rsidR="009F555F" w:rsidRPr="00D71FFE" w:rsidRDefault="009F555F" w:rsidP="009F555F">
      <w:pPr>
        <w:pStyle w:val="Lijstalinea"/>
        <w:ind w:left="792"/>
        <w:jc w:val="both"/>
        <w:rPr>
          <w:lang w:val="fr-BE"/>
        </w:rPr>
      </w:pPr>
    </w:p>
    <w:p w14:paraId="5026E1BE" w14:textId="754B541B" w:rsidR="002768B1" w:rsidRPr="00D71FFE" w:rsidRDefault="00162A24" w:rsidP="00F03501">
      <w:pPr>
        <w:pStyle w:val="Lijstalinea"/>
        <w:ind w:left="792"/>
        <w:jc w:val="both"/>
        <w:rPr>
          <w:lang w:val="fr-BE"/>
        </w:rPr>
      </w:pPr>
      <w:r w:rsidRPr="00D71FFE">
        <w:rPr>
          <w:lang w:val="fr-BE"/>
        </w:rPr>
        <w:t xml:space="preserve">Le Conseil médical </w:t>
      </w:r>
      <w:r w:rsidR="00074121">
        <w:rPr>
          <w:lang w:val="fr-BE"/>
        </w:rPr>
        <w:t xml:space="preserve">(pour les médecins indépendants) </w:t>
      </w:r>
      <w:r w:rsidRPr="00D71FFE">
        <w:rPr>
          <w:lang w:val="fr-BE"/>
        </w:rPr>
        <w:t>ou l'hôpital</w:t>
      </w:r>
      <w:r w:rsidR="00074121">
        <w:rPr>
          <w:lang w:val="fr-BE"/>
        </w:rPr>
        <w:t xml:space="preserve"> (pour les</w:t>
      </w:r>
      <w:r w:rsidRPr="00D71FFE">
        <w:rPr>
          <w:lang w:val="fr-BE"/>
        </w:rPr>
        <w:t xml:space="preserve"> </w:t>
      </w:r>
      <w:r w:rsidR="00074121">
        <w:rPr>
          <w:lang w:val="fr-BE"/>
        </w:rPr>
        <w:t xml:space="preserve">salariés) ou l’organe ad hoc (pour les autres prestataires indépendants) </w:t>
      </w:r>
      <w:r w:rsidRPr="00D71FFE">
        <w:rPr>
          <w:lang w:val="fr-BE"/>
        </w:rPr>
        <w:t>décide, en fonction des prestataires, de l</w:t>
      </w:r>
      <w:r w:rsidR="00074121">
        <w:rPr>
          <w:lang w:val="fr-BE"/>
        </w:rPr>
        <w:t>’octroi</w:t>
      </w:r>
      <w:r w:rsidRPr="00D71FFE">
        <w:rPr>
          <w:lang w:val="fr-BE"/>
        </w:rPr>
        <w:t xml:space="preserve"> du budget global (montant par lit x nombre de lits réservés en phase 0). </w:t>
      </w:r>
    </w:p>
    <w:p w14:paraId="1159982D" w14:textId="55CCCABF" w:rsidR="00911CBC" w:rsidRDefault="00911CBC" w:rsidP="00A27D29">
      <w:pPr>
        <w:pStyle w:val="Lijstalinea"/>
        <w:ind w:left="792"/>
        <w:rPr>
          <w:lang w:val="fr-BE"/>
        </w:rPr>
      </w:pPr>
    </w:p>
    <w:p w14:paraId="2C8AE1F9" w14:textId="670BC61A" w:rsidR="00B77B05" w:rsidRDefault="00B77B05" w:rsidP="00A27D29">
      <w:pPr>
        <w:pStyle w:val="Lijstalinea"/>
        <w:ind w:left="792"/>
        <w:rPr>
          <w:lang w:val="fr-BE"/>
        </w:rPr>
      </w:pPr>
    </w:p>
    <w:p w14:paraId="0F3E0DE6" w14:textId="6AF3836D" w:rsidR="00815493" w:rsidRPr="00D71FFE" w:rsidRDefault="00C41B96" w:rsidP="00963746">
      <w:pPr>
        <w:pStyle w:val="Lijstalinea"/>
        <w:numPr>
          <w:ilvl w:val="1"/>
          <w:numId w:val="1"/>
        </w:numPr>
        <w:jc w:val="both"/>
        <w:outlineLvl w:val="1"/>
        <w:rPr>
          <w:b/>
          <w:bCs/>
          <w:lang w:val="fr-BE"/>
        </w:rPr>
      </w:pPr>
      <w:bookmarkStart w:id="28" w:name="_Toc67656890"/>
      <w:bookmarkStart w:id="29" w:name="_Toc67657483"/>
      <w:bookmarkStart w:id="30" w:name="_Toc67656891"/>
      <w:bookmarkStart w:id="31" w:name="_Toc67657484"/>
      <w:bookmarkStart w:id="32" w:name="_Toc67817065"/>
      <w:bookmarkEnd w:id="28"/>
      <w:bookmarkEnd w:id="29"/>
      <w:bookmarkEnd w:id="30"/>
      <w:bookmarkEnd w:id="31"/>
      <w:r w:rsidRPr="00D71FFE">
        <w:rPr>
          <w:b/>
          <w:bCs/>
          <w:lang w:val="fr-BE"/>
        </w:rPr>
        <w:t xml:space="preserve">Chapitre 6 : </w:t>
      </w:r>
      <w:r w:rsidR="008E1DAD" w:rsidRPr="00D71FFE">
        <w:rPr>
          <w:b/>
          <w:bCs/>
          <w:lang w:val="fr-BE"/>
        </w:rPr>
        <w:t>m</w:t>
      </w:r>
      <w:r w:rsidRPr="00D71FFE">
        <w:rPr>
          <w:b/>
          <w:bCs/>
          <w:lang w:val="fr-BE"/>
        </w:rPr>
        <w:t>odalités spécifiques pour les compensations aux prestataires de soins habituellement rémunérés par des honoraires (pour leurs activités supplémentaires et leur disponibilité)</w:t>
      </w:r>
      <w:bookmarkEnd w:id="32"/>
    </w:p>
    <w:p w14:paraId="38A1FA22" w14:textId="3905B402" w:rsidR="002B519D" w:rsidRPr="00D71FFE" w:rsidRDefault="002B519D" w:rsidP="002B519D">
      <w:pPr>
        <w:pStyle w:val="Lijstalinea"/>
        <w:ind w:left="792"/>
        <w:rPr>
          <w:b/>
          <w:bCs/>
          <w:lang w:val="fr-BE"/>
        </w:rPr>
      </w:pPr>
    </w:p>
    <w:p w14:paraId="25689920" w14:textId="0C835078" w:rsidR="00AD705F" w:rsidRPr="00D71FFE" w:rsidRDefault="00AA0DDF" w:rsidP="00F03501">
      <w:pPr>
        <w:pStyle w:val="Lijstalinea"/>
        <w:ind w:left="792"/>
        <w:jc w:val="both"/>
        <w:rPr>
          <w:lang w:val="fr-BE"/>
        </w:rPr>
      </w:pPr>
      <w:r w:rsidRPr="00D71FFE">
        <w:rPr>
          <w:lang w:val="fr-BE"/>
        </w:rPr>
        <w:t>Quand les montants pour les prestataires de soins sont calculés sur la base des codes de nomenclature existants, on suppose que 70 % de l'intervention INAMI revient aux prestataires de soins. Le montant de cette intervention du gouvernement fédéral correspond alors à ces 70% (et non la partie pour l'hôpital).</w:t>
      </w:r>
    </w:p>
    <w:p w14:paraId="599CC13B" w14:textId="6A93F763" w:rsidR="004D28EA" w:rsidRPr="00D71FFE" w:rsidRDefault="004D28EA" w:rsidP="00F03501">
      <w:pPr>
        <w:pStyle w:val="Lijstalinea"/>
        <w:ind w:left="792"/>
        <w:jc w:val="both"/>
        <w:rPr>
          <w:b/>
          <w:bCs/>
          <w:lang w:val="fr-BE"/>
        </w:rPr>
      </w:pPr>
    </w:p>
    <w:p w14:paraId="1C6967E1" w14:textId="47F6D76C" w:rsidR="00E81235" w:rsidRPr="00D71FFE" w:rsidRDefault="007665A0" w:rsidP="00F03501">
      <w:pPr>
        <w:pStyle w:val="Lijstalinea"/>
        <w:ind w:left="792"/>
        <w:jc w:val="both"/>
        <w:rPr>
          <w:lang w:val="fr-BE"/>
        </w:rPr>
      </w:pPr>
      <w:r w:rsidRPr="00D71FFE">
        <w:rPr>
          <w:lang w:val="fr-BE"/>
        </w:rPr>
        <w:t>Dans la demande des données hospitalières en vue du premier décompte fin 2020, il est prévu de communiquer les informations suivantes : ETP médecins (y compris les dentistes et pharmaciens-biologistes cliniciens), ETP MSF (y compris les MGF en cours de stage au sein de l'hôpital) et ETP autres prestataires de soins disposant de codes INAMI dans la mesure où les honoraires INAMI sont facturés à leur nom. Étant donné que les budgets partiels en dépendent, le statut des prestataires de soins est aussi demandé. En effet, dans les hôpitaux dont les prestataires de soins sont (partiellement) salariés, le salaire mensuel fait partie des frais de fonctionnement récurrents de l'hôpital, tout comme pour les autres employés de l'hôpital. Ce coût fait donc déjà l'objet d'une intervention en application du Chapitre 3 de l'AR IFFE.</w:t>
      </w:r>
    </w:p>
    <w:p w14:paraId="28344DBD" w14:textId="79972053" w:rsidR="001F47F0" w:rsidRPr="00D71FFE" w:rsidRDefault="001F47F0" w:rsidP="004D28EA">
      <w:pPr>
        <w:pStyle w:val="Lijstalinea"/>
        <w:ind w:left="792"/>
        <w:rPr>
          <w:lang w:val="fr-BE"/>
        </w:rPr>
      </w:pPr>
    </w:p>
    <w:p w14:paraId="09696A80" w14:textId="4E0FCB23" w:rsidR="004C07E3" w:rsidRDefault="002D7C44" w:rsidP="00963746">
      <w:pPr>
        <w:pStyle w:val="Lijstalinea"/>
        <w:ind w:left="792"/>
        <w:jc w:val="both"/>
        <w:rPr>
          <w:lang w:val="fr-BE"/>
        </w:rPr>
      </w:pPr>
      <w:r w:rsidRPr="00D71FFE">
        <w:rPr>
          <w:lang w:val="fr-BE"/>
        </w:rPr>
        <w:t>Dans la mesure où cela concerne des médecins</w:t>
      </w:r>
      <w:r w:rsidR="0084560D">
        <w:rPr>
          <w:lang w:val="fr-BE"/>
        </w:rPr>
        <w:t xml:space="preserve"> </w:t>
      </w:r>
      <w:r w:rsidR="0084560D" w:rsidRPr="00963746">
        <w:rPr>
          <w:color w:val="2F5496" w:themeColor="accent1" w:themeShade="BF"/>
          <w:lang w:val="fr-BE"/>
        </w:rPr>
        <w:t>indépendants</w:t>
      </w:r>
      <w:r w:rsidRPr="00D71FFE">
        <w:rPr>
          <w:lang w:val="fr-BE"/>
        </w:rPr>
        <w:t xml:space="preserve">, le Conseil médical est l'organe qui attribue les montants. Pour les autres prestataires de soins, la responsabilité incombe à un organe </w:t>
      </w:r>
      <w:r w:rsidR="00043905" w:rsidRPr="00D71FFE">
        <w:rPr>
          <w:i/>
          <w:iCs/>
          <w:lang w:val="fr-BE"/>
        </w:rPr>
        <w:t>ad hoc</w:t>
      </w:r>
      <w:r w:rsidRPr="00D71FFE">
        <w:rPr>
          <w:lang w:val="fr-BE"/>
        </w:rPr>
        <w:t xml:space="preserve"> ou, si celui-ci n’existe pas, à l'hôpital (gestionnaire).</w:t>
      </w:r>
    </w:p>
    <w:p w14:paraId="4EF0EDF5" w14:textId="77777777" w:rsidR="00961EC3" w:rsidRPr="00D71FFE" w:rsidRDefault="00961EC3" w:rsidP="00963746">
      <w:pPr>
        <w:pStyle w:val="Lijstalinea"/>
        <w:ind w:left="792"/>
        <w:jc w:val="both"/>
        <w:rPr>
          <w:lang w:val="fr-BE"/>
        </w:rPr>
      </w:pPr>
    </w:p>
    <w:p w14:paraId="6681DC94" w14:textId="47C30A20" w:rsidR="007665A0" w:rsidRDefault="007665A0" w:rsidP="009901BB">
      <w:pPr>
        <w:pStyle w:val="Lijstalinea"/>
        <w:ind w:left="792"/>
        <w:rPr>
          <w:lang w:val="fr-BE"/>
        </w:rPr>
      </w:pPr>
    </w:p>
    <w:p w14:paraId="206847C4" w14:textId="5B95F162" w:rsidR="00D777FF" w:rsidRDefault="00D777FF" w:rsidP="009901BB">
      <w:pPr>
        <w:pStyle w:val="Lijstalinea"/>
        <w:ind w:left="792"/>
        <w:rPr>
          <w:lang w:val="fr-BE"/>
        </w:rPr>
      </w:pPr>
    </w:p>
    <w:p w14:paraId="225A2BDF" w14:textId="5DDC8DDF" w:rsidR="00D777FF" w:rsidRDefault="00D777FF" w:rsidP="009901BB">
      <w:pPr>
        <w:pStyle w:val="Lijstalinea"/>
        <w:ind w:left="792"/>
        <w:rPr>
          <w:lang w:val="fr-BE"/>
        </w:rPr>
      </w:pPr>
    </w:p>
    <w:p w14:paraId="713B936D" w14:textId="77777777" w:rsidR="00D777FF" w:rsidRPr="00D71FFE" w:rsidRDefault="00D777FF" w:rsidP="009901BB">
      <w:pPr>
        <w:pStyle w:val="Lijstalinea"/>
        <w:ind w:left="792"/>
        <w:rPr>
          <w:lang w:val="fr-BE"/>
        </w:rPr>
      </w:pPr>
    </w:p>
    <w:p w14:paraId="04CBB1A0" w14:textId="736C8E1B" w:rsidR="00A969B8" w:rsidRPr="00D71FFE" w:rsidRDefault="00C9154D" w:rsidP="005E271E">
      <w:pPr>
        <w:pStyle w:val="Lijstalinea"/>
        <w:numPr>
          <w:ilvl w:val="1"/>
          <w:numId w:val="1"/>
        </w:numPr>
        <w:outlineLvl w:val="1"/>
        <w:rPr>
          <w:b/>
          <w:bCs/>
          <w:lang w:val="fr-BE"/>
        </w:rPr>
      </w:pPr>
      <w:bookmarkStart w:id="33" w:name="_Toc67817066"/>
      <w:r w:rsidRPr="00D71FFE">
        <w:rPr>
          <w:b/>
          <w:bCs/>
          <w:lang w:val="fr-BE"/>
        </w:rPr>
        <w:t>Chapitre 7 : Planning du calcul et des décomptes</w:t>
      </w:r>
      <w:bookmarkEnd w:id="33"/>
    </w:p>
    <w:p w14:paraId="0B7C8341" w14:textId="10B23304" w:rsidR="00990451" w:rsidRPr="00D71FFE" w:rsidRDefault="00DB75E8" w:rsidP="00990451">
      <w:pPr>
        <w:pStyle w:val="Lijstalinea"/>
        <w:ind w:left="792"/>
        <w:rPr>
          <w:color w:val="A6A6A6" w:themeColor="background1" w:themeShade="A6"/>
          <w:lang w:val="fr-BE"/>
        </w:rPr>
      </w:pPr>
      <w:r w:rsidRPr="00D71FFE">
        <w:rPr>
          <w:color w:val="A6A6A6" w:themeColor="background1" w:themeShade="A6"/>
          <w:lang w:val="fr-BE"/>
        </w:rPr>
        <w:t xml:space="preserve"> </w:t>
      </w:r>
    </w:p>
    <w:p w14:paraId="156B9EF5" w14:textId="77777777" w:rsidR="00286E58" w:rsidRDefault="00BD5340" w:rsidP="0069695A">
      <w:pPr>
        <w:pStyle w:val="Lijstalinea"/>
        <w:ind w:left="792"/>
        <w:jc w:val="both"/>
        <w:rPr>
          <w:color w:val="2F5496" w:themeColor="accent1" w:themeShade="BF"/>
          <w:lang w:val="fr-BE"/>
        </w:rPr>
      </w:pPr>
      <w:r w:rsidRPr="00D71FFE">
        <w:rPr>
          <w:lang w:val="fr-BE"/>
        </w:rPr>
        <w:t xml:space="preserve">Un décompte provisoire </w:t>
      </w:r>
      <w:r w:rsidR="00FC3B32">
        <w:rPr>
          <w:lang w:val="fr-BE"/>
        </w:rPr>
        <w:t xml:space="preserve">du premier semestre 2020 </w:t>
      </w:r>
      <w:r w:rsidR="004F1850">
        <w:rPr>
          <w:color w:val="0070C0"/>
          <w:lang w:val="fr-BE"/>
        </w:rPr>
        <w:t>a été</w:t>
      </w:r>
      <w:r w:rsidRPr="00D71FFE">
        <w:rPr>
          <w:lang w:val="fr-BE"/>
        </w:rPr>
        <w:t xml:space="preserve"> effectué fin 2020</w:t>
      </w:r>
      <w:r w:rsidR="00FC3B32">
        <w:rPr>
          <w:lang w:val="fr-BE"/>
        </w:rPr>
        <w:t>.</w:t>
      </w:r>
      <w:r w:rsidR="00F63EE2">
        <w:rPr>
          <w:lang w:val="fr-BE"/>
        </w:rPr>
        <w:t xml:space="preserve"> </w:t>
      </w:r>
      <w:r w:rsidR="00F63EE2" w:rsidRPr="00F63EE2">
        <w:rPr>
          <w:color w:val="2F5496" w:themeColor="accent1" w:themeShade="BF"/>
          <w:lang w:val="fr-BE"/>
        </w:rPr>
        <w:t>Pour fin juin</w:t>
      </w:r>
      <w:r w:rsidR="00297066">
        <w:rPr>
          <w:color w:val="2F5496" w:themeColor="accent1" w:themeShade="BF"/>
          <w:lang w:val="fr-BE"/>
        </w:rPr>
        <w:t xml:space="preserve"> (hôpitaux généraux) </w:t>
      </w:r>
      <w:r w:rsidR="00932558">
        <w:rPr>
          <w:color w:val="2F5496" w:themeColor="accent1" w:themeShade="BF"/>
          <w:lang w:val="fr-BE"/>
        </w:rPr>
        <w:t xml:space="preserve">et en automne 2021 (hôpitaux psychiatriques), il y aura le </w:t>
      </w:r>
      <w:r w:rsidR="00486BD1">
        <w:rPr>
          <w:color w:val="2F5496" w:themeColor="accent1" w:themeShade="BF"/>
          <w:lang w:val="fr-BE"/>
        </w:rPr>
        <w:t>calcul provisoire pour le second semestre 2020 (dates indicatives)</w:t>
      </w:r>
      <w:r w:rsidR="00DF77D9">
        <w:rPr>
          <w:color w:val="2F5496" w:themeColor="accent1" w:themeShade="BF"/>
          <w:lang w:val="fr-BE"/>
        </w:rPr>
        <w:t>. Par après, il y aura un nouve</w:t>
      </w:r>
      <w:r w:rsidR="00EF0EB0">
        <w:rPr>
          <w:color w:val="2F5496" w:themeColor="accent1" w:themeShade="BF"/>
          <w:lang w:val="fr-BE"/>
        </w:rPr>
        <w:t>au</w:t>
      </w:r>
      <w:r w:rsidR="00DF77D9">
        <w:rPr>
          <w:color w:val="2F5496" w:themeColor="accent1" w:themeShade="BF"/>
          <w:lang w:val="fr-BE"/>
        </w:rPr>
        <w:t xml:space="preserve"> décompte</w:t>
      </w:r>
      <w:r w:rsidR="00EF0EB0">
        <w:rPr>
          <w:color w:val="2F5496" w:themeColor="accent1" w:themeShade="BF"/>
          <w:lang w:val="fr-BE"/>
        </w:rPr>
        <w:t xml:space="preserve"> </w:t>
      </w:r>
      <w:r w:rsidR="00286E58">
        <w:rPr>
          <w:color w:val="2F5496" w:themeColor="accent1" w:themeShade="BF"/>
          <w:lang w:val="fr-BE"/>
        </w:rPr>
        <w:t>pour le premier semestre 2020 avec</w:t>
      </w:r>
      <w:r w:rsidR="0084560D" w:rsidRPr="00963746">
        <w:rPr>
          <w:color w:val="2F5496" w:themeColor="accent1" w:themeShade="BF"/>
          <w:lang w:val="fr-BE"/>
        </w:rPr>
        <w:t xml:space="preserve"> une série de corrections</w:t>
      </w:r>
      <w:r w:rsidR="00286E58">
        <w:rPr>
          <w:color w:val="2F5496" w:themeColor="accent1" w:themeShade="BF"/>
          <w:lang w:val="fr-BE"/>
        </w:rPr>
        <w:t>.</w:t>
      </w:r>
    </w:p>
    <w:p w14:paraId="28E01621" w14:textId="3BD81D67" w:rsidR="00BD5340" w:rsidRPr="00D71FFE" w:rsidRDefault="00BD5340" w:rsidP="0069695A">
      <w:pPr>
        <w:pStyle w:val="Lijstalinea"/>
        <w:ind w:left="792"/>
        <w:jc w:val="both"/>
        <w:rPr>
          <w:lang w:val="fr-BE"/>
        </w:rPr>
      </w:pPr>
      <w:r w:rsidRPr="00D71FFE">
        <w:rPr>
          <w:lang w:val="fr-BE"/>
        </w:rPr>
        <w:t>Le détail du calcul sera communiqué à chaque hôpital :</w:t>
      </w:r>
    </w:p>
    <w:p w14:paraId="05CF68E2" w14:textId="051D598A" w:rsidR="00BD5340" w:rsidRPr="00D71FFE" w:rsidRDefault="00BD5340" w:rsidP="0069695A">
      <w:pPr>
        <w:pStyle w:val="Lijstalinea"/>
        <w:numPr>
          <w:ilvl w:val="0"/>
          <w:numId w:val="12"/>
        </w:numPr>
        <w:jc w:val="both"/>
        <w:rPr>
          <w:lang w:val="fr-BE"/>
        </w:rPr>
      </w:pPr>
      <w:r w:rsidRPr="00D71FFE">
        <w:rPr>
          <w:lang w:val="fr-BE"/>
        </w:rPr>
        <w:t xml:space="preserve">si votre hôpital présente un solde positif sur la base du calcul provisoire, ce montant sera versé sur le compte bancaire de l'hôpital à brève échéance et en une seule fois.  </w:t>
      </w:r>
    </w:p>
    <w:p w14:paraId="0209620C" w14:textId="63A05EF0" w:rsidR="00B57165" w:rsidRPr="00D71FFE" w:rsidRDefault="00BD5340" w:rsidP="0069695A">
      <w:pPr>
        <w:pStyle w:val="Lijstalinea"/>
        <w:numPr>
          <w:ilvl w:val="0"/>
          <w:numId w:val="12"/>
        </w:numPr>
        <w:jc w:val="both"/>
        <w:rPr>
          <w:lang w:val="fr-BE"/>
        </w:rPr>
      </w:pPr>
      <w:r w:rsidRPr="00D71FFE">
        <w:rPr>
          <w:lang w:val="fr-BE"/>
        </w:rPr>
        <w:t xml:space="preserve">Si votre hôpital présente un solde négatif sur la base du calcul provisoire, aucune liquidation (autrement dit recouvrement) n'aura lieu pour le moment. </w:t>
      </w:r>
    </w:p>
    <w:p w14:paraId="15D63331" w14:textId="189AA1EA" w:rsidR="00BE2E6C" w:rsidRPr="003A6E9A" w:rsidRDefault="00BE2E6C" w:rsidP="002D5C23">
      <w:pPr>
        <w:ind w:left="792"/>
        <w:jc w:val="both"/>
        <w:rPr>
          <w:color w:val="0070C0"/>
          <w:lang w:val="fr-BE"/>
        </w:rPr>
      </w:pPr>
      <w:r w:rsidRPr="00D71FFE">
        <w:rPr>
          <w:lang w:val="fr-BE"/>
        </w:rPr>
        <w:t xml:space="preserve">L’AR prévoit des interventions financières considérables pour les hôpitaux. L’AR évite toutefois un double financement en tenant compte des coûts qui ont été ou sont « répercutés » sur une autre partie. Lors de l’octroi de l’intervention, il est tenu compte du chômage temporaire, des marchandises fournies par le gouvernement et de la non-augmentation des suppléments d’honoraires et des prélèvements à l’hôpital (cf. respect des conditions de l’article 10 - aucune augmentation des suppléments d’honoraires ni des prélèvements à l’hôpital). </w:t>
      </w:r>
      <w:r w:rsidRPr="003A6E9A">
        <w:rPr>
          <w:color w:val="0070C0"/>
          <w:lang w:val="fr-BE"/>
        </w:rPr>
        <w:t>Ces éléments ne seront pas  pris en compte dans le</w:t>
      </w:r>
      <w:r w:rsidR="003A6E9A" w:rsidRPr="003A6E9A">
        <w:rPr>
          <w:color w:val="0070C0"/>
          <w:lang w:val="fr-BE"/>
        </w:rPr>
        <w:t>s</w:t>
      </w:r>
      <w:r w:rsidRPr="003A6E9A">
        <w:rPr>
          <w:color w:val="0070C0"/>
          <w:lang w:val="fr-BE"/>
        </w:rPr>
        <w:t xml:space="preserve"> décompte</w:t>
      </w:r>
      <w:r w:rsidR="003A6E9A" w:rsidRPr="003A6E9A">
        <w:rPr>
          <w:color w:val="0070C0"/>
          <w:lang w:val="fr-BE"/>
        </w:rPr>
        <w:t>s</w:t>
      </w:r>
      <w:r w:rsidRPr="003A6E9A">
        <w:rPr>
          <w:color w:val="0070C0"/>
          <w:lang w:val="fr-BE"/>
        </w:rPr>
        <w:t xml:space="preserve"> provisoire</w:t>
      </w:r>
      <w:r w:rsidR="003A6E9A" w:rsidRPr="003A6E9A">
        <w:rPr>
          <w:color w:val="0070C0"/>
          <w:lang w:val="fr-BE"/>
        </w:rPr>
        <w:t>s</w:t>
      </w:r>
      <w:r w:rsidRPr="003A6E9A">
        <w:rPr>
          <w:color w:val="0070C0"/>
          <w:lang w:val="fr-BE"/>
        </w:rPr>
        <w:t xml:space="preserve">  fin 2020</w:t>
      </w:r>
      <w:r w:rsidR="00F51A25">
        <w:rPr>
          <w:color w:val="0070C0"/>
          <w:lang w:val="fr-BE"/>
        </w:rPr>
        <w:t xml:space="preserve"> mais lors du décompte définitif en 2023</w:t>
      </w:r>
    </w:p>
    <w:p w14:paraId="03D51769" w14:textId="7CDB309A" w:rsidR="005B0658" w:rsidRPr="00D71FFE" w:rsidRDefault="00BD5340" w:rsidP="0069695A">
      <w:pPr>
        <w:pStyle w:val="Lijstalinea"/>
        <w:ind w:left="792"/>
        <w:jc w:val="both"/>
        <w:rPr>
          <w:lang w:val="fr-BE"/>
        </w:rPr>
      </w:pPr>
      <w:r w:rsidRPr="00D71FFE">
        <w:rPr>
          <w:lang w:val="fr-BE"/>
        </w:rPr>
        <w:t>Le décompte définitif suivra en 2023 sur la base des données complètes pour toute l'année 2020. Tant les soldes négatifs que les éventuels soldes positifs non encore attribués, qui résulteront de cet exercice, seront repris dans les montants de rattrapage du budget des moyens financiers de l'hôpital concerné du 1</w:t>
      </w:r>
      <w:r w:rsidRPr="00D71FFE">
        <w:rPr>
          <w:vertAlign w:val="superscript"/>
          <w:lang w:val="fr-BE"/>
        </w:rPr>
        <w:t>er</w:t>
      </w:r>
      <w:r w:rsidRPr="00D71FFE">
        <w:rPr>
          <w:lang w:val="fr-BE"/>
        </w:rPr>
        <w:t xml:space="preserve"> juillet 2023. À ce moment-là, les règles normales pour faire valoir ses observations par rapport au budget des moyens financiers calculé s'appliqueront, étant entendu que</w:t>
      </w:r>
      <w:r w:rsidR="008E1DAD" w:rsidRPr="00D71FFE">
        <w:rPr>
          <w:lang w:val="fr-BE"/>
        </w:rPr>
        <w:t> :</w:t>
      </w:r>
    </w:p>
    <w:p w14:paraId="156A04CB" w14:textId="1D3B1275" w:rsidR="00A969B8" w:rsidRPr="00D71FFE" w:rsidRDefault="00482B16" w:rsidP="005B0658">
      <w:pPr>
        <w:pStyle w:val="Lijstalinea"/>
        <w:numPr>
          <w:ilvl w:val="0"/>
          <w:numId w:val="39"/>
        </w:numPr>
        <w:jc w:val="both"/>
        <w:rPr>
          <w:b/>
          <w:bCs/>
          <w:lang w:val="fr-BE"/>
        </w:rPr>
      </w:pPr>
      <w:r w:rsidRPr="00D71FFE">
        <w:rPr>
          <w:lang w:val="fr-BE"/>
        </w:rPr>
        <w:t>le gestionnaire, en collaboration avec le président du Conseil médical, doit vérifier s'il est possible de parvenir à un accord avec la régularisation définitive ;</w:t>
      </w:r>
    </w:p>
    <w:p w14:paraId="7E3FD124" w14:textId="5D6D156B" w:rsidR="005B0658" w:rsidRPr="00D71FFE" w:rsidRDefault="005B0658" w:rsidP="005B0658">
      <w:pPr>
        <w:pStyle w:val="Lijstalinea"/>
        <w:numPr>
          <w:ilvl w:val="0"/>
          <w:numId w:val="39"/>
        </w:numPr>
        <w:jc w:val="both"/>
        <w:rPr>
          <w:b/>
          <w:bCs/>
          <w:lang w:val="fr-BE"/>
        </w:rPr>
      </w:pPr>
      <w:r w:rsidRPr="00D71FFE">
        <w:rPr>
          <w:lang w:val="fr-BE"/>
        </w:rPr>
        <w:t>après les observations de l'hôpital et du président du Conseil médical, les informations concernant la décision du ministre sont communiquées au CFEH et au Comité de l'assurance de l'INAMI.</w:t>
      </w:r>
    </w:p>
    <w:p w14:paraId="54C30484" w14:textId="37FA6E7B" w:rsidR="006B1809" w:rsidRPr="00D71FFE" w:rsidRDefault="006B1809" w:rsidP="009817B1">
      <w:pPr>
        <w:ind w:left="708"/>
        <w:jc w:val="both"/>
        <w:rPr>
          <w:lang w:val="fr-BE"/>
        </w:rPr>
      </w:pPr>
      <w:r w:rsidRPr="00D71FFE">
        <w:rPr>
          <w:lang w:val="fr-BE"/>
        </w:rPr>
        <w:t>L'intervention définitive dépend de la facturation en 2020. Étant donné que la facturation est possible jusqu'à 2 ans après la date de prestation, et que par la suite, les organismes assureurs doivent encore transmettre ces données à l'INAMI, le calcul provisoire de fin 2020 (premier semestre) et mi-2021 (deuxième semestre) est donc basé sur une facturation éventuellement incomplète. C'est pour cette raison que le décompte définitif aura lieu en 2023, qui est le moment le plus proche possible pour identifier correctement tous les paramètres.</w:t>
      </w:r>
    </w:p>
    <w:p w14:paraId="499EF459" w14:textId="7C58BFF3" w:rsidR="009817B1" w:rsidRDefault="009817B1" w:rsidP="002D5C23">
      <w:pPr>
        <w:ind w:left="1152"/>
        <w:jc w:val="both"/>
        <w:rPr>
          <w:lang w:val="fr-BE"/>
        </w:rPr>
      </w:pPr>
    </w:p>
    <w:p w14:paraId="73C8B5B9" w14:textId="75F08280" w:rsidR="00DB4605" w:rsidRDefault="00DB4605" w:rsidP="002D5C23">
      <w:pPr>
        <w:ind w:left="1152"/>
        <w:jc w:val="both"/>
        <w:rPr>
          <w:lang w:val="fr-BE"/>
        </w:rPr>
      </w:pPr>
    </w:p>
    <w:p w14:paraId="26CB51ED" w14:textId="41F6135E" w:rsidR="00DB4605" w:rsidRDefault="00DB4605" w:rsidP="002D5C23">
      <w:pPr>
        <w:ind w:left="1152"/>
        <w:jc w:val="both"/>
        <w:rPr>
          <w:lang w:val="fr-BE"/>
        </w:rPr>
      </w:pPr>
    </w:p>
    <w:p w14:paraId="1851C5AF" w14:textId="77777777" w:rsidR="00DB4605" w:rsidRDefault="00DB4605" w:rsidP="002D5C23">
      <w:pPr>
        <w:ind w:left="1152"/>
        <w:jc w:val="both"/>
        <w:rPr>
          <w:lang w:val="fr-BE"/>
        </w:rPr>
      </w:pPr>
    </w:p>
    <w:p w14:paraId="3BC0211C" w14:textId="17DB782F" w:rsidR="006B1809" w:rsidRPr="00963746" w:rsidRDefault="00A645BA" w:rsidP="00963746">
      <w:pPr>
        <w:outlineLvl w:val="2"/>
        <w:rPr>
          <w:b/>
          <w:bCs/>
          <w:i/>
          <w:iCs/>
          <w:lang w:val="fr-BE"/>
        </w:rPr>
      </w:pPr>
      <w:bookmarkStart w:id="34" w:name="_Toc67817067"/>
      <w:r w:rsidRPr="00963746">
        <w:rPr>
          <w:b/>
          <w:bCs/>
          <w:i/>
          <w:iCs/>
          <w:lang w:val="fr-BE"/>
        </w:rPr>
        <w:lastRenderedPageBreak/>
        <w:t xml:space="preserve">Q &amp; </w:t>
      </w:r>
      <w:r w:rsidR="007F2DB5" w:rsidRPr="00963746">
        <w:rPr>
          <w:b/>
          <w:bCs/>
          <w:i/>
          <w:iCs/>
          <w:lang w:val="fr-BE"/>
        </w:rPr>
        <w:t>R</w:t>
      </w:r>
      <w:r w:rsidRPr="00963746">
        <w:rPr>
          <w:b/>
          <w:bCs/>
          <w:i/>
          <w:iCs/>
          <w:lang w:val="fr-BE"/>
        </w:rPr>
        <w:t xml:space="preserve"> Chapitre 7</w:t>
      </w:r>
      <w:bookmarkEnd w:id="34"/>
    </w:p>
    <w:p w14:paraId="2B3938AE" w14:textId="42502F8C" w:rsidR="00B55E40" w:rsidRPr="00D71FFE" w:rsidRDefault="00B55E40" w:rsidP="00963746">
      <w:pPr>
        <w:pStyle w:val="Lijstalinea"/>
        <w:numPr>
          <w:ilvl w:val="0"/>
          <w:numId w:val="39"/>
        </w:numPr>
        <w:ind w:left="1080"/>
        <w:jc w:val="both"/>
        <w:rPr>
          <w:lang w:val="fr-BE"/>
        </w:rPr>
      </w:pPr>
      <w:r w:rsidRPr="00D71FFE">
        <w:rPr>
          <w:lang w:val="fr-BE"/>
        </w:rPr>
        <w:t>Pourquoi y a-t-il un décompte provisoire et un décompte définitif ?</w:t>
      </w:r>
    </w:p>
    <w:p w14:paraId="4D403936" w14:textId="292119AD" w:rsidR="00B55E40" w:rsidRPr="00963746" w:rsidRDefault="00B55E40" w:rsidP="00963746">
      <w:pPr>
        <w:pStyle w:val="Lijstalinea"/>
        <w:numPr>
          <w:ilvl w:val="1"/>
          <w:numId w:val="39"/>
        </w:numPr>
        <w:ind w:left="1800"/>
        <w:jc w:val="both"/>
        <w:rPr>
          <w:i/>
          <w:iCs/>
          <w:lang w:val="fr-BE"/>
        </w:rPr>
      </w:pPr>
      <w:r w:rsidRPr="00963746">
        <w:rPr>
          <w:i/>
          <w:iCs/>
          <w:lang w:val="fr-BE"/>
        </w:rPr>
        <w:t>Les informations sont encore incomplètes en 2020</w:t>
      </w:r>
      <w:r w:rsidR="0084560D" w:rsidRPr="00963746">
        <w:rPr>
          <w:i/>
          <w:iCs/>
          <w:lang w:val="fr-BE"/>
        </w:rPr>
        <w:t xml:space="preserve"> et même en 2021</w:t>
      </w:r>
      <w:r w:rsidRPr="00963746">
        <w:rPr>
          <w:i/>
          <w:iCs/>
          <w:lang w:val="fr-BE"/>
        </w:rPr>
        <w:t xml:space="preserve"> et le gouvernement n’est pas encore en mesure de procéder à un contrôle complet et approfondi :</w:t>
      </w:r>
    </w:p>
    <w:p w14:paraId="62C92315" w14:textId="5D3A5C48" w:rsidR="00BB07AE" w:rsidRPr="00963746" w:rsidRDefault="00B55E40" w:rsidP="00963746">
      <w:pPr>
        <w:pStyle w:val="Lijstalinea"/>
        <w:numPr>
          <w:ilvl w:val="2"/>
          <w:numId w:val="39"/>
        </w:numPr>
        <w:ind w:left="2520"/>
        <w:jc w:val="both"/>
        <w:rPr>
          <w:i/>
          <w:iCs/>
          <w:lang w:val="fr-BE"/>
        </w:rPr>
      </w:pPr>
      <w:r w:rsidRPr="00963746">
        <w:rPr>
          <w:i/>
          <w:iCs/>
          <w:lang w:val="fr-BE"/>
        </w:rPr>
        <w:t>L’intervention définitive dépend de la facturation au cours des mois de mars à juin 2020, pour plusieurs calculs en exécution de l’AR (ajustements au budget « normal »). La facturation est possible jusqu’à deux ans après la date de prestation. Le</w:t>
      </w:r>
      <w:r w:rsidR="0084560D" w:rsidRPr="00963746">
        <w:rPr>
          <w:i/>
          <w:iCs/>
          <w:lang w:val="fr-BE"/>
        </w:rPr>
        <w:t>s</w:t>
      </w:r>
      <w:r w:rsidRPr="00963746">
        <w:rPr>
          <w:i/>
          <w:iCs/>
          <w:lang w:val="fr-BE"/>
        </w:rPr>
        <w:t xml:space="preserve"> calcul</w:t>
      </w:r>
      <w:r w:rsidR="0084560D" w:rsidRPr="00963746">
        <w:rPr>
          <w:i/>
          <w:iCs/>
          <w:lang w:val="fr-BE"/>
        </w:rPr>
        <w:t>s</w:t>
      </w:r>
      <w:r w:rsidRPr="00963746">
        <w:rPr>
          <w:i/>
          <w:iCs/>
          <w:lang w:val="fr-BE"/>
        </w:rPr>
        <w:t xml:space="preserve"> provisoire</w:t>
      </w:r>
      <w:r w:rsidR="0084560D" w:rsidRPr="00963746">
        <w:rPr>
          <w:i/>
          <w:iCs/>
          <w:lang w:val="fr-BE"/>
        </w:rPr>
        <w:t>s par semestre</w:t>
      </w:r>
      <w:r w:rsidRPr="00963746">
        <w:rPr>
          <w:i/>
          <w:iCs/>
          <w:lang w:val="fr-BE"/>
        </w:rPr>
        <w:t xml:space="preserve"> de 2020 </w:t>
      </w:r>
      <w:r w:rsidR="0084560D" w:rsidRPr="00963746">
        <w:rPr>
          <w:i/>
          <w:iCs/>
          <w:lang w:val="fr-BE"/>
        </w:rPr>
        <w:t xml:space="preserve">sont </w:t>
      </w:r>
      <w:r w:rsidRPr="00963746">
        <w:rPr>
          <w:i/>
          <w:iCs/>
          <w:lang w:val="fr-BE"/>
        </w:rPr>
        <w:t>donc basé sur une facturation éventuellement incomplète</w:t>
      </w:r>
      <w:r w:rsidR="0084560D" w:rsidRPr="00963746">
        <w:rPr>
          <w:i/>
          <w:iCs/>
          <w:lang w:val="fr-BE"/>
        </w:rPr>
        <w:t>, ou connus/comptabilisés</w:t>
      </w:r>
      <w:r w:rsidR="007F2DB5" w:rsidRPr="00963746">
        <w:rPr>
          <w:i/>
          <w:iCs/>
          <w:lang w:val="fr-BE"/>
        </w:rPr>
        <w:t xml:space="preserve"> de manière </w:t>
      </w:r>
      <w:r w:rsidR="0084560D" w:rsidRPr="00963746">
        <w:rPr>
          <w:i/>
          <w:iCs/>
          <w:lang w:val="fr-BE"/>
        </w:rPr>
        <w:t xml:space="preserve"> </w:t>
      </w:r>
      <w:r w:rsidR="007F2DB5" w:rsidRPr="00963746">
        <w:rPr>
          <w:i/>
          <w:iCs/>
          <w:lang w:val="fr-BE"/>
        </w:rPr>
        <w:t xml:space="preserve">incomplète </w:t>
      </w:r>
      <w:r w:rsidR="0084560D" w:rsidRPr="00963746">
        <w:rPr>
          <w:i/>
          <w:iCs/>
          <w:lang w:val="fr-BE"/>
        </w:rPr>
        <w:t>par l'INAMI.</w:t>
      </w:r>
    </w:p>
    <w:p w14:paraId="501BB500" w14:textId="6CDED299" w:rsidR="00C2372E" w:rsidRPr="00963746" w:rsidRDefault="00B55E40" w:rsidP="00963746">
      <w:pPr>
        <w:pStyle w:val="Lijstalinea"/>
        <w:numPr>
          <w:ilvl w:val="2"/>
          <w:numId w:val="39"/>
        </w:numPr>
        <w:ind w:left="2520"/>
        <w:jc w:val="both"/>
        <w:rPr>
          <w:i/>
          <w:iCs/>
          <w:lang w:val="fr-BE"/>
        </w:rPr>
      </w:pPr>
      <w:r w:rsidRPr="00963746">
        <w:rPr>
          <w:i/>
          <w:iCs/>
          <w:lang w:val="fr-BE"/>
        </w:rPr>
        <w:t xml:space="preserve">Le contrôle des informations communiquées par les hôpitaux ne sera pas encore complètement terminé d'ici la fin de l'année </w:t>
      </w:r>
      <w:r w:rsidR="0084560D" w:rsidRPr="00963746">
        <w:rPr>
          <w:i/>
          <w:iCs/>
          <w:lang w:val="fr-BE"/>
        </w:rPr>
        <w:t>2021</w:t>
      </w:r>
      <w:r w:rsidRPr="00963746">
        <w:rPr>
          <w:i/>
          <w:iCs/>
          <w:lang w:val="fr-BE"/>
        </w:rPr>
        <w:t xml:space="preserve">. Si des erreurs devaient toutefois être détectées ou si des explications complémentaires sont nécessaires, il sera alors toujours possible d’y remédier dans le décompte définitif 2023. Le taux de prélèvement communiqué sera p. ex. appliqué, mais le contrôle </w:t>
      </w:r>
      <w:r w:rsidR="0084560D" w:rsidRPr="00963746">
        <w:rPr>
          <w:i/>
          <w:iCs/>
          <w:lang w:val="fr-BE"/>
        </w:rPr>
        <w:t>sera que effectué en 2021.</w:t>
      </w:r>
    </w:p>
    <w:p w14:paraId="3B4235D6" w14:textId="77777777" w:rsidR="00BB07AE" w:rsidRPr="0084560D" w:rsidRDefault="00BB07AE" w:rsidP="00963746">
      <w:pPr>
        <w:pStyle w:val="Lijstalinea"/>
        <w:ind w:left="2952"/>
        <w:jc w:val="both"/>
        <w:rPr>
          <w:i/>
          <w:iCs/>
          <w:lang w:val="fr-BE"/>
        </w:rPr>
      </w:pPr>
    </w:p>
    <w:p w14:paraId="26A435AA" w14:textId="5D7E446E" w:rsidR="00020ECD" w:rsidRPr="00A869A4" w:rsidRDefault="00320E97" w:rsidP="00963746">
      <w:pPr>
        <w:pStyle w:val="Lijstalinea"/>
        <w:numPr>
          <w:ilvl w:val="0"/>
          <w:numId w:val="39"/>
        </w:numPr>
        <w:ind w:left="1080"/>
        <w:jc w:val="both"/>
        <w:rPr>
          <w:color w:val="0070C0"/>
          <w:lang w:val="fr-BE"/>
        </w:rPr>
      </w:pPr>
      <w:r w:rsidRPr="00D71FFE">
        <w:rPr>
          <w:lang w:val="fr-BE"/>
        </w:rPr>
        <w:t xml:space="preserve">Le chômage temporaire sera-t-il déjà pris en compte </w:t>
      </w:r>
      <w:r w:rsidRPr="00A869A4">
        <w:rPr>
          <w:color w:val="0070C0"/>
          <w:lang w:val="fr-BE"/>
        </w:rPr>
        <w:t>dans le</w:t>
      </w:r>
      <w:r w:rsidR="00A869A4" w:rsidRPr="00A869A4">
        <w:rPr>
          <w:color w:val="0070C0"/>
          <w:lang w:val="fr-BE"/>
        </w:rPr>
        <w:t>s</w:t>
      </w:r>
      <w:r w:rsidRPr="00A869A4">
        <w:rPr>
          <w:color w:val="0070C0"/>
          <w:lang w:val="fr-BE"/>
        </w:rPr>
        <w:t xml:space="preserve"> décompte</w:t>
      </w:r>
      <w:r w:rsidR="00A869A4" w:rsidRPr="00A869A4">
        <w:rPr>
          <w:color w:val="0070C0"/>
          <w:lang w:val="fr-BE"/>
        </w:rPr>
        <w:t>s</w:t>
      </w:r>
      <w:r w:rsidRPr="00A869A4">
        <w:rPr>
          <w:color w:val="0070C0"/>
          <w:lang w:val="fr-BE"/>
        </w:rPr>
        <w:t xml:space="preserve"> provisoire</w:t>
      </w:r>
      <w:r w:rsidR="00A869A4" w:rsidRPr="00A869A4">
        <w:rPr>
          <w:color w:val="0070C0"/>
          <w:lang w:val="fr-BE"/>
        </w:rPr>
        <w:t>s</w:t>
      </w:r>
      <w:r w:rsidRPr="00A869A4">
        <w:rPr>
          <w:color w:val="0070C0"/>
          <w:lang w:val="fr-BE"/>
        </w:rPr>
        <w:t xml:space="preserve"> de  2020 ?</w:t>
      </w:r>
    </w:p>
    <w:p w14:paraId="72F7E45F" w14:textId="2D5B1243" w:rsidR="00B0666A" w:rsidRPr="00963746" w:rsidRDefault="00020ECD" w:rsidP="00963746">
      <w:pPr>
        <w:pStyle w:val="Lijstalinea"/>
        <w:numPr>
          <w:ilvl w:val="1"/>
          <w:numId w:val="39"/>
        </w:numPr>
        <w:ind w:left="1800"/>
        <w:jc w:val="both"/>
        <w:rPr>
          <w:i/>
          <w:iCs/>
          <w:lang w:val="fr-BE"/>
        </w:rPr>
      </w:pPr>
      <w:r w:rsidRPr="00963746">
        <w:rPr>
          <w:i/>
          <w:iCs/>
          <w:lang w:val="fr-BE"/>
        </w:rPr>
        <w:t>Non, il ne sera pas  pris en compte dans le</w:t>
      </w:r>
      <w:r w:rsidR="00F51A25">
        <w:rPr>
          <w:i/>
          <w:iCs/>
          <w:lang w:val="fr-BE"/>
        </w:rPr>
        <w:t>s</w:t>
      </w:r>
      <w:r w:rsidRPr="00963746">
        <w:rPr>
          <w:i/>
          <w:iCs/>
          <w:lang w:val="fr-BE"/>
        </w:rPr>
        <w:t xml:space="preserve">  décompte</w:t>
      </w:r>
      <w:r w:rsidR="00F51A25">
        <w:rPr>
          <w:i/>
          <w:iCs/>
          <w:lang w:val="fr-BE"/>
        </w:rPr>
        <w:t>s provisoires</w:t>
      </w:r>
      <w:r w:rsidRPr="00963746">
        <w:rPr>
          <w:i/>
          <w:iCs/>
          <w:lang w:val="fr-BE"/>
        </w:rPr>
        <w:t>.</w:t>
      </w:r>
    </w:p>
    <w:p w14:paraId="7D4DD151" w14:textId="37A4A74C" w:rsidR="00A65F37" w:rsidRPr="004B06D2" w:rsidRDefault="0019070F" w:rsidP="00963746">
      <w:pPr>
        <w:pStyle w:val="Lijstalinea"/>
        <w:numPr>
          <w:ilvl w:val="1"/>
          <w:numId w:val="39"/>
        </w:numPr>
        <w:ind w:left="1800"/>
        <w:jc w:val="both"/>
        <w:rPr>
          <w:i/>
          <w:iCs/>
          <w:color w:val="0070C0"/>
          <w:lang w:val="fr-BE"/>
        </w:rPr>
      </w:pPr>
      <w:r w:rsidRPr="00963746">
        <w:rPr>
          <w:i/>
          <w:iCs/>
          <w:lang w:val="fr-BE"/>
        </w:rPr>
        <w:t xml:space="preserve">Toutefois, les hôpitaux </w:t>
      </w:r>
      <w:r w:rsidR="00F170A4" w:rsidRPr="00F170A4">
        <w:rPr>
          <w:i/>
          <w:iCs/>
          <w:color w:val="0070C0"/>
          <w:lang w:val="fr-BE"/>
        </w:rPr>
        <w:t>sont</w:t>
      </w:r>
      <w:r w:rsidRPr="00F170A4">
        <w:rPr>
          <w:i/>
          <w:iCs/>
          <w:color w:val="0070C0"/>
          <w:lang w:val="fr-BE"/>
        </w:rPr>
        <w:t xml:space="preserve"> </w:t>
      </w:r>
      <w:r w:rsidRPr="00963746">
        <w:rPr>
          <w:i/>
          <w:iCs/>
          <w:lang w:val="fr-BE"/>
        </w:rPr>
        <w:t xml:space="preserve">déjà tenus de </w:t>
      </w:r>
      <w:r w:rsidR="005C3AF4" w:rsidRPr="00963746">
        <w:rPr>
          <w:i/>
          <w:iCs/>
          <w:lang w:val="fr-BE"/>
        </w:rPr>
        <w:t>communiquer cet</w:t>
      </w:r>
      <w:r w:rsidR="00F51A25">
        <w:rPr>
          <w:i/>
          <w:iCs/>
          <w:lang w:val="fr-BE"/>
        </w:rPr>
        <w:t>te</w:t>
      </w:r>
      <w:r w:rsidR="005C3AF4" w:rsidRPr="00963746">
        <w:rPr>
          <w:i/>
          <w:iCs/>
          <w:lang w:val="fr-BE"/>
        </w:rPr>
        <w:t xml:space="preserve"> information </w:t>
      </w:r>
      <w:r w:rsidRPr="00963746">
        <w:rPr>
          <w:i/>
          <w:iCs/>
          <w:lang w:val="fr-BE"/>
        </w:rPr>
        <w:t xml:space="preserve">lors </w:t>
      </w:r>
      <w:r w:rsidRPr="00F170A4">
        <w:rPr>
          <w:i/>
          <w:iCs/>
          <w:color w:val="0070C0"/>
          <w:lang w:val="fr-BE"/>
        </w:rPr>
        <w:t>de</w:t>
      </w:r>
      <w:r w:rsidR="00F170A4" w:rsidRPr="00F170A4">
        <w:rPr>
          <w:i/>
          <w:iCs/>
          <w:color w:val="0070C0"/>
          <w:lang w:val="fr-BE"/>
        </w:rPr>
        <w:t>s</w:t>
      </w:r>
      <w:r w:rsidRPr="00F170A4">
        <w:rPr>
          <w:i/>
          <w:iCs/>
          <w:color w:val="0070C0"/>
          <w:lang w:val="fr-BE"/>
        </w:rPr>
        <w:t xml:space="preserve"> </w:t>
      </w:r>
      <w:r w:rsidRPr="00963746">
        <w:rPr>
          <w:i/>
          <w:iCs/>
          <w:lang w:val="fr-BE"/>
        </w:rPr>
        <w:t>collecte</w:t>
      </w:r>
      <w:r w:rsidR="00F170A4">
        <w:rPr>
          <w:i/>
          <w:iCs/>
          <w:lang w:val="fr-BE"/>
        </w:rPr>
        <w:t>s</w:t>
      </w:r>
      <w:r w:rsidRPr="00963746">
        <w:rPr>
          <w:i/>
          <w:iCs/>
          <w:lang w:val="fr-BE"/>
        </w:rPr>
        <w:t xml:space="preserve"> de données : si, au cours de </w:t>
      </w:r>
      <w:r w:rsidRPr="00A834D2">
        <w:rPr>
          <w:i/>
          <w:iCs/>
          <w:color w:val="0070C0"/>
          <w:lang w:val="fr-BE"/>
        </w:rPr>
        <w:t>2020</w:t>
      </w:r>
      <w:r w:rsidRPr="00963746">
        <w:rPr>
          <w:i/>
          <w:iCs/>
          <w:lang w:val="fr-BE"/>
        </w:rPr>
        <w:t>, l'hôpital a eu recours au régime de chômage temporaire, alors les nombres d'équivalents temps plein concernés par le chômage temporaire d</w:t>
      </w:r>
      <w:r w:rsidR="00A834D2">
        <w:rPr>
          <w:i/>
          <w:iCs/>
          <w:lang w:val="fr-BE"/>
        </w:rPr>
        <w:t>oivent</w:t>
      </w:r>
      <w:r w:rsidRPr="00963746">
        <w:rPr>
          <w:i/>
          <w:iCs/>
          <w:lang w:val="fr-BE"/>
        </w:rPr>
        <w:t xml:space="preserve"> déjà être introduits conformément à la classification Finhosta. </w:t>
      </w:r>
      <w:r w:rsidRPr="004B06D2">
        <w:rPr>
          <w:i/>
          <w:iCs/>
          <w:color w:val="0070C0"/>
          <w:lang w:val="fr-BE"/>
        </w:rPr>
        <w:t>Les nombres pour l'ensemble de l'hôpital (tous les centres de frais) doivent être remplis, à l'exception des centres de frais pour les services non hospitaliers 9XXX.</w:t>
      </w:r>
    </w:p>
    <w:p w14:paraId="3EB1C1C9" w14:textId="19D85A8D" w:rsidR="00C2372E" w:rsidRDefault="00A73CEF" w:rsidP="00452105">
      <w:pPr>
        <w:pStyle w:val="Lijstalinea"/>
        <w:numPr>
          <w:ilvl w:val="1"/>
          <w:numId w:val="39"/>
        </w:numPr>
        <w:ind w:left="1800"/>
        <w:jc w:val="both"/>
        <w:rPr>
          <w:i/>
          <w:iCs/>
          <w:lang w:val="fr-BE"/>
        </w:rPr>
      </w:pPr>
      <w:r w:rsidRPr="00452105">
        <w:rPr>
          <w:i/>
          <w:iCs/>
          <w:lang w:val="fr-BE"/>
        </w:rPr>
        <w:t>Le montant qui sera déduit par ETP en cas de chômage temporaire</w:t>
      </w:r>
      <w:r w:rsidR="00FE5BAB" w:rsidRPr="00452105">
        <w:rPr>
          <w:i/>
          <w:iCs/>
          <w:lang w:val="fr-BE"/>
        </w:rPr>
        <w:t xml:space="preserve"> lors du décompte final</w:t>
      </w:r>
      <w:r w:rsidRPr="00452105">
        <w:rPr>
          <w:i/>
          <w:iCs/>
          <w:lang w:val="fr-BE"/>
        </w:rPr>
        <w:t xml:space="preserve"> doit encore être décidé.</w:t>
      </w:r>
      <w:r w:rsidR="005C3AF4" w:rsidRPr="00452105">
        <w:rPr>
          <w:i/>
          <w:iCs/>
          <w:lang w:val="fr-BE"/>
        </w:rPr>
        <w:t xml:space="preserve"> </w:t>
      </w:r>
    </w:p>
    <w:p w14:paraId="4A122277" w14:textId="77777777" w:rsidR="00452105" w:rsidRPr="00452105" w:rsidRDefault="00452105" w:rsidP="00452105">
      <w:pPr>
        <w:pStyle w:val="Lijstalinea"/>
        <w:ind w:left="1800"/>
        <w:jc w:val="both"/>
        <w:rPr>
          <w:i/>
          <w:iCs/>
          <w:lang w:val="fr-BE"/>
        </w:rPr>
      </w:pPr>
    </w:p>
    <w:p w14:paraId="49DED0FC" w14:textId="36CEB6A1" w:rsidR="00752C88" w:rsidRPr="00D71FFE" w:rsidRDefault="00752C88" w:rsidP="00963746">
      <w:pPr>
        <w:pStyle w:val="Lijstalinea"/>
        <w:numPr>
          <w:ilvl w:val="0"/>
          <w:numId w:val="39"/>
        </w:numPr>
        <w:ind w:left="1080"/>
        <w:jc w:val="both"/>
        <w:rPr>
          <w:lang w:val="fr-BE"/>
        </w:rPr>
      </w:pPr>
      <w:r w:rsidRPr="00D71FFE">
        <w:rPr>
          <w:lang w:val="fr-BE"/>
        </w:rPr>
        <w:t>Les équipements de protection individuelle, les produits pharmaceutiques et/ou les dispositifs médicaux reçus par le biais de l'AFMPS seront-ils déjà pris en compte dans le premier décompte provisoire de fin 2020 ?</w:t>
      </w:r>
    </w:p>
    <w:p w14:paraId="0404407F" w14:textId="0F2309DF" w:rsidR="00752C88" w:rsidRPr="00963746" w:rsidRDefault="00752C88" w:rsidP="00963746">
      <w:pPr>
        <w:pStyle w:val="Lijstalinea"/>
        <w:numPr>
          <w:ilvl w:val="1"/>
          <w:numId w:val="39"/>
        </w:numPr>
        <w:ind w:left="1800"/>
        <w:jc w:val="both"/>
        <w:rPr>
          <w:i/>
          <w:iCs/>
          <w:lang w:val="fr-BE"/>
        </w:rPr>
      </w:pPr>
      <w:r w:rsidRPr="00963746">
        <w:rPr>
          <w:i/>
          <w:iCs/>
          <w:lang w:val="fr-BE"/>
        </w:rPr>
        <w:t xml:space="preserve">Non, ces fournitures ne seront pas encore prises en compte dans le premier décompte. </w:t>
      </w:r>
    </w:p>
    <w:p w14:paraId="46A8DCD6" w14:textId="23BDE221" w:rsidR="00B33F9A" w:rsidRPr="00963746" w:rsidRDefault="00B56F77" w:rsidP="00BB07AE">
      <w:pPr>
        <w:pStyle w:val="Lijstalinea"/>
        <w:numPr>
          <w:ilvl w:val="1"/>
          <w:numId w:val="39"/>
        </w:numPr>
        <w:ind w:left="1800"/>
        <w:jc w:val="both"/>
        <w:rPr>
          <w:i/>
          <w:iCs/>
          <w:lang w:val="fr-BE"/>
        </w:rPr>
      </w:pPr>
      <w:r w:rsidRPr="00963746">
        <w:rPr>
          <w:i/>
          <w:iCs/>
          <w:lang w:val="fr-BE"/>
        </w:rPr>
        <w:t>L'AFMPS et l'INAMI fourniront les informations nécessaires au décompte par hôpital.</w:t>
      </w:r>
    </w:p>
    <w:p w14:paraId="4698C0D0" w14:textId="77777777" w:rsidR="00BB07AE" w:rsidRPr="00963746" w:rsidRDefault="00BB07AE" w:rsidP="00963746">
      <w:pPr>
        <w:pStyle w:val="Lijstalinea"/>
        <w:ind w:left="1800"/>
        <w:jc w:val="both"/>
        <w:rPr>
          <w:i/>
          <w:iCs/>
          <w:color w:val="2F5496" w:themeColor="accent1" w:themeShade="BF"/>
          <w:lang w:val="fr-BE"/>
        </w:rPr>
      </w:pPr>
    </w:p>
    <w:p w14:paraId="2463A5DD" w14:textId="77777777" w:rsidR="005C3AF4" w:rsidRPr="00963746" w:rsidRDefault="005C3AF4" w:rsidP="00963746">
      <w:pPr>
        <w:pStyle w:val="Lijstalinea"/>
        <w:numPr>
          <w:ilvl w:val="0"/>
          <w:numId w:val="39"/>
        </w:numPr>
        <w:ind w:left="1080"/>
        <w:jc w:val="both"/>
        <w:rPr>
          <w:color w:val="2F5496" w:themeColor="accent1" w:themeShade="BF"/>
          <w:lang w:val="fr-BE"/>
        </w:rPr>
      </w:pPr>
      <w:r w:rsidRPr="00963746">
        <w:rPr>
          <w:color w:val="2F5496" w:themeColor="accent1" w:themeShade="BF"/>
          <w:lang w:val="fr-BE"/>
        </w:rPr>
        <w:t>Des corrections s’avèrent nécessaires dans le premier décompte provisoire. Les hôpitaux doivent-ils attendre le décompte définitif de 2023 ?</w:t>
      </w:r>
    </w:p>
    <w:p w14:paraId="5657251B" w14:textId="343F441B" w:rsidR="00DB5C19" w:rsidRPr="00963746" w:rsidRDefault="005C3AF4" w:rsidP="00963746">
      <w:pPr>
        <w:pStyle w:val="Lijstalinea"/>
        <w:numPr>
          <w:ilvl w:val="1"/>
          <w:numId w:val="39"/>
        </w:numPr>
        <w:ind w:left="1800"/>
        <w:jc w:val="both"/>
        <w:rPr>
          <w:i/>
          <w:iCs/>
          <w:color w:val="2F5496" w:themeColor="accent1" w:themeShade="BF"/>
          <w:lang w:val="fr-BE"/>
        </w:rPr>
      </w:pPr>
      <w:r w:rsidRPr="00963746">
        <w:rPr>
          <w:i/>
          <w:iCs/>
          <w:color w:val="2F5496" w:themeColor="accent1" w:themeShade="BF"/>
          <w:lang w:val="fr-BE"/>
        </w:rPr>
        <w:t>Non. Comme déjà dit plus haut, un nouveau décompte provisoire pour le premier semestre 2020 sera réalisé</w:t>
      </w:r>
      <w:r w:rsidR="00D777FF">
        <w:rPr>
          <w:i/>
          <w:iCs/>
          <w:color w:val="2F5496" w:themeColor="accent1" w:themeShade="BF"/>
          <w:lang w:val="fr-BE"/>
        </w:rPr>
        <w:t xml:space="preserve"> pour l’automne 2021.</w:t>
      </w:r>
    </w:p>
    <w:p w14:paraId="158910BC" w14:textId="5279E34C" w:rsidR="00DB5C19" w:rsidRDefault="00DB5C19" w:rsidP="003849CF">
      <w:pPr>
        <w:pStyle w:val="Lijstalinea"/>
        <w:ind w:left="2232"/>
        <w:jc w:val="both"/>
        <w:rPr>
          <w:b/>
          <w:bCs/>
          <w:i/>
          <w:iCs/>
          <w:color w:val="A6A6A6" w:themeColor="background1" w:themeShade="A6"/>
          <w:lang w:val="fr-BE"/>
        </w:rPr>
      </w:pPr>
    </w:p>
    <w:p w14:paraId="2911CCBA" w14:textId="5466B7B4" w:rsidR="00BB07AE" w:rsidRDefault="00BB07AE" w:rsidP="003849CF">
      <w:pPr>
        <w:pStyle w:val="Lijstalinea"/>
        <w:ind w:left="2232"/>
        <w:jc w:val="both"/>
        <w:rPr>
          <w:b/>
          <w:bCs/>
          <w:i/>
          <w:iCs/>
          <w:color w:val="A6A6A6" w:themeColor="background1" w:themeShade="A6"/>
          <w:lang w:val="fr-BE"/>
        </w:rPr>
      </w:pPr>
    </w:p>
    <w:p w14:paraId="03A24804" w14:textId="6259D9EC" w:rsidR="00DB4605" w:rsidRDefault="00DB4605" w:rsidP="003849CF">
      <w:pPr>
        <w:pStyle w:val="Lijstalinea"/>
        <w:ind w:left="2232"/>
        <w:jc w:val="both"/>
        <w:rPr>
          <w:b/>
          <w:bCs/>
          <w:i/>
          <w:iCs/>
          <w:color w:val="A6A6A6" w:themeColor="background1" w:themeShade="A6"/>
          <w:lang w:val="fr-BE"/>
        </w:rPr>
      </w:pPr>
    </w:p>
    <w:p w14:paraId="2C0A163E" w14:textId="77777777" w:rsidR="00DB4605" w:rsidRPr="003849CF" w:rsidRDefault="00DB4605" w:rsidP="003849CF">
      <w:pPr>
        <w:pStyle w:val="Lijstalinea"/>
        <w:ind w:left="2232"/>
        <w:jc w:val="both"/>
        <w:rPr>
          <w:b/>
          <w:bCs/>
          <w:i/>
          <w:iCs/>
          <w:color w:val="A6A6A6" w:themeColor="background1" w:themeShade="A6"/>
          <w:lang w:val="fr-BE"/>
        </w:rPr>
      </w:pPr>
    </w:p>
    <w:p w14:paraId="25F55ABE" w14:textId="7910E131" w:rsidR="00DD6AD2" w:rsidRPr="00D71FFE" w:rsidRDefault="00DD6AD2" w:rsidP="003849CF">
      <w:pPr>
        <w:pStyle w:val="Lijstalinea"/>
        <w:numPr>
          <w:ilvl w:val="1"/>
          <w:numId w:val="1"/>
        </w:numPr>
        <w:ind w:left="795"/>
        <w:outlineLvl w:val="1"/>
        <w:rPr>
          <w:b/>
          <w:bCs/>
          <w:lang w:val="fr-BE"/>
        </w:rPr>
      </w:pPr>
      <w:bookmarkStart w:id="35" w:name="_Toc67817068"/>
      <w:r w:rsidRPr="00D71FFE">
        <w:rPr>
          <w:b/>
          <w:bCs/>
          <w:lang w:val="fr-BE"/>
        </w:rPr>
        <w:lastRenderedPageBreak/>
        <w:t xml:space="preserve">Chapitre 8 : </w:t>
      </w:r>
      <w:r w:rsidR="008E1DAD" w:rsidRPr="00D71FFE">
        <w:rPr>
          <w:b/>
          <w:bCs/>
          <w:lang w:val="fr-BE"/>
        </w:rPr>
        <w:t>g</w:t>
      </w:r>
      <w:r w:rsidRPr="00D71FFE">
        <w:rPr>
          <w:b/>
          <w:bCs/>
          <w:lang w:val="fr-BE"/>
        </w:rPr>
        <w:t>énéralités</w:t>
      </w:r>
      <w:bookmarkEnd w:id="35"/>
    </w:p>
    <w:p w14:paraId="3C561336" w14:textId="0212751E" w:rsidR="00DD6AD2" w:rsidRPr="00D71FFE" w:rsidRDefault="00DD6AD2" w:rsidP="00A969B8">
      <w:pPr>
        <w:pStyle w:val="Lijstalinea"/>
        <w:ind w:left="792"/>
        <w:rPr>
          <w:b/>
          <w:bCs/>
          <w:color w:val="A6A6A6" w:themeColor="background1" w:themeShade="A6"/>
          <w:lang w:val="fr-BE"/>
        </w:rPr>
      </w:pPr>
    </w:p>
    <w:p w14:paraId="41721FD0" w14:textId="109DDCFD" w:rsidR="00760B38" w:rsidRPr="00BB07AE" w:rsidRDefault="00175FFC">
      <w:pPr>
        <w:pStyle w:val="Lijstalinea"/>
        <w:ind w:left="792"/>
        <w:jc w:val="both"/>
        <w:rPr>
          <w:lang w:val="fr-BE"/>
        </w:rPr>
      </w:pPr>
      <w:r w:rsidRPr="00BB07AE">
        <w:rPr>
          <w:lang w:val="fr-BE"/>
        </w:rPr>
        <w:t xml:space="preserve">L'intervention financière fédérale exceptionnelle ne sera pas accordée dans sa totalité si l'hôpital récupère les coûts </w:t>
      </w:r>
      <w:r w:rsidR="0055261F">
        <w:rPr>
          <w:lang w:val="fr-BE"/>
        </w:rPr>
        <w:t>liés</w:t>
      </w:r>
      <w:r w:rsidR="002F228D">
        <w:rPr>
          <w:lang w:val="fr-BE"/>
        </w:rPr>
        <w:t xml:space="preserve"> à l’épidemie </w:t>
      </w:r>
      <w:r w:rsidRPr="00BB07AE">
        <w:rPr>
          <w:lang w:val="fr-BE"/>
        </w:rPr>
        <w:t xml:space="preserve">d'une autre manière, en augmentant les suppléments d'honoraires ou en augmentant les prélèvements à l'hôpital. </w:t>
      </w:r>
    </w:p>
    <w:p w14:paraId="6F16D8B9" w14:textId="77777777" w:rsidR="00760B38" w:rsidRPr="00BB07AE" w:rsidRDefault="00760B38">
      <w:pPr>
        <w:pStyle w:val="Lijstalinea"/>
        <w:ind w:left="792"/>
        <w:jc w:val="both"/>
        <w:rPr>
          <w:lang w:val="fr-BE"/>
        </w:rPr>
      </w:pPr>
    </w:p>
    <w:p w14:paraId="663A5276" w14:textId="4260E966" w:rsidR="00C374FA" w:rsidRDefault="00D262B1">
      <w:pPr>
        <w:pStyle w:val="Lijstalinea"/>
        <w:ind w:left="792"/>
        <w:jc w:val="both"/>
        <w:rPr>
          <w:lang w:val="fr-BE"/>
        </w:rPr>
      </w:pPr>
      <w:r w:rsidRPr="00BB07AE">
        <w:rPr>
          <w:lang w:val="fr-BE"/>
        </w:rPr>
        <w:t>Chaque hôpital a l'obligation de justifier l'utilisation des budgets. Le gouvernement développera à cette fin un outil de reporting dans le courant du premier trimestre 2021. Les hôpitaux en seront informés en temps utile.</w:t>
      </w:r>
      <w:r w:rsidRPr="00D71FFE">
        <w:rPr>
          <w:lang w:val="fr-BE"/>
        </w:rPr>
        <w:t xml:space="preserve"> </w:t>
      </w:r>
    </w:p>
    <w:p w14:paraId="1AE6B3E4" w14:textId="1F8FF065" w:rsidR="002C7DE5" w:rsidRDefault="002C7DE5" w:rsidP="00760B38">
      <w:pPr>
        <w:pStyle w:val="Lijstalinea"/>
        <w:ind w:left="792"/>
        <w:jc w:val="both"/>
        <w:rPr>
          <w:lang w:val="fr-BE"/>
        </w:rPr>
      </w:pPr>
    </w:p>
    <w:p w14:paraId="70061FDD" w14:textId="360164EF" w:rsidR="002C7DE5" w:rsidRPr="00963746" w:rsidRDefault="002C7DE5" w:rsidP="00760B38">
      <w:pPr>
        <w:pStyle w:val="Lijstalinea"/>
        <w:ind w:left="792"/>
        <w:jc w:val="both"/>
        <w:rPr>
          <w:color w:val="2F5496" w:themeColor="accent1" w:themeShade="BF"/>
          <w:lang w:val="fr-BE"/>
        </w:rPr>
      </w:pPr>
    </w:p>
    <w:p w14:paraId="3FD047DC" w14:textId="77777777" w:rsidR="002C7DE5" w:rsidRPr="00C05AC2" w:rsidRDefault="002C7DE5" w:rsidP="003849CF">
      <w:pPr>
        <w:pStyle w:val="Lijstalinea"/>
        <w:numPr>
          <w:ilvl w:val="1"/>
          <w:numId w:val="1"/>
        </w:numPr>
        <w:ind w:left="795"/>
        <w:outlineLvl w:val="1"/>
        <w:rPr>
          <w:b/>
          <w:bCs/>
          <w:lang w:val="fr-BE"/>
        </w:rPr>
      </w:pPr>
      <w:bookmarkStart w:id="36" w:name="_Toc67817069"/>
      <w:r w:rsidRPr="00C05AC2">
        <w:rPr>
          <w:b/>
          <w:bCs/>
          <w:lang w:val="fr-BE"/>
        </w:rPr>
        <w:t>Interventions pour cotisations personnelles et tickets modérateurs</w:t>
      </w:r>
      <w:bookmarkEnd w:id="36"/>
    </w:p>
    <w:p w14:paraId="34619E43" w14:textId="784D4E56" w:rsidR="002C7DE5" w:rsidRPr="00963746" w:rsidRDefault="002C7DE5" w:rsidP="003849CF">
      <w:pPr>
        <w:ind w:left="795"/>
        <w:jc w:val="both"/>
        <w:rPr>
          <w:color w:val="2F5496" w:themeColor="accent1" w:themeShade="BF"/>
          <w:lang w:val="fr-BE"/>
        </w:rPr>
      </w:pPr>
      <w:r w:rsidRPr="00963746">
        <w:rPr>
          <w:color w:val="2F5496" w:themeColor="accent1" w:themeShade="BF"/>
          <w:lang w:val="fr-BE"/>
        </w:rPr>
        <w:t xml:space="preserve">Les tickets modérateurs et </w:t>
      </w:r>
      <w:r w:rsidR="007A52DC">
        <w:rPr>
          <w:color w:val="2F5496" w:themeColor="accent1" w:themeShade="BF"/>
          <w:lang w:val="fr-BE"/>
        </w:rPr>
        <w:t>quotes-parts</w:t>
      </w:r>
      <w:r w:rsidR="007A52DC" w:rsidRPr="00963746">
        <w:rPr>
          <w:color w:val="2F5496" w:themeColor="accent1" w:themeShade="BF"/>
          <w:lang w:val="fr-BE"/>
        </w:rPr>
        <w:t xml:space="preserve"> </w:t>
      </w:r>
      <w:r w:rsidRPr="00963746">
        <w:rPr>
          <w:color w:val="2F5496" w:themeColor="accent1" w:themeShade="BF"/>
          <w:lang w:val="fr-BE"/>
        </w:rPr>
        <w:t xml:space="preserve">personnelles, déduites des données de facturation INAMI (cf. l’ajustement de la facturation), seront compensés si </w:t>
      </w:r>
      <w:r w:rsidR="007A52DC">
        <w:rPr>
          <w:color w:val="2F5496" w:themeColor="accent1" w:themeShade="BF"/>
          <w:lang w:val="fr-BE"/>
        </w:rPr>
        <w:t xml:space="preserve">les facturations sont moindres </w:t>
      </w:r>
      <w:r w:rsidRPr="00963746">
        <w:rPr>
          <w:color w:val="2F5496" w:themeColor="accent1" w:themeShade="BF"/>
          <w:lang w:val="fr-BE"/>
        </w:rPr>
        <w:t>en 2020 qu’en 2019. L’ « ajustement » est limité aux honoraires et aux médicaments, étant donné qu’aucun ticket modérateur n’est facturé au patient pour les autres rubriques comme les conventions</w:t>
      </w:r>
      <w:r w:rsidR="007A52DC">
        <w:rPr>
          <w:color w:val="2F5496" w:themeColor="accent1" w:themeShade="BF"/>
          <w:lang w:val="fr-BE"/>
        </w:rPr>
        <w:t xml:space="preserve"> INAMI</w:t>
      </w:r>
      <w:r w:rsidRPr="00963746">
        <w:rPr>
          <w:color w:val="2F5496" w:themeColor="accent1" w:themeShade="BF"/>
          <w:lang w:val="fr-BE"/>
        </w:rPr>
        <w:t>, l’hôpital de jour...</w:t>
      </w:r>
    </w:p>
    <w:p w14:paraId="7511E83C" w14:textId="77777777" w:rsidR="002C7DE5" w:rsidRPr="00963746" w:rsidRDefault="002C7DE5" w:rsidP="003849CF">
      <w:pPr>
        <w:ind w:left="363"/>
        <w:outlineLvl w:val="1"/>
        <w:rPr>
          <w:b/>
          <w:bCs/>
          <w:color w:val="2F5496" w:themeColor="accent1" w:themeShade="BF"/>
          <w:lang w:val="fr-BE"/>
        </w:rPr>
      </w:pPr>
    </w:p>
    <w:p w14:paraId="22F89566" w14:textId="77777777" w:rsidR="00DB5C19" w:rsidRPr="00C05AC2" w:rsidRDefault="00DB5C19" w:rsidP="003849CF">
      <w:pPr>
        <w:pStyle w:val="Lijstalinea"/>
        <w:numPr>
          <w:ilvl w:val="1"/>
          <w:numId w:val="1"/>
        </w:numPr>
        <w:ind w:left="659"/>
        <w:outlineLvl w:val="1"/>
        <w:rPr>
          <w:b/>
          <w:bCs/>
          <w:lang w:val="fr-BE"/>
        </w:rPr>
      </w:pPr>
      <w:bookmarkStart w:id="37" w:name="_Toc67817070"/>
      <w:r w:rsidRPr="00C05AC2">
        <w:rPr>
          <w:b/>
          <w:bCs/>
          <w:lang w:val="fr-BE"/>
        </w:rPr>
        <w:t>Interventions pour les patients non AMI</w:t>
      </w:r>
      <w:bookmarkEnd w:id="37"/>
    </w:p>
    <w:p w14:paraId="35DDA013" w14:textId="77777777" w:rsidR="002C7DE5" w:rsidRPr="00963746" w:rsidRDefault="002C7DE5" w:rsidP="002C7DE5">
      <w:pPr>
        <w:pStyle w:val="Lijstalinea"/>
        <w:ind w:left="432"/>
        <w:rPr>
          <w:color w:val="2F5496" w:themeColor="accent1" w:themeShade="BF"/>
          <w:lang w:val="fr-BE"/>
        </w:rPr>
      </w:pPr>
    </w:p>
    <w:p w14:paraId="393CE777" w14:textId="7350BB72" w:rsidR="002C7DE5" w:rsidRDefault="002C7DE5" w:rsidP="003849CF">
      <w:pPr>
        <w:pStyle w:val="Lijstalinea"/>
        <w:ind w:left="708"/>
        <w:jc w:val="both"/>
        <w:rPr>
          <w:color w:val="2F5496" w:themeColor="accent1" w:themeShade="BF"/>
          <w:lang w:val="fr-BE"/>
        </w:rPr>
      </w:pPr>
      <w:r w:rsidRPr="00963746">
        <w:rPr>
          <w:color w:val="2F5496" w:themeColor="accent1" w:themeShade="BF"/>
          <w:lang w:val="fr-BE"/>
        </w:rPr>
        <w:t xml:space="preserve">Sur base du dernier </w:t>
      </w:r>
      <w:r w:rsidR="007A52DC">
        <w:rPr>
          <w:color w:val="2F5496" w:themeColor="accent1" w:themeShade="BF"/>
          <w:lang w:val="fr-BE"/>
        </w:rPr>
        <w:t>pourcentage</w:t>
      </w:r>
      <w:r w:rsidR="007A52DC" w:rsidRPr="00963746">
        <w:rPr>
          <w:color w:val="2F5496" w:themeColor="accent1" w:themeShade="BF"/>
          <w:lang w:val="fr-BE"/>
        </w:rPr>
        <w:t xml:space="preserve"> </w:t>
      </w:r>
      <w:r w:rsidRPr="00963746">
        <w:rPr>
          <w:color w:val="2F5496" w:themeColor="accent1" w:themeShade="BF"/>
          <w:lang w:val="fr-BE"/>
        </w:rPr>
        <w:t xml:space="preserve">de patients non AMI de </w:t>
      </w:r>
      <w:r w:rsidR="007A52DC">
        <w:rPr>
          <w:color w:val="2F5496" w:themeColor="accent1" w:themeShade="BF"/>
          <w:lang w:val="fr-BE"/>
        </w:rPr>
        <w:t xml:space="preserve">chaque </w:t>
      </w:r>
      <w:r w:rsidRPr="00963746">
        <w:rPr>
          <w:color w:val="2F5496" w:themeColor="accent1" w:themeShade="BF"/>
          <w:lang w:val="fr-BE"/>
        </w:rPr>
        <w:t>hôpital dont dispose le SPF, qui est utilisé dans le calcul du BMF, un montant est ajouté à l’« ajustement » dans la facturation, pour les honoraires, mais aussi pour les conventions</w:t>
      </w:r>
      <w:r w:rsidR="007A52DC">
        <w:rPr>
          <w:color w:val="2F5496" w:themeColor="accent1" w:themeShade="BF"/>
          <w:lang w:val="fr-BE"/>
        </w:rPr>
        <w:t xml:space="preserve"> INAMI</w:t>
      </w:r>
      <w:r w:rsidRPr="00963746">
        <w:rPr>
          <w:color w:val="2F5496" w:themeColor="accent1" w:themeShade="BF"/>
          <w:lang w:val="fr-BE"/>
        </w:rPr>
        <w:t xml:space="preserve">, l’hôpital de jour et les forfaits de médicaments. L’intervention dans les </w:t>
      </w:r>
      <w:r w:rsidR="007A52DC">
        <w:rPr>
          <w:color w:val="2F5496" w:themeColor="accent1" w:themeShade="BF"/>
          <w:lang w:val="fr-BE"/>
        </w:rPr>
        <w:t>quotes-parts</w:t>
      </w:r>
      <w:r w:rsidR="007A52DC" w:rsidRPr="00963746">
        <w:rPr>
          <w:color w:val="2F5496" w:themeColor="accent1" w:themeShade="BF"/>
          <w:lang w:val="fr-BE"/>
        </w:rPr>
        <w:t xml:space="preserve"> </w:t>
      </w:r>
      <w:r w:rsidRPr="00963746">
        <w:rPr>
          <w:color w:val="2F5496" w:themeColor="accent1" w:themeShade="BF"/>
          <w:lang w:val="fr-BE"/>
        </w:rPr>
        <w:t>personnelles et les tickets modérateurs est elle aussi majorée pour les patients non AMI.</w:t>
      </w:r>
    </w:p>
    <w:p w14:paraId="4F553C35" w14:textId="77777777" w:rsidR="008B2288" w:rsidRPr="00963746" w:rsidRDefault="008B2288" w:rsidP="003849CF">
      <w:pPr>
        <w:pStyle w:val="Lijstalinea"/>
        <w:ind w:left="708"/>
        <w:jc w:val="both"/>
        <w:rPr>
          <w:color w:val="2F5496" w:themeColor="accent1" w:themeShade="BF"/>
          <w:lang w:val="fr-BE"/>
        </w:rPr>
      </w:pPr>
    </w:p>
    <w:p w14:paraId="70889246" w14:textId="7B33EB5D" w:rsidR="002C7DE5" w:rsidRPr="00963746" w:rsidRDefault="002C7DE5" w:rsidP="000C4A49">
      <w:pPr>
        <w:pStyle w:val="Lijstalinea"/>
        <w:ind w:left="708"/>
        <w:jc w:val="both"/>
        <w:rPr>
          <w:color w:val="2F5496" w:themeColor="accent1" w:themeShade="BF"/>
          <w:lang w:val="fr-BE"/>
        </w:rPr>
      </w:pPr>
      <w:r w:rsidRPr="00963746">
        <w:rPr>
          <w:color w:val="2F5496" w:themeColor="accent1" w:themeShade="BF"/>
          <w:lang w:val="fr-BE"/>
        </w:rPr>
        <w:t xml:space="preserve">Pour le décompte final de 2023, on utilisera le </w:t>
      </w:r>
      <w:r w:rsidR="007A52DC">
        <w:rPr>
          <w:color w:val="2F5496" w:themeColor="accent1" w:themeShade="BF"/>
          <w:lang w:val="fr-BE"/>
        </w:rPr>
        <w:t>pourcentage</w:t>
      </w:r>
      <w:r w:rsidR="007A52DC" w:rsidRPr="00963746">
        <w:rPr>
          <w:color w:val="2F5496" w:themeColor="accent1" w:themeShade="BF"/>
          <w:lang w:val="fr-BE"/>
        </w:rPr>
        <w:t xml:space="preserve"> </w:t>
      </w:r>
      <w:r w:rsidRPr="00963746">
        <w:rPr>
          <w:color w:val="2F5496" w:themeColor="accent1" w:themeShade="BF"/>
          <w:lang w:val="fr-BE"/>
        </w:rPr>
        <w:t>exact de l’hôpital connu d’ici là pour les patients non AMI pour l’année 2020.</w:t>
      </w:r>
    </w:p>
    <w:p w14:paraId="254C3A6E" w14:textId="786A646D" w:rsidR="002C7DE5" w:rsidRPr="00963746" w:rsidRDefault="002C7DE5" w:rsidP="002C7DE5">
      <w:pPr>
        <w:pStyle w:val="Lijstalinea"/>
        <w:ind w:left="432"/>
        <w:outlineLvl w:val="1"/>
        <w:rPr>
          <w:color w:val="2F5496" w:themeColor="accent1" w:themeShade="BF"/>
          <w:lang w:val="fr-BE"/>
        </w:rPr>
      </w:pPr>
    </w:p>
    <w:p w14:paraId="249B9AF7" w14:textId="77777777" w:rsidR="002C7DE5" w:rsidRPr="00963746" w:rsidRDefault="002C7DE5" w:rsidP="002C7DE5">
      <w:pPr>
        <w:pStyle w:val="Lijstalinea"/>
        <w:ind w:left="432"/>
        <w:outlineLvl w:val="1"/>
        <w:rPr>
          <w:color w:val="2F5496" w:themeColor="accent1" w:themeShade="BF"/>
          <w:lang w:val="fr-BE"/>
        </w:rPr>
      </w:pPr>
    </w:p>
    <w:p w14:paraId="426083A9" w14:textId="77777777" w:rsidR="002C7DE5" w:rsidRPr="00963746" w:rsidRDefault="002C7DE5" w:rsidP="002C7DE5">
      <w:pPr>
        <w:pStyle w:val="Lijstalinea"/>
        <w:ind w:left="360"/>
        <w:rPr>
          <w:b/>
          <w:bCs/>
          <w:color w:val="2F5496" w:themeColor="accent1" w:themeShade="BF"/>
          <w:lang w:val="fr-BE"/>
        </w:rPr>
      </w:pPr>
    </w:p>
    <w:p w14:paraId="6E8A0435" w14:textId="44845BFB" w:rsidR="002C7DE5" w:rsidRDefault="002C7DE5" w:rsidP="003849CF">
      <w:pPr>
        <w:pStyle w:val="Lijstalinea"/>
        <w:ind w:left="1152"/>
        <w:jc w:val="both"/>
        <w:rPr>
          <w:lang w:val="fr-BE"/>
        </w:rPr>
      </w:pPr>
    </w:p>
    <w:p w14:paraId="24C982F4" w14:textId="61B18B27" w:rsidR="00B64F35" w:rsidRDefault="00B64F35" w:rsidP="003849CF">
      <w:pPr>
        <w:pStyle w:val="Lijstalinea"/>
        <w:ind w:left="1152"/>
        <w:jc w:val="both"/>
        <w:rPr>
          <w:lang w:val="fr-BE"/>
        </w:rPr>
      </w:pPr>
    </w:p>
    <w:p w14:paraId="73344011" w14:textId="368AB168" w:rsidR="00B64F35" w:rsidRDefault="00B64F35" w:rsidP="003849CF">
      <w:pPr>
        <w:pStyle w:val="Lijstalinea"/>
        <w:ind w:left="1152"/>
        <w:jc w:val="both"/>
        <w:rPr>
          <w:lang w:val="fr-BE"/>
        </w:rPr>
      </w:pPr>
    </w:p>
    <w:p w14:paraId="01C4A58C" w14:textId="700F9943" w:rsidR="00B64F35" w:rsidRDefault="00B64F35" w:rsidP="003849CF">
      <w:pPr>
        <w:pStyle w:val="Lijstalinea"/>
        <w:ind w:left="1152"/>
        <w:jc w:val="both"/>
        <w:rPr>
          <w:lang w:val="fr-BE"/>
        </w:rPr>
      </w:pPr>
    </w:p>
    <w:p w14:paraId="2177A265" w14:textId="059DBB43" w:rsidR="00B64F35" w:rsidRDefault="00B64F35" w:rsidP="003849CF">
      <w:pPr>
        <w:pStyle w:val="Lijstalinea"/>
        <w:ind w:left="1152"/>
        <w:jc w:val="both"/>
        <w:rPr>
          <w:lang w:val="fr-BE"/>
        </w:rPr>
      </w:pPr>
    </w:p>
    <w:p w14:paraId="0F25A028" w14:textId="317DD574" w:rsidR="00B64F35" w:rsidRDefault="00B64F35" w:rsidP="003849CF">
      <w:pPr>
        <w:pStyle w:val="Lijstalinea"/>
        <w:ind w:left="1152"/>
        <w:jc w:val="both"/>
        <w:rPr>
          <w:lang w:val="fr-BE"/>
        </w:rPr>
      </w:pPr>
    </w:p>
    <w:p w14:paraId="4372A273" w14:textId="1FCEF16B" w:rsidR="00B64F35" w:rsidRDefault="00B64F35" w:rsidP="003849CF">
      <w:pPr>
        <w:pStyle w:val="Lijstalinea"/>
        <w:ind w:left="1152"/>
        <w:jc w:val="both"/>
        <w:rPr>
          <w:lang w:val="fr-BE"/>
        </w:rPr>
      </w:pPr>
    </w:p>
    <w:p w14:paraId="61104EF7" w14:textId="49B2434E" w:rsidR="00B64F35" w:rsidRDefault="00B64F35" w:rsidP="003849CF">
      <w:pPr>
        <w:pStyle w:val="Lijstalinea"/>
        <w:ind w:left="1152"/>
        <w:jc w:val="both"/>
        <w:rPr>
          <w:lang w:val="fr-BE"/>
        </w:rPr>
      </w:pPr>
    </w:p>
    <w:p w14:paraId="56CCDE8D" w14:textId="0C82B18D" w:rsidR="00B64F35" w:rsidRDefault="00B64F35" w:rsidP="003849CF">
      <w:pPr>
        <w:pStyle w:val="Lijstalinea"/>
        <w:ind w:left="1152"/>
        <w:jc w:val="both"/>
        <w:rPr>
          <w:lang w:val="fr-BE"/>
        </w:rPr>
      </w:pPr>
    </w:p>
    <w:p w14:paraId="0CE21809" w14:textId="3C1DCFFE" w:rsidR="00B64F35" w:rsidRDefault="00B64F35" w:rsidP="003849CF">
      <w:pPr>
        <w:pStyle w:val="Lijstalinea"/>
        <w:ind w:left="1152"/>
        <w:jc w:val="both"/>
        <w:rPr>
          <w:lang w:val="fr-BE"/>
        </w:rPr>
      </w:pPr>
    </w:p>
    <w:p w14:paraId="5EC10762" w14:textId="2E4518B7" w:rsidR="00DB4605" w:rsidRDefault="00DB4605" w:rsidP="003849CF">
      <w:pPr>
        <w:pStyle w:val="Lijstalinea"/>
        <w:ind w:left="1152"/>
        <w:jc w:val="both"/>
        <w:rPr>
          <w:lang w:val="fr-BE"/>
        </w:rPr>
      </w:pPr>
    </w:p>
    <w:p w14:paraId="2BD1DD5A" w14:textId="2D259A5E" w:rsidR="00DB4605" w:rsidRDefault="00DB4605" w:rsidP="003849CF">
      <w:pPr>
        <w:pStyle w:val="Lijstalinea"/>
        <w:ind w:left="1152"/>
        <w:jc w:val="both"/>
        <w:rPr>
          <w:lang w:val="fr-BE"/>
        </w:rPr>
      </w:pPr>
    </w:p>
    <w:p w14:paraId="169FC55E" w14:textId="0A6369FD" w:rsidR="00DB4605" w:rsidRDefault="00DB4605" w:rsidP="003849CF">
      <w:pPr>
        <w:pStyle w:val="Lijstalinea"/>
        <w:ind w:left="1152"/>
        <w:jc w:val="both"/>
        <w:rPr>
          <w:lang w:val="fr-BE"/>
        </w:rPr>
      </w:pPr>
    </w:p>
    <w:p w14:paraId="22E5C34A" w14:textId="6381A015" w:rsidR="00DB4605" w:rsidRDefault="00DB4605" w:rsidP="003849CF">
      <w:pPr>
        <w:pStyle w:val="Lijstalinea"/>
        <w:ind w:left="1152"/>
        <w:jc w:val="both"/>
        <w:rPr>
          <w:lang w:val="fr-BE"/>
        </w:rPr>
      </w:pPr>
    </w:p>
    <w:p w14:paraId="381A58B1" w14:textId="65C95B36" w:rsidR="00B64F35" w:rsidRDefault="00B64F35" w:rsidP="003849CF">
      <w:pPr>
        <w:pStyle w:val="Lijstalinea"/>
        <w:ind w:left="1152"/>
        <w:jc w:val="both"/>
        <w:rPr>
          <w:lang w:val="fr-BE"/>
        </w:rPr>
      </w:pPr>
    </w:p>
    <w:p w14:paraId="78BD0972" w14:textId="180646B9" w:rsidR="00B64F35" w:rsidRPr="00B75CFD" w:rsidRDefault="000470E4" w:rsidP="00B75CFD">
      <w:pPr>
        <w:outlineLvl w:val="2"/>
        <w:rPr>
          <w:b/>
          <w:bCs/>
          <w:i/>
          <w:iCs/>
          <w:color w:val="0070C0"/>
          <w:lang w:val="fr-BE"/>
        </w:rPr>
      </w:pPr>
      <w:r w:rsidRPr="00B75CFD">
        <w:rPr>
          <w:b/>
          <w:bCs/>
          <w:i/>
          <w:iCs/>
          <w:color w:val="0070C0"/>
          <w:lang w:val="fr-BE"/>
        </w:rPr>
        <w:lastRenderedPageBreak/>
        <w:t>Annexe</w:t>
      </w:r>
    </w:p>
    <w:p w14:paraId="43D3E1E0" w14:textId="328D30D5" w:rsidR="000470E4" w:rsidRDefault="000470E4" w:rsidP="003849CF">
      <w:pPr>
        <w:pStyle w:val="Lijstalinea"/>
        <w:ind w:left="1152"/>
        <w:jc w:val="both"/>
        <w:rPr>
          <w:color w:val="0070C0"/>
          <w:lang w:val="fr-BE"/>
        </w:rPr>
      </w:pPr>
    </w:p>
    <w:p w14:paraId="6D9728C7" w14:textId="276380CF" w:rsidR="000470E4" w:rsidRPr="000470E4" w:rsidRDefault="00594177" w:rsidP="00532C63">
      <w:pPr>
        <w:pStyle w:val="Lijstalinea"/>
        <w:ind w:left="0"/>
        <w:jc w:val="both"/>
        <w:rPr>
          <w:color w:val="0070C0"/>
          <w:lang w:val="fr-BE"/>
        </w:rPr>
      </w:pPr>
      <w:r w:rsidRPr="00594177">
        <w:rPr>
          <w:noProof/>
          <w:lang w:val="en-GB" w:eastAsia="en-GB"/>
        </w:rPr>
        <w:drawing>
          <wp:inline distT="0" distB="0" distL="0" distR="0" wp14:anchorId="5A187F50" wp14:editId="32CEFD96">
            <wp:extent cx="6201508" cy="6359417"/>
            <wp:effectExtent l="0" t="0" r="8890" b="381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20785" cy="6379185"/>
                    </a:xfrm>
                    <a:prstGeom prst="rect">
                      <a:avLst/>
                    </a:prstGeom>
                    <a:noFill/>
                    <a:ln>
                      <a:noFill/>
                    </a:ln>
                  </pic:spPr>
                </pic:pic>
              </a:graphicData>
            </a:graphic>
          </wp:inline>
        </w:drawing>
      </w:r>
    </w:p>
    <w:sectPr w:rsidR="000470E4" w:rsidRPr="000470E4">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C2CEF" w14:textId="77777777" w:rsidR="004D33D5" w:rsidRDefault="004D33D5" w:rsidP="00BD5340">
      <w:pPr>
        <w:spacing w:after="0" w:line="240" w:lineRule="auto"/>
      </w:pPr>
      <w:r>
        <w:separator/>
      </w:r>
    </w:p>
  </w:endnote>
  <w:endnote w:type="continuationSeparator" w:id="0">
    <w:p w14:paraId="3AE389E9" w14:textId="77777777" w:rsidR="004D33D5" w:rsidRDefault="004D33D5" w:rsidP="00BD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68BB" w14:textId="77777777" w:rsidR="0095736F" w:rsidRDefault="009573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53190"/>
      <w:docPartObj>
        <w:docPartGallery w:val="Page Numbers (Bottom of Page)"/>
        <w:docPartUnique/>
      </w:docPartObj>
    </w:sdtPr>
    <w:sdtEndPr/>
    <w:sdtContent>
      <w:p w14:paraId="6B515F89" w14:textId="6A99FEC2" w:rsidR="0095736F" w:rsidRDefault="0095736F">
        <w:pPr>
          <w:pStyle w:val="Voettekst"/>
          <w:jc w:val="center"/>
        </w:pPr>
        <w:r>
          <w:fldChar w:fldCharType="begin"/>
        </w:r>
        <w:r>
          <w:instrText>PAGE   \* MERGEFORMAT</w:instrText>
        </w:r>
        <w:r>
          <w:fldChar w:fldCharType="separate"/>
        </w:r>
        <w:r w:rsidR="00F51A25" w:rsidRPr="00F51A25">
          <w:rPr>
            <w:noProof/>
            <w:lang w:val="nl-NL"/>
          </w:rPr>
          <w:t>19</w:t>
        </w:r>
        <w:r>
          <w:fldChar w:fldCharType="end"/>
        </w:r>
      </w:p>
    </w:sdtContent>
  </w:sdt>
  <w:p w14:paraId="6A79848E" w14:textId="77777777" w:rsidR="0095736F" w:rsidRDefault="009573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7DC4" w14:textId="77777777" w:rsidR="0095736F" w:rsidRDefault="009573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7DB1" w14:textId="77777777" w:rsidR="004D33D5" w:rsidRDefault="004D33D5" w:rsidP="00BD5340">
      <w:pPr>
        <w:spacing w:after="0" w:line="240" w:lineRule="auto"/>
      </w:pPr>
      <w:r>
        <w:separator/>
      </w:r>
    </w:p>
  </w:footnote>
  <w:footnote w:type="continuationSeparator" w:id="0">
    <w:p w14:paraId="505BE3A3" w14:textId="77777777" w:rsidR="004D33D5" w:rsidRDefault="004D33D5" w:rsidP="00BD5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7081" w14:textId="77777777" w:rsidR="0095736F" w:rsidRDefault="009573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2EBF" w14:textId="06C454E8" w:rsidR="0095736F" w:rsidRPr="008E1DAD" w:rsidRDefault="0095736F" w:rsidP="00907093">
    <w:pPr>
      <w:pStyle w:val="Koptekst"/>
      <w:jc w:val="right"/>
      <w:rPr>
        <w:lang w:val="fr-BE"/>
      </w:rPr>
    </w:pPr>
    <w:r w:rsidRPr="008E1DAD">
      <w:rPr>
        <w:lang w:val="fr-BE"/>
      </w:rPr>
      <w:t xml:space="preserve">Version du </w:t>
    </w:r>
    <w:r w:rsidR="006E49B5">
      <w:rPr>
        <w:lang w:val="fr-BE"/>
      </w:rPr>
      <w:t>31</w:t>
    </w:r>
    <w:r>
      <w:rPr>
        <w:lang w:val="fr-BE"/>
      </w:rPr>
      <w:t xml:space="preserve"> mars</w:t>
    </w:r>
    <w:r w:rsidRPr="008E1DAD">
      <w:rPr>
        <w:lang w:val="fr-BE"/>
      </w:rPr>
      <w:t xml:space="preserve"> 202</w:t>
    </w:r>
    <w:r>
      <w:rPr>
        <w:lang w:val="fr-BE"/>
      </w:rPr>
      <w:t>1</w:t>
    </w:r>
  </w:p>
  <w:p w14:paraId="481D53A8" w14:textId="77777777" w:rsidR="0095736F" w:rsidRDefault="0095736F" w:rsidP="0069695A">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E003" w14:textId="77777777" w:rsidR="0095736F" w:rsidRDefault="009573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F67"/>
    <w:multiLevelType w:val="multilevel"/>
    <w:tmpl w:val="41FA6D64"/>
    <w:lvl w:ilvl="0">
      <w:start w:val="5"/>
      <w:numFmt w:val="decimal"/>
      <w:lvlText w:val="%1.0"/>
      <w:lvlJc w:val="left"/>
      <w:pPr>
        <w:ind w:left="2364" w:hanging="492"/>
      </w:pPr>
      <w:rPr>
        <w:rFonts w:hint="default"/>
      </w:rPr>
    </w:lvl>
    <w:lvl w:ilvl="1">
      <w:start w:val="1"/>
      <w:numFmt w:val="decimalZero"/>
      <w:lvlText w:val="%1.%2"/>
      <w:lvlJc w:val="left"/>
      <w:pPr>
        <w:ind w:left="3072" w:hanging="492"/>
      </w:pPr>
      <w:rPr>
        <w:rFonts w:hint="default"/>
      </w:rPr>
    </w:lvl>
    <w:lvl w:ilvl="2">
      <w:start w:val="1"/>
      <w:numFmt w:val="decimal"/>
      <w:lvlText w:val="%1.%2.%3"/>
      <w:lvlJc w:val="left"/>
      <w:pPr>
        <w:ind w:left="4008"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492"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68" w:hanging="1440"/>
      </w:pPr>
      <w:rPr>
        <w:rFonts w:hint="default"/>
      </w:rPr>
    </w:lvl>
    <w:lvl w:ilvl="8">
      <w:start w:val="1"/>
      <w:numFmt w:val="decimal"/>
      <w:lvlText w:val="%1.%2.%3.%4.%5.%6.%7.%8.%9"/>
      <w:lvlJc w:val="left"/>
      <w:pPr>
        <w:ind w:left="8976" w:hanging="1440"/>
      </w:pPr>
      <w:rPr>
        <w:rFonts w:hint="default"/>
      </w:rPr>
    </w:lvl>
  </w:abstractNum>
  <w:abstractNum w:abstractNumId="1" w15:restartNumberingAfterBreak="0">
    <w:nsid w:val="011A7D90"/>
    <w:multiLevelType w:val="hybridMultilevel"/>
    <w:tmpl w:val="644E63A2"/>
    <w:lvl w:ilvl="0" w:tplc="DF2296B0">
      <w:start w:val="9"/>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14D0DB8"/>
    <w:multiLevelType w:val="hybridMultilevel"/>
    <w:tmpl w:val="A71E996A"/>
    <w:lvl w:ilvl="0" w:tplc="41EECB28">
      <w:start w:val="1"/>
      <w:numFmt w:val="decimal"/>
      <w:lvlText w:val="%1."/>
      <w:lvlJc w:val="left"/>
      <w:pPr>
        <w:ind w:left="1512" w:hanging="360"/>
      </w:pPr>
      <w:rPr>
        <w:rFonts w:hint="default"/>
      </w:rPr>
    </w:lvl>
    <w:lvl w:ilvl="1" w:tplc="0813000D">
      <w:start w:val="1"/>
      <w:numFmt w:val="bullet"/>
      <w:lvlText w:val=""/>
      <w:lvlJc w:val="left"/>
      <w:pPr>
        <w:ind w:left="2232" w:hanging="360"/>
      </w:pPr>
      <w:rPr>
        <w:rFonts w:ascii="Wingdings" w:hAnsi="Wingdings" w:hint="default"/>
      </w:rPr>
    </w:lvl>
    <w:lvl w:ilvl="2" w:tplc="08130001">
      <w:start w:val="1"/>
      <w:numFmt w:val="bullet"/>
      <w:lvlText w:val=""/>
      <w:lvlJc w:val="left"/>
      <w:pPr>
        <w:ind w:left="2952" w:hanging="180"/>
      </w:pPr>
      <w:rPr>
        <w:rFonts w:ascii="Symbol" w:hAnsi="Symbol" w:hint="default"/>
      </w:rPr>
    </w:lvl>
    <w:lvl w:ilvl="3" w:tplc="0813000F" w:tentative="1">
      <w:start w:val="1"/>
      <w:numFmt w:val="decimal"/>
      <w:lvlText w:val="%4."/>
      <w:lvlJc w:val="left"/>
      <w:pPr>
        <w:ind w:left="3672" w:hanging="360"/>
      </w:pPr>
    </w:lvl>
    <w:lvl w:ilvl="4" w:tplc="08130019" w:tentative="1">
      <w:start w:val="1"/>
      <w:numFmt w:val="lowerLetter"/>
      <w:lvlText w:val="%5."/>
      <w:lvlJc w:val="left"/>
      <w:pPr>
        <w:ind w:left="4392" w:hanging="360"/>
      </w:pPr>
    </w:lvl>
    <w:lvl w:ilvl="5" w:tplc="0813001B" w:tentative="1">
      <w:start w:val="1"/>
      <w:numFmt w:val="lowerRoman"/>
      <w:lvlText w:val="%6."/>
      <w:lvlJc w:val="right"/>
      <w:pPr>
        <w:ind w:left="5112" w:hanging="180"/>
      </w:pPr>
    </w:lvl>
    <w:lvl w:ilvl="6" w:tplc="0813000F" w:tentative="1">
      <w:start w:val="1"/>
      <w:numFmt w:val="decimal"/>
      <w:lvlText w:val="%7."/>
      <w:lvlJc w:val="left"/>
      <w:pPr>
        <w:ind w:left="5832" w:hanging="360"/>
      </w:pPr>
    </w:lvl>
    <w:lvl w:ilvl="7" w:tplc="08130019" w:tentative="1">
      <w:start w:val="1"/>
      <w:numFmt w:val="lowerLetter"/>
      <w:lvlText w:val="%8."/>
      <w:lvlJc w:val="left"/>
      <w:pPr>
        <w:ind w:left="6552" w:hanging="360"/>
      </w:pPr>
    </w:lvl>
    <w:lvl w:ilvl="8" w:tplc="0813001B" w:tentative="1">
      <w:start w:val="1"/>
      <w:numFmt w:val="lowerRoman"/>
      <w:lvlText w:val="%9."/>
      <w:lvlJc w:val="right"/>
      <w:pPr>
        <w:ind w:left="7272" w:hanging="180"/>
      </w:pPr>
    </w:lvl>
  </w:abstractNum>
  <w:abstractNum w:abstractNumId="3" w15:restartNumberingAfterBreak="0">
    <w:nsid w:val="02E2412A"/>
    <w:multiLevelType w:val="hybridMultilevel"/>
    <w:tmpl w:val="A7A638E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59C52DD"/>
    <w:multiLevelType w:val="hybridMultilevel"/>
    <w:tmpl w:val="4F10A2E4"/>
    <w:lvl w:ilvl="0" w:tplc="08130005">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5" w15:restartNumberingAfterBreak="0">
    <w:nsid w:val="0B097BC5"/>
    <w:multiLevelType w:val="hybridMultilevel"/>
    <w:tmpl w:val="9B988BC2"/>
    <w:lvl w:ilvl="0" w:tplc="0813000F">
      <w:start w:val="1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C25273E"/>
    <w:multiLevelType w:val="hybridMultilevel"/>
    <w:tmpl w:val="015ED378"/>
    <w:lvl w:ilvl="0" w:tplc="00A2B3A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A82620"/>
    <w:multiLevelType w:val="hybridMultilevel"/>
    <w:tmpl w:val="48C65A7A"/>
    <w:lvl w:ilvl="0" w:tplc="ED6E38A4">
      <w:start w:val="9"/>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0FDE7D1F"/>
    <w:multiLevelType w:val="hybridMultilevel"/>
    <w:tmpl w:val="57605C56"/>
    <w:lvl w:ilvl="0" w:tplc="43428C5E">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070FA5"/>
    <w:multiLevelType w:val="hybridMultilevel"/>
    <w:tmpl w:val="8BF81878"/>
    <w:lvl w:ilvl="0" w:tplc="E56E57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3A12CCC"/>
    <w:multiLevelType w:val="hybridMultilevel"/>
    <w:tmpl w:val="F6F0EF6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B1D6984"/>
    <w:multiLevelType w:val="hybridMultilevel"/>
    <w:tmpl w:val="E1A2B90C"/>
    <w:lvl w:ilvl="0" w:tplc="58AE93D6">
      <w:start w:val="1"/>
      <w:numFmt w:val="lowerLetter"/>
      <w:lvlText w:val="%1)"/>
      <w:lvlJc w:val="left"/>
      <w:pPr>
        <w:ind w:left="1152" w:hanging="360"/>
      </w:pPr>
      <w:rPr>
        <w:rFonts w:hint="default"/>
      </w:rPr>
    </w:lvl>
    <w:lvl w:ilvl="1" w:tplc="08130019" w:tentative="1">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12" w15:restartNumberingAfterBreak="0">
    <w:nsid w:val="1E23687D"/>
    <w:multiLevelType w:val="hybridMultilevel"/>
    <w:tmpl w:val="B23C4D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DD6066"/>
    <w:multiLevelType w:val="hybridMultilevel"/>
    <w:tmpl w:val="0E46F8B2"/>
    <w:lvl w:ilvl="0" w:tplc="2A26544C">
      <w:start w:val="1"/>
      <w:numFmt w:val="decimal"/>
      <w:lvlText w:val="%1."/>
      <w:lvlJc w:val="left"/>
      <w:pPr>
        <w:ind w:left="151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55A2B6C"/>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7079E1"/>
    <w:multiLevelType w:val="hybridMultilevel"/>
    <w:tmpl w:val="C6DC5952"/>
    <w:lvl w:ilvl="0" w:tplc="C4B268B8">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264016EC"/>
    <w:multiLevelType w:val="hybridMultilevel"/>
    <w:tmpl w:val="3516F354"/>
    <w:lvl w:ilvl="0" w:tplc="4F7A5D7E">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FC784B"/>
    <w:multiLevelType w:val="multilevel"/>
    <w:tmpl w:val="497A6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CD1AAF"/>
    <w:multiLevelType w:val="hybridMultilevel"/>
    <w:tmpl w:val="725A7DE6"/>
    <w:lvl w:ilvl="0" w:tplc="A052060C">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30346BBE"/>
    <w:multiLevelType w:val="hybridMultilevel"/>
    <w:tmpl w:val="6A9A2F40"/>
    <w:lvl w:ilvl="0" w:tplc="F85C6E88">
      <w:start w:val="1"/>
      <w:numFmt w:val="decimal"/>
      <w:lvlText w:val="%1."/>
      <w:lvlJc w:val="left"/>
      <w:pPr>
        <w:ind w:left="720" w:hanging="360"/>
      </w:pPr>
      <w:rPr>
        <w:rFonts w:ascii="Calibri" w:eastAsia="Calibri" w:hAnsi="Calibri" w:cs="Times New Roman"/>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09C0149"/>
    <w:multiLevelType w:val="hybridMultilevel"/>
    <w:tmpl w:val="094040E0"/>
    <w:lvl w:ilvl="0" w:tplc="41EECB28">
      <w:start w:val="1"/>
      <w:numFmt w:val="decimal"/>
      <w:lvlText w:val="%1."/>
      <w:lvlJc w:val="left"/>
      <w:pPr>
        <w:ind w:left="1512"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2662C3E"/>
    <w:multiLevelType w:val="multilevel"/>
    <w:tmpl w:val="27B4A13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637" w:hanging="936"/>
      </w:pPr>
      <w:rPr>
        <w:rFonts w:ascii="Wingdings" w:hAnsi="Wingdings" w:hint="default"/>
      </w:rPr>
    </w:lvl>
    <w:lvl w:ilvl="6">
      <w:start w:val="1"/>
      <w:numFmt w:val="decimal"/>
      <w:lvlText w:val="%1.%2.%3.%4.%5.%6.%7."/>
      <w:lvlJc w:val="left"/>
      <w:pPr>
        <w:ind w:left="3240" w:hanging="1080"/>
      </w:pPr>
    </w:lvl>
    <w:lvl w:ilvl="7">
      <w:start w:val="1"/>
      <w:numFmt w:val="bullet"/>
      <w:lvlText w:val=""/>
      <w:lvlJc w:val="left"/>
      <w:pPr>
        <w:ind w:left="3744" w:hanging="1224"/>
      </w:pPr>
      <w:rPr>
        <w:rFonts w:ascii="Wingdings" w:hAnsi="Wingdings" w:hint="default"/>
      </w:rPr>
    </w:lvl>
    <w:lvl w:ilvl="8">
      <w:start w:val="1"/>
      <w:numFmt w:val="decimal"/>
      <w:lvlText w:val="%1.%2.%3.%4.%5.%6.%7.%8.%9."/>
      <w:lvlJc w:val="left"/>
      <w:pPr>
        <w:ind w:left="4320" w:hanging="1440"/>
      </w:pPr>
    </w:lvl>
  </w:abstractNum>
  <w:abstractNum w:abstractNumId="22" w15:restartNumberingAfterBreak="0">
    <w:nsid w:val="38C81877"/>
    <w:multiLevelType w:val="hybridMultilevel"/>
    <w:tmpl w:val="5FD2522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38F549C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C03457"/>
    <w:multiLevelType w:val="hybridMultilevel"/>
    <w:tmpl w:val="5D6A1070"/>
    <w:lvl w:ilvl="0" w:tplc="08130003">
      <w:start w:val="1"/>
      <w:numFmt w:val="bullet"/>
      <w:lvlText w:val="o"/>
      <w:lvlJc w:val="left"/>
      <w:pPr>
        <w:ind w:left="1440" w:hanging="360"/>
      </w:pPr>
      <w:rPr>
        <w:rFonts w:ascii="Courier New" w:hAnsi="Courier New" w:cs="Courier New" w:hint="default"/>
      </w:rPr>
    </w:lvl>
    <w:lvl w:ilvl="1" w:tplc="0813000D">
      <w:start w:val="1"/>
      <w:numFmt w:val="bullet"/>
      <w:lvlText w:val=""/>
      <w:lvlJc w:val="left"/>
      <w:pPr>
        <w:ind w:left="2160" w:hanging="360"/>
      </w:pPr>
      <w:rPr>
        <w:rFonts w:ascii="Wingdings" w:hAnsi="Wingdings"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3D0661C4"/>
    <w:multiLevelType w:val="hybridMultilevel"/>
    <w:tmpl w:val="E57C75D0"/>
    <w:lvl w:ilvl="0" w:tplc="08130001">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6" w15:restartNumberingAfterBreak="0">
    <w:nsid w:val="3D14560E"/>
    <w:multiLevelType w:val="hybridMultilevel"/>
    <w:tmpl w:val="60D2AE14"/>
    <w:lvl w:ilvl="0" w:tplc="6BF65B06">
      <w:start w:val="9"/>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44617F78"/>
    <w:multiLevelType w:val="hybridMultilevel"/>
    <w:tmpl w:val="5120B77C"/>
    <w:lvl w:ilvl="0" w:tplc="4A2A86D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4AB28B2"/>
    <w:multiLevelType w:val="hybridMultilevel"/>
    <w:tmpl w:val="EECEE6A0"/>
    <w:lvl w:ilvl="0" w:tplc="08130001">
      <w:start w:val="1"/>
      <w:numFmt w:val="bullet"/>
      <w:lvlText w:val=""/>
      <w:lvlJc w:val="left"/>
      <w:pPr>
        <w:ind w:left="1512" w:hanging="360"/>
      </w:pPr>
      <w:rPr>
        <w:rFonts w:ascii="Symbol" w:hAnsi="Symbol"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9" w15:restartNumberingAfterBreak="0">
    <w:nsid w:val="48814F27"/>
    <w:multiLevelType w:val="hybridMultilevel"/>
    <w:tmpl w:val="14044BB0"/>
    <w:lvl w:ilvl="0" w:tplc="BA26F3EA">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49DD62B9"/>
    <w:multiLevelType w:val="multilevel"/>
    <w:tmpl w:val="3214AF4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637" w:hanging="936"/>
      </w:pPr>
      <w:rPr>
        <w:rFonts w:ascii="Wingdings" w:hAnsi="Wingdings" w:hint="default"/>
      </w:rPr>
    </w:lvl>
    <w:lvl w:ilvl="6">
      <w:start w:val="1"/>
      <w:numFmt w:val="decimal"/>
      <w:lvlText w:val="%1.%2.%3.%4.%5.%6.%7."/>
      <w:lvlJc w:val="left"/>
      <w:pPr>
        <w:ind w:left="3240" w:hanging="1080"/>
      </w:pPr>
    </w:lvl>
    <w:lvl w:ilvl="7">
      <w:start w:val="1"/>
      <w:numFmt w:val="bullet"/>
      <w:lvlText w:val=""/>
      <w:lvlJc w:val="left"/>
      <w:pPr>
        <w:ind w:left="3744" w:hanging="1224"/>
      </w:pPr>
      <w:rPr>
        <w:rFonts w:ascii="Wingdings" w:hAnsi="Wingdings" w:hint="default"/>
      </w:rPr>
    </w:lvl>
    <w:lvl w:ilvl="8">
      <w:start w:val="1"/>
      <w:numFmt w:val="decimal"/>
      <w:lvlText w:val="%1.%2.%3.%4.%5.%6.%7.%8.%9."/>
      <w:lvlJc w:val="left"/>
      <w:pPr>
        <w:ind w:left="4320" w:hanging="1440"/>
      </w:pPr>
    </w:lvl>
  </w:abstractNum>
  <w:abstractNum w:abstractNumId="31" w15:restartNumberingAfterBreak="0">
    <w:nsid w:val="4A91683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9B7F9C"/>
    <w:multiLevelType w:val="hybridMultilevel"/>
    <w:tmpl w:val="CE60BF04"/>
    <w:lvl w:ilvl="0" w:tplc="999C855E">
      <w:start w:val="1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55667485"/>
    <w:multiLevelType w:val="hybridMultilevel"/>
    <w:tmpl w:val="E7DA40FE"/>
    <w:lvl w:ilvl="0" w:tplc="ABB61102">
      <w:start w:val="16"/>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4" w15:restartNumberingAfterBreak="0">
    <w:nsid w:val="5B505449"/>
    <w:multiLevelType w:val="hybridMultilevel"/>
    <w:tmpl w:val="D234CD72"/>
    <w:lvl w:ilvl="0" w:tplc="0813000F">
      <w:start w:val="1"/>
      <w:numFmt w:val="decimal"/>
      <w:lvlText w:val="%1."/>
      <w:lvlJc w:val="left"/>
      <w:pPr>
        <w:ind w:left="1512" w:hanging="360"/>
      </w:pPr>
      <w:rPr>
        <w:rFonts w:hint="default"/>
      </w:rPr>
    </w:lvl>
    <w:lvl w:ilvl="1" w:tplc="08130003">
      <w:start w:val="1"/>
      <w:numFmt w:val="bullet"/>
      <w:lvlText w:val="o"/>
      <w:lvlJc w:val="left"/>
      <w:pPr>
        <w:ind w:left="2232" w:hanging="360"/>
      </w:pPr>
      <w:rPr>
        <w:rFonts w:ascii="Courier New" w:hAnsi="Courier New" w:cs="Courier New" w:hint="default"/>
      </w:rPr>
    </w:lvl>
    <w:lvl w:ilvl="2" w:tplc="08130005">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35" w15:restartNumberingAfterBreak="0">
    <w:nsid w:val="5E6061DA"/>
    <w:multiLevelType w:val="hybridMultilevel"/>
    <w:tmpl w:val="EC96F470"/>
    <w:lvl w:ilvl="0" w:tplc="706EA778">
      <w:start w:val="1"/>
      <w:numFmt w:val="decimal"/>
      <w:lvlText w:val="%1."/>
      <w:lvlJc w:val="left"/>
      <w:pPr>
        <w:ind w:left="1068" w:hanging="360"/>
      </w:pPr>
      <w:rPr>
        <w:rFonts w:hint="default"/>
      </w:rPr>
    </w:lvl>
    <w:lvl w:ilvl="1" w:tplc="08130005">
      <w:start w:val="1"/>
      <w:numFmt w:val="bullet"/>
      <w:lvlText w:val=""/>
      <w:lvlJc w:val="left"/>
      <w:pPr>
        <w:ind w:left="1788" w:hanging="360"/>
      </w:pPr>
      <w:rPr>
        <w:rFonts w:ascii="Wingdings" w:hAnsi="Wingdings"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6" w15:restartNumberingAfterBreak="0">
    <w:nsid w:val="6321251F"/>
    <w:multiLevelType w:val="hybridMultilevel"/>
    <w:tmpl w:val="D2943764"/>
    <w:lvl w:ilvl="0" w:tplc="0813000D">
      <w:start w:val="1"/>
      <w:numFmt w:val="bullet"/>
      <w:lvlText w:val=""/>
      <w:lvlJc w:val="left"/>
      <w:pPr>
        <w:ind w:left="1872" w:hanging="360"/>
      </w:pPr>
      <w:rPr>
        <w:rFonts w:ascii="Wingdings" w:hAnsi="Wingdings" w:hint="default"/>
      </w:rPr>
    </w:lvl>
    <w:lvl w:ilvl="1" w:tplc="08130003" w:tentative="1">
      <w:start w:val="1"/>
      <w:numFmt w:val="bullet"/>
      <w:lvlText w:val="o"/>
      <w:lvlJc w:val="left"/>
      <w:pPr>
        <w:ind w:left="2592" w:hanging="360"/>
      </w:pPr>
      <w:rPr>
        <w:rFonts w:ascii="Courier New" w:hAnsi="Courier New" w:cs="Courier New" w:hint="default"/>
      </w:rPr>
    </w:lvl>
    <w:lvl w:ilvl="2" w:tplc="08130005" w:tentative="1">
      <w:start w:val="1"/>
      <w:numFmt w:val="bullet"/>
      <w:lvlText w:val=""/>
      <w:lvlJc w:val="left"/>
      <w:pPr>
        <w:ind w:left="3312" w:hanging="360"/>
      </w:pPr>
      <w:rPr>
        <w:rFonts w:ascii="Wingdings" w:hAnsi="Wingdings" w:hint="default"/>
      </w:rPr>
    </w:lvl>
    <w:lvl w:ilvl="3" w:tplc="08130001" w:tentative="1">
      <w:start w:val="1"/>
      <w:numFmt w:val="bullet"/>
      <w:lvlText w:val=""/>
      <w:lvlJc w:val="left"/>
      <w:pPr>
        <w:ind w:left="4032" w:hanging="360"/>
      </w:pPr>
      <w:rPr>
        <w:rFonts w:ascii="Symbol" w:hAnsi="Symbol" w:hint="default"/>
      </w:rPr>
    </w:lvl>
    <w:lvl w:ilvl="4" w:tplc="08130003" w:tentative="1">
      <w:start w:val="1"/>
      <w:numFmt w:val="bullet"/>
      <w:lvlText w:val="o"/>
      <w:lvlJc w:val="left"/>
      <w:pPr>
        <w:ind w:left="4752" w:hanging="360"/>
      </w:pPr>
      <w:rPr>
        <w:rFonts w:ascii="Courier New" w:hAnsi="Courier New" w:cs="Courier New" w:hint="default"/>
      </w:rPr>
    </w:lvl>
    <w:lvl w:ilvl="5" w:tplc="08130005" w:tentative="1">
      <w:start w:val="1"/>
      <w:numFmt w:val="bullet"/>
      <w:lvlText w:val=""/>
      <w:lvlJc w:val="left"/>
      <w:pPr>
        <w:ind w:left="5472" w:hanging="360"/>
      </w:pPr>
      <w:rPr>
        <w:rFonts w:ascii="Wingdings" w:hAnsi="Wingdings" w:hint="default"/>
      </w:rPr>
    </w:lvl>
    <w:lvl w:ilvl="6" w:tplc="08130001" w:tentative="1">
      <w:start w:val="1"/>
      <w:numFmt w:val="bullet"/>
      <w:lvlText w:val=""/>
      <w:lvlJc w:val="left"/>
      <w:pPr>
        <w:ind w:left="6192" w:hanging="360"/>
      </w:pPr>
      <w:rPr>
        <w:rFonts w:ascii="Symbol" w:hAnsi="Symbol" w:hint="default"/>
      </w:rPr>
    </w:lvl>
    <w:lvl w:ilvl="7" w:tplc="08130003" w:tentative="1">
      <w:start w:val="1"/>
      <w:numFmt w:val="bullet"/>
      <w:lvlText w:val="o"/>
      <w:lvlJc w:val="left"/>
      <w:pPr>
        <w:ind w:left="6912" w:hanging="360"/>
      </w:pPr>
      <w:rPr>
        <w:rFonts w:ascii="Courier New" w:hAnsi="Courier New" w:cs="Courier New" w:hint="default"/>
      </w:rPr>
    </w:lvl>
    <w:lvl w:ilvl="8" w:tplc="08130005" w:tentative="1">
      <w:start w:val="1"/>
      <w:numFmt w:val="bullet"/>
      <w:lvlText w:val=""/>
      <w:lvlJc w:val="left"/>
      <w:pPr>
        <w:ind w:left="7632" w:hanging="360"/>
      </w:pPr>
      <w:rPr>
        <w:rFonts w:ascii="Wingdings" w:hAnsi="Wingdings" w:hint="default"/>
      </w:rPr>
    </w:lvl>
  </w:abstractNum>
  <w:abstractNum w:abstractNumId="37" w15:restartNumberingAfterBreak="0">
    <w:nsid w:val="65263865"/>
    <w:multiLevelType w:val="hybridMultilevel"/>
    <w:tmpl w:val="C75EEE52"/>
    <w:lvl w:ilvl="0" w:tplc="36EC5F26">
      <w:start w:val="16"/>
      <w:numFmt w:val="bullet"/>
      <w:lvlText w:val="-"/>
      <w:lvlJc w:val="left"/>
      <w:pPr>
        <w:ind w:left="1512" w:hanging="360"/>
      </w:pPr>
      <w:rPr>
        <w:rFonts w:ascii="Calibri" w:eastAsiaTheme="minorHAnsi" w:hAnsi="Calibri" w:cs="Calibri" w:hint="default"/>
      </w:rPr>
    </w:lvl>
    <w:lvl w:ilvl="1" w:tplc="08130003">
      <w:start w:val="1"/>
      <w:numFmt w:val="bullet"/>
      <w:lvlText w:val="o"/>
      <w:lvlJc w:val="left"/>
      <w:pPr>
        <w:ind w:left="2232" w:hanging="360"/>
      </w:pPr>
      <w:rPr>
        <w:rFonts w:ascii="Courier New" w:hAnsi="Courier New" w:cs="Courier New" w:hint="default"/>
      </w:rPr>
    </w:lvl>
    <w:lvl w:ilvl="2" w:tplc="08130005">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38" w15:restartNumberingAfterBreak="0">
    <w:nsid w:val="65DC798B"/>
    <w:multiLevelType w:val="hybridMultilevel"/>
    <w:tmpl w:val="08CE4AFE"/>
    <w:lvl w:ilvl="0" w:tplc="73CCEBD0">
      <w:start w:val="5000"/>
      <w:numFmt w:val="decimal"/>
      <w:lvlText w:val="%1"/>
      <w:lvlJc w:val="left"/>
      <w:pPr>
        <w:ind w:left="2304" w:hanging="432"/>
      </w:pPr>
      <w:rPr>
        <w:rFonts w:hint="default"/>
      </w:rPr>
    </w:lvl>
    <w:lvl w:ilvl="1" w:tplc="08130019" w:tentative="1">
      <w:start w:val="1"/>
      <w:numFmt w:val="lowerLetter"/>
      <w:lvlText w:val="%2."/>
      <w:lvlJc w:val="left"/>
      <w:pPr>
        <w:ind w:left="2952" w:hanging="360"/>
      </w:pPr>
    </w:lvl>
    <w:lvl w:ilvl="2" w:tplc="0813001B" w:tentative="1">
      <w:start w:val="1"/>
      <w:numFmt w:val="lowerRoman"/>
      <w:lvlText w:val="%3."/>
      <w:lvlJc w:val="right"/>
      <w:pPr>
        <w:ind w:left="3672" w:hanging="180"/>
      </w:pPr>
    </w:lvl>
    <w:lvl w:ilvl="3" w:tplc="0813000F" w:tentative="1">
      <w:start w:val="1"/>
      <w:numFmt w:val="decimal"/>
      <w:lvlText w:val="%4."/>
      <w:lvlJc w:val="left"/>
      <w:pPr>
        <w:ind w:left="4392" w:hanging="360"/>
      </w:pPr>
    </w:lvl>
    <w:lvl w:ilvl="4" w:tplc="08130019" w:tentative="1">
      <w:start w:val="1"/>
      <w:numFmt w:val="lowerLetter"/>
      <w:lvlText w:val="%5."/>
      <w:lvlJc w:val="left"/>
      <w:pPr>
        <w:ind w:left="5112" w:hanging="360"/>
      </w:pPr>
    </w:lvl>
    <w:lvl w:ilvl="5" w:tplc="0813001B" w:tentative="1">
      <w:start w:val="1"/>
      <w:numFmt w:val="lowerRoman"/>
      <w:lvlText w:val="%6."/>
      <w:lvlJc w:val="right"/>
      <w:pPr>
        <w:ind w:left="5832" w:hanging="180"/>
      </w:pPr>
    </w:lvl>
    <w:lvl w:ilvl="6" w:tplc="0813000F" w:tentative="1">
      <w:start w:val="1"/>
      <w:numFmt w:val="decimal"/>
      <w:lvlText w:val="%7."/>
      <w:lvlJc w:val="left"/>
      <w:pPr>
        <w:ind w:left="6552" w:hanging="360"/>
      </w:pPr>
    </w:lvl>
    <w:lvl w:ilvl="7" w:tplc="08130019" w:tentative="1">
      <w:start w:val="1"/>
      <w:numFmt w:val="lowerLetter"/>
      <w:lvlText w:val="%8."/>
      <w:lvlJc w:val="left"/>
      <w:pPr>
        <w:ind w:left="7272" w:hanging="360"/>
      </w:pPr>
    </w:lvl>
    <w:lvl w:ilvl="8" w:tplc="0813001B" w:tentative="1">
      <w:start w:val="1"/>
      <w:numFmt w:val="lowerRoman"/>
      <w:lvlText w:val="%9."/>
      <w:lvlJc w:val="right"/>
      <w:pPr>
        <w:ind w:left="7992" w:hanging="180"/>
      </w:pPr>
    </w:lvl>
  </w:abstractNum>
  <w:abstractNum w:abstractNumId="39" w15:restartNumberingAfterBreak="0">
    <w:nsid w:val="6D7C7C44"/>
    <w:multiLevelType w:val="multilevel"/>
    <w:tmpl w:val="2FCAE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203C9"/>
    <w:multiLevelType w:val="hybridMultilevel"/>
    <w:tmpl w:val="D110FF54"/>
    <w:lvl w:ilvl="0" w:tplc="0813000F">
      <w:start w:val="5"/>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74A06A7A"/>
    <w:multiLevelType w:val="hybridMultilevel"/>
    <w:tmpl w:val="A71E996A"/>
    <w:lvl w:ilvl="0" w:tplc="41EECB28">
      <w:start w:val="1"/>
      <w:numFmt w:val="decimal"/>
      <w:lvlText w:val="%1."/>
      <w:lvlJc w:val="left"/>
      <w:pPr>
        <w:ind w:left="1512" w:hanging="360"/>
      </w:pPr>
      <w:rPr>
        <w:rFonts w:hint="default"/>
      </w:rPr>
    </w:lvl>
    <w:lvl w:ilvl="1" w:tplc="0813000D">
      <w:start w:val="1"/>
      <w:numFmt w:val="bullet"/>
      <w:lvlText w:val=""/>
      <w:lvlJc w:val="left"/>
      <w:pPr>
        <w:ind w:left="2232" w:hanging="360"/>
      </w:pPr>
      <w:rPr>
        <w:rFonts w:ascii="Wingdings" w:hAnsi="Wingdings" w:hint="default"/>
      </w:rPr>
    </w:lvl>
    <w:lvl w:ilvl="2" w:tplc="08130001">
      <w:start w:val="1"/>
      <w:numFmt w:val="bullet"/>
      <w:lvlText w:val=""/>
      <w:lvlJc w:val="left"/>
      <w:pPr>
        <w:ind w:left="2952" w:hanging="180"/>
      </w:pPr>
      <w:rPr>
        <w:rFonts w:ascii="Symbol" w:hAnsi="Symbol" w:hint="default"/>
      </w:rPr>
    </w:lvl>
    <w:lvl w:ilvl="3" w:tplc="0813000F" w:tentative="1">
      <w:start w:val="1"/>
      <w:numFmt w:val="decimal"/>
      <w:lvlText w:val="%4."/>
      <w:lvlJc w:val="left"/>
      <w:pPr>
        <w:ind w:left="3672" w:hanging="360"/>
      </w:pPr>
    </w:lvl>
    <w:lvl w:ilvl="4" w:tplc="08130019" w:tentative="1">
      <w:start w:val="1"/>
      <w:numFmt w:val="lowerLetter"/>
      <w:lvlText w:val="%5."/>
      <w:lvlJc w:val="left"/>
      <w:pPr>
        <w:ind w:left="4392" w:hanging="360"/>
      </w:pPr>
    </w:lvl>
    <w:lvl w:ilvl="5" w:tplc="0813001B" w:tentative="1">
      <w:start w:val="1"/>
      <w:numFmt w:val="lowerRoman"/>
      <w:lvlText w:val="%6."/>
      <w:lvlJc w:val="right"/>
      <w:pPr>
        <w:ind w:left="5112" w:hanging="180"/>
      </w:pPr>
    </w:lvl>
    <w:lvl w:ilvl="6" w:tplc="0813000F" w:tentative="1">
      <w:start w:val="1"/>
      <w:numFmt w:val="decimal"/>
      <w:lvlText w:val="%7."/>
      <w:lvlJc w:val="left"/>
      <w:pPr>
        <w:ind w:left="5832" w:hanging="360"/>
      </w:pPr>
    </w:lvl>
    <w:lvl w:ilvl="7" w:tplc="08130019" w:tentative="1">
      <w:start w:val="1"/>
      <w:numFmt w:val="lowerLetter"/>
      <w:lvlText w:val="%8."/>
      <w:lvlJc w:val="left"/>
      <w:pPr>
        <w:ind w:left="6552" w:hanging="360"/>
      </w:pPr>
    </w:lvl>
    <w:lvl w:ilvl="8" w:tplc="0813001B" w:tentative="1">
      <w:start w:val="1"/>
      <w:numFmt w:val="lowerRoman"/>
      <w:lvlText w:val="%9."/>
      <w:lvlJc w:val="right"/>
      <w:pPr>
        <w:ind w:left="7272" w:hanging="180"/>
      </w:pPr>
    </w:lvl>
  </w:abstractNum>
  <w:abstractNum w:abstractNumId="42" w15:restartNumberingAfterBreak="0">
    <w:nsid w:val="756459CE"/>
    <w:multiLevelType w:val="hybridMultilevel"/>
    <w:tmpl w:val="8DFEDE64"/>
    <w:lvl w:ilvl="0" w:tplc="248A094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6EC0F3A"/>
    <w:multiLevelType w:val="hybridMultilevel"/>
    <w:tmpl w:val="EA14C21E"/>
    <w:lvl w:ilvl="0" w:tplc="D18207BA">
      <w:start w:val="1"/>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AF43E10"/>
    <w:multiLevelType w:val="hybridMultilevel"/>
    <w:tmpl w:val="37BA5DB8"/>
    <w:lvl w:ilvl="0" w:tplc="9DE85514">
      <w:start w:val="9"/>
      <w:numFmt w:val="bullet"/>
      <w:lvlText w:val="-"/>
      <w:lvlJc w:val="left"/>
      <w:pPr>
        <w:ind w:left="1080" w:hanging="360"/>
      </w:pPr>
      <w:rPr>
        <w:rFonts w:ascii="Calibri" w:eastAsia="Calibr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5" w15:restartNumberingAfterBreak="0">
    <w:nsid w:val="7B5A014F"/>
    <w:multiLevelType w:val="hybridMultilevel"/>
    <w:tmpl w:val="66288A56"/>
    <w:lvl w:ilvl="0" w:tplc="2076B300">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0"/>
  </w:num>
  <w:num w:numId="4">
    <w:abstractNumId w:val="34"/>
  </w:num>
  <w:num w:numId="5">
    <w:abstractNumId w:val="12"/>
  </w:num>
  <w:num w:numId="6">
    <w:abstractNumId w:val="3"/>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33"/>
  </w:num>
  <w:num w:numId="9">
    <w:abstractNumId w:val="6"/>
  </w:num>
  <w:num w:numId="10">
    <w:abstractNumId w:val="9"/>
  </w:num>
  <w:num w:numId="11">
    <w:abstractNumId w:val="28"/>
  </w:num>
  <w:num w:numId="12">
    <w:abstractNumId w:val="25"/>
  </w:num>
  <w:num w:numId="13">
    <w:abstractNumId w:val="38"/>
  </w:num>
  <w:num w:numId="14">
    <w:abstractNumId w:val="40"/>
  </w:num>
  <w:num w:numId="15">
    <w:abstractNumId w:val="5"/>
  </w:num>
  <w:num w:numId="16">
    <w:abstractNumId w:val="8"/>
  </w:num>
  <w:num w:numId="17">
    <w:abstractNumId w:val="10"/>
  </w:num>
  <w:num w:numId="18">
    <w:abstractNumId w:val="11"/>
  </w:num>
  <w:num w:numId="19">
    <w:abstractNumId w:val="26"/>
  </w:num>
  <w:num w:numId="20">
    <w:abstractNumId w:val="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7"/>
  </w:num>
  <w:num w:numId="24">
    <w:abstractNumId w:val="18"/>
  </w:num>
  <w:num w:numId="25">
    <w:abstractNumId w:val="39"/>
  </w:num>
  <w:num w:numId="26">
    <w:abstractNumId w:val="17"/>
  </w:num>
  <w:num w:numId="27">
    <w:abstractNumId w:val="32"/>
  </w:num>
  <w:num w:numId="28">
    <w:abstractNumId w:val="43"/>
  </w:num>
  <w:num w:numId="29">
    <w:abstractNumId w:val="20"/>
  </w:num>
  <w:num w:numId="30">
    <w:abstractNumId w:val="29"/>
  </w:num>
  <w:num w:numId="31">
    <w:abstractNumId w:val="41"/>
  </w:num>
  <w:num w:numId="32">
    <w:abstractNumId w:val="36"/>
  </w:num>
  <w:num w:numId="33">
    <w:abstractNumId w:val="2"/>
  </w:num>
  <w:num w:numId="34">
    <w:abstractNumId w:val="23"/>
  </w:num>
  <w:num w:numId="35">
    <w:abstractNumId w:val="13"/>
  </w:num>
  <w:num w:numId="36">
    <w:abstractNumId w:val="16"/>
  </w:num>
  <w:num w:numId="37">
    <w:abstractNumId w:val="35"/>
  </w:num>
  <w:num w:numId="38">
    <w:abstractNumId w:val="4"/>
  </w:num>
  <w:num w:numId="39">
    <w:abstractNumId w:val="37"/>
  </w:num>
  <w:num w:numId="40">
    <w:abstractNumId w:val="31"/>
  </w:num>
  <w:num w:numId="41">
    <w:abstractNumId w:val="27"/>
  </w:num>
  <w:num w:numId="42">
    <w:abstractNumId w:val="45"/>
  </w:num>
  <w:num w:numId="43">
    <w:abstractNumId w:val="24"/>
  </w:num>
  <w:num w:numId="44">
    <w:abstractNumId w:val="15"/>
  </w:num>
  <w:num w:numId="45">
    <w:abstractNumId w:val="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8"/>
    <w:rsid w:val="000000F7"/>
    <w:rsid w:val="00000DBB"/>
    <w:rsid w:val="00002CAD"/>
    <w:rsid w:val="00004D7C"/>
    <w:rsid w:val="00005AE5"/>
    <w:rsid w:val="00006536"/>
    <w:rsid w:val="0000659C"/>
    <w:rsid w:val="00006E01"/>
    <w:rsid w:val="00006EB5"/>
    <w:rsid w:val="00007B6D"/>
    <w:rsid w:val="00007BCA"/>
    <w:rsid w:val="0001017A"/>
    <w:rsid w:val="000118B4"/>
    <w:rsid w:val="00013843"/>
    <w:rsid w:val="0001455D"/>
    <w:rsid w:val="00014D19"/>
    <w:rsid w:val="000152AF"/>
    <w:rsid w:val="00015659"/>
    <w:rsid w:val="0001586F"/>
    <w:rsid w:val="00020ECD"/>
    <w:rsid w:val="00020F35"/>
    <w:rsid w:val="00021BBE"/>
    <w:rsid w:val="00021EB7"/>
    <w:rsid w:val="000227A1"/>
    <w:rsid w:val="00022E23"/>
    <w:rsid w:val="00024781"/>
    <w:rsid w:val="00024860"/>
    <w:rsid w:val="00026972"/>
    <w:rsid w:val="00027194"/>
    <w:rsid w:val="000272DD"/>
    <w:rsid w:val="0002743A"/>
    <w:rsid w:val="00027923"/>
    <w:rsid w:val="00030079"/>
    <w:rsid w:val="00030980"/>
    <w:rsid w:val="000309F0"/>
    <w:rsid w:val="00031572"/>
    <w:rsid w:val="00033174"/>
    <w:rsid w:val="00033F10"/>
    <w:rsid w:val="0003492F"/>
    <w:rsid w:val="00036D15"/>
    <w:rsid w:val="00037AB6"/>
    <w:rsid w:val="00040225"/>
    <w:rsid w:val="00041677"/>
    <w:rsid w:val="000419FB"/>
    <w:rsid w:val="00043905"/>
    <w:rsid w:val="000444BB"/>
    <w:rsid w:val="000470E4"/>
    <w:rsid w:val="00047B7F"/>
    <w:rsid w:val="00050808"/>
    <w:rsid w:val="00051158"/>
    <w:rsid w:val="000529C4"/>
    <w:rsid w:val="00053643"/>
    <w:rsid w:val="00054A67"/>
    <w:rsid w:val="00054B2C"/>
    <w:rsid w:val="000566A1"/>
    <w:rsid w:val="00057529"/>
    <w:rsid w:val="0006065D"/>
    <w:rsid w:val="00060E87"/>
    <w:rsid w:val="00061736"/>
    <w:rsid w:val="000622C5"/>
    <w:rsid w:val="00062887"/>
    <w:rsid w:val="00062E7B"/>
    <w:rsid w:val="000648C6"/>
    <w:rsid w:val="000652FE"/>
    <w:rsid w:val="0006562A"/>
    <w:rsid w:val="00065B7D"/>
    <w:rsid w:val="0006655D"/>
    <w:rsid w:val="000668C2"/>
    <w:rsid w:val="000670F5"/>
    <w:rsid w:val="00067E7B"/>
    <w:rsid w:val="00070B15"/>
    <w:rsid w:val="00071FA7"/>
    <w:rsid w:val="00072379"/>
    <w:rsid w:val="00072B99"/>
    <w:rsid w:val="00073460"/>
    <w:rsid w:val="00074121"/>
    <w:rsid w:val="00074508"/>
    <w:rsid w:val="00076F28"/>
    <w:rsid w:val="000771E7"/>
    <w:rsid w:val="00077794"/>
    <w:rsid w:val="000801FE"/>
    <w:rsid w:val="000809EE"/>
    <w:rsid w:val="00082101"/>
    <w:rsid w:val="00083A21"/>
    <w:rsid w:val="00085279"/>
    <w:rsid w:val="0008589F"/>
    <w:rsid w:val="000862DB"/>
    <w:rsid w:val="000914BE"/>
    <w:rsid w:val="000916D1"/>
    <w:rsid w:val="00092F41"/>
    <w:rsid w:val="00094187"/>
    <w:rsid w:val="000948CB"/>
    <w:rsid w:val="000953AD"/>
    <w:rsid w:val="000955F1"/>
    <w:rsid w:val="000970B1"/>
    <w:rsid w:val="00097D53"/>
    <w:rsid w:val="000A2DE1"/>
    <w:rsid w:val="000A3215"/>
    <w:rsid w:val="000A5729"/>
    <w:rsid w:val="000B03D5"/>
    <w:rsid w:val="000B098C"/>
    <w:rsid w:val="000B0F9A"/>
    <w:rsid w:val="000B134A"/>
    <w:rsid w:val="000B213A"/>
    <w:rsid w:val="000B4587"/>
    <w:rsid w:val="000B79FA"/>
    <w:rsid w:val="000C01F5"/>
    <w:rsid w:val="000C134B"/>
    <w:rsid w:val="000C24D4"/>
    <w:rsid w:val="000C370C"/>
    <w:rsid w:val="000C4385"/>
    <w:rsid w:val="000C4A49"/>
    <w:rsid w:val="000C4B55"/>
    <w:rsid w:val="000C4E46"/>
    <w:rsid w:val="000C667D"/>
    <w:rsid w:val="000C7010"/>
    <w:rsid w:val="000C7209"/>
    <w:rsid w:val="000D0412"/>
    <w:rsid w:val="000D1DBC"/>
    <w:rsid w:val="000D25DC"/>
    <w:rsid w:val="000D26BD"/>
    <w:rsid w:val="000D3C70"/>
    <w:rsid w:val="000D4064"/>
    <w:rsid w:val="000D57C2"/>
    <w:rsid w:val="000D5C82"/>
    <w:rsid w:val="000D5D0B"/>
    <w:rsid w:val="000D76BC"/>
    <w:rsid w:val="000D799A"/>
    <w:rsid w:val="000E0F17"/>
    <w:rsid w:val="000E1931"/>
    <w:rsid w:val="000E198B"/>
    <w:rsid w:val="000E1BAE"/>
    <w:rsid w:val="000E1C78"/>
    <w:rsid w:val="000E1FDE"/>
    <w:rsid w:val="000E25AE"/>
    <w:rsid w:val="000E2A48"/>
    <w:rsid w:val="000E30B7"/>
    <w:rsid w:val="000E40F1"/>
    <w:rsid w:val="000E47A3"/>
    <w:rsid w:val="000E48C9"/>
    <w:rsid w:val="000E775A"/>
    <w:rsid w:val="000E794E"/>
    <w:rsid w:val="000F03AC"/>
    <w:rsid w:val="000F0C5F"/>
    <w:rsid w:val="000F0F88"/>
    <w:rsid w:val="000F15C2"/>
    <w:rsid w:val="000F2A19"/>
    <w:rsid w:val="000F2B25"/>
    <w:rsid w:val="000F3318"/>
    <w:rsid w:val="000F6B4F"/>
    <w:rsid w:val="000F6D6F"/>
    <w:rsid w:val="00100751"/>
    <w:rsid w:val="00105268"/>
    <w:rsid w:val="00106597"/>
    <w:rsid w:val="001070EF"/>
    <w:rsid w:val="00107BB4"/>
    <w:rsid w:val="0011124F"/>
    <w:rsid w:val="001113AA"/>
    <w:rsid w:val="00111634"/>
    <w:rsid w:val="0011379B"/>
    <w:rsid w:val="001159C9"/>
    <w:rsid w:val="00115FF6"/>
    <w:rsid w:val="0011644A"/>
    <w:rsid w:val="0012086A"/>
    <w:rsid w:val="001208E5"/>
    <w:rsid w:val="00121187"/>
    <w:rsid w:val="001222C2"/>
    <w:rsid w:val="0012237E"/>
    <w:rsid w:val="00124C0E"/>
    <w:rsid w:val="00124FBF"/>
    <w:rsid w:val="00125D7E"/>
    <w:rsid w:val="0012623A"/>
    <w:rsid w:val="00127339"/>
    <w:rsid w:val="00127B7E"/>
    <w:rsid w:val="001316A3"/>
    <w:rsid w:val="00131DBE"/>
    <w:rsid w:val="00132CB4"/>
    <w:rsid w:val="00134939"/>
    <w:rsid w:val="00136D96"/>
    <w:rsid w:val="001403CD"/>
    <w:rsid w:val="00140D8F"/>
    <w:rsid w:val="001419CE"/>
    <w:rsid w:val="00143293"/>
    <w:rsid w:val="00144FFD"/>
    <w:rsid w:val="00146253"/>
    <w:rsid w:val="0014715F"/>
    <w:rsid w:val="00154B44"/>
    <w:rsid w:val="00154C12"/>
    <w:rsid w:val="00157A2E"/>
    <w:rsid w:val="0016119A"/>
    <w:rsid w:val="0016157D"/>
    <w:rsid w:val="00162A24"/>
    <w:rsid w:val="001643A3"/>
    <w:rsid w:val="0016561F"/>
    <w:rsid w:val="00165A81"/>
    <w:rsid w:val="00166535"/>
    <w:rsid w:val="00170817"/>
    <w:rsid w:val="00171E18"/>
    <w:rsid w:val="00172A94"/>
    <w:rsid w:val="0017432B"/>
    <w:rsid w:val="00174774"/>
    <w:rsid w:val="001759B2"/>
    <w:rsid w:val="00175F5A"/>
    <w:rsid w:val="00175F66"/>
    <w:rsid w:val="00175FFC"/>
    <w:rsid w:val="00176B0A"/>
    <w:rsid w:val="001779E1"/>
    <w:rsid w:val="00180D1C"/>
    <w:rsid w:val="00185104"/>
    <w:rsid w:val="00186903"/>
    <w:rsid w:val="0019070F"/>
    <w:rsid w:val="001916B1"/>
    <w:rsid w:val="00191C19"/>
    <w:rsid w:val="00191DF3"/>
    <w:rsid w:val="00191EE6"/>
    <w:rsid w:val="00192F64"/>
    <w:rsid w:val="0019313F"/>
    <w:rsid w:val="00195B8D"/>
    <w:rsid w:val="0019698A"/>
    <w:rsid w:val="00196BF3"/>
    <w:rsid w:val="001A0D80"/>
    <w:rsid w:val="001A0E1B"/>
    <w:rsid w:val="001A10E7"/>
    <w:rsid w:val="001A145B"/>
    <w:rsid w:val="001A16D0"/>
    <w:rsid w:val="001A1EB5"/>
    <w:rsid w:val="001A28C8"/>
    <w:rsid w:val="001A3645"/>
    <w:rsid w:val="001A429C"/>
    <w:rsid w:val="001A4E3E"/>
    <w:rsid w:val="001A4EA0"/>
    <w:rsid w:val="001A5398"/>
    <w:rsid w:val="001A5B27"/>
    <w:rsid w:val="001A5CC7"/>
    <w:rsid w:val="001A6322"/>
    <w:rsid w:val="001A69AD"/>
    <w:rsid w:val="001B0E8C"/>
    <w:rsid w:val="001B1D44"/>
    <w:rsid w:val="001B2535"/>
    <w:rsid w:val="001B2E3C"/>
    <w:rsid w:val="001B3642"/>
    <w:rsid w:val="001B593C"/>
    <w:rsid w:val="001B64E9"/>
    <w:rsid w:val="001C00A6"/>
    <w:rsid w:val="001C0DE9"/>
    <w:rsid w:val="001C2407"/>
    <w:rsid w:val="001C3DC1"/>
    <w:rsid w:val="001C6BF7"/>
    <w:rsid w:val="001C6F8D"/>
    <w:rsid w:val="001C729D"/>
    <w:rsid w:val="001D00A2"/>
    <w:rsid w:val="001D0583"/>
    <w:rsid w:val="001D074A"/>
    <w:rsid w:val="001D175B"/>
    <w:rsid w:val="001D224A"/>
    <w:rsid w:val="001D3069"/>
    <w:rsid w:val="001D420D"/>
    <w:rsid w:val="001D6CA0"/>
    <w:rsid w:val="001D6CEB"/>
    <w:rsid w:val="001E0935"/>
    <w:rsid w:val="001E472F"/>
    <w:rsid w:val="001E56F6"/>
    <w:rsid w:val="001E652B"/>
    <w:rsid w:val="001E6F90"/>
    <w:rsid w:val="001F1F4B"/>
    <w:rsid w:val="001F24BF"/>
    <w:rsid w:val="001F28D6"/>
    <w:rsid w:val="001F47F0"/>
    <w:rsid w:val="001F4BEB"/>
    <w:rsid w:val="001F71BB"/>
    <w:rsid w:val="00200305"/>
    <w:rsid w:val="00202C72"/>
    <w:rsid w:val="0020445D"/>
    <w:rsid w:val="00204C72"/>
    <w:rsid w:val="00204F02"/>
    <w:rsid w:val="002069A8"/>
    <w:rsid w:val="00206C1F"/>
    <w:rsid w:val="00206CE3"/>
    <w:rsid w:val="00207539"/>
    <w:rsid w:val="0021034D"/>
    <w:rsid w:val="002107A9"/>
    <w:rsid w:val="00210DFA"/>
    <w:rsid w:val="00211E33"/>
    <w:rsid w:val="00213982"/>
    <w:rsid w:val="00215780"/>
    <w:rsid w:val="00216B2C"/>
    <w:rsid w:val="00216D12"/>
    <w:rsid w:val="00220040"/>
    <w:rsid w:val="0022044D"/>
    <w:rsid w:val="00221125"/>
    <w:rsid w:val="00224F57"/>
    <w:rsid w:val="0022678E"/>
    <w:rsid w:val="0022686B"/>
    <w:rsid w:val="00226942"/>
    <w:rsid w:val="002277B8"/>
    <w:rsid w:val="00227AA7"/>
    <w:rsid w:val="002319C2"/>
    <w:rsid w:val="00233446"/>
    <w:rsid w:val="00235F19"/>
    <w:rsid w:val="002366FA"/>
    <w:rsid w:val="00243D16"/>
    <w:rsid w:val="00243DDF"/>
    <w:rsid w:val="002457F8"/>
    <w:rsid w:val="00245EEB"/>
    <w:rsid w:val="0024674B"/>
    <w:rsid w:val="002470C7"/>
    <w:rsid w:val="00247315"/>
    <w:rsid w:val="00247ADD"/>
    <w:rsid w:val="002504A1"/>
    <w:rsid w:val="00250821"/>
    <w:rsid w:val="00250AAA"/>
    <w:rsid w:val="0025383F"/>
    <w:rsid w:val="00253C18"/>
    <w:rsid w:val="0025593D"/>
    <w:rsid w:val="00255A66"/>
    <w:rsid w:val="00255A6D"/>
    <w:rsid w:val="0025794C"/>
    <w:rsid w:val="00257E92"/>
    <w:rsid w:val="00262CDC"/>
    <w:rsid w:val="00262FCE"/>
    <w:rsid w:val="002638C8"/>
    <w:rsid w:val="00263EB9"/>
    <w:rsid w:val="0026407C"/>
    <w:rsid w:val="002643CE"/>
    <w:rsid w:val="0027099A"/>
    <w:rsid w:val="00270FA1"/>
    <w:rsid w:val="00271098"/>
    <w:rsid w:val="00272212"/>
    <w:rsid w:val="0027265E"/>
    <w:rsid w:val="002732BA"/>
    <w:rsid w:val="00274947"/>
    <w:rsid w:val="00275D5C"/>
    <w:rsid w:val="00275F3A"/>
    <w:rsid w:val="002768B1"/>
    <w:rsid w:val="00276DFE"/>
    <w:rsid w:val="00277B61"/>
    <w:rsid w:val="00280E78"/>
    <w:rsid w:val="0028274D"/>
    <w:rsid w:val="00282879"/>
    <w:rsid w:val="0028340B"/>
    <w:rsid w:val="002836D1"/>
    <w:rsid w:val="00284C5E"/>
    <w:rsid w:val="002852EA"/>
    <w:rsid w:val="00285C6E"/>
    <w:rsid w:val="00286E58"/>
    <w:rsid w:val="00290C0D"/>
    <w:rsid w:val="00290E94"/>
    <w:rsid w:val="002959D9"/>
    <w:rsid w:val="00295CB7"/>
    <w:rsid w:val="002960DC"/>
    <w:rsid w:val="00297066"/>
    <w:rsid w:val="00297D96"/>
    <w:rsid w:val="002A0EDA"/>
    <w:rsid w:val="002A21E2"/>
    <w:rsid w:val="002A2F52"/>
    <w:rsid w:val="002A3283"/>
    <w:rsid w:val="002A46DB"/>
    <w:rsid w:val="002A5AA6"/>
    <w:rsid w:val="002A5F87"/>
    <w:rsid w:val="002A61BE"/>
    <w:rsid w:val="002A6940"/>
    <w:rsid w:val="002B01AA"/>
    <w:rsid w:val="002B0D84"/>
    <w:rsid w:val="002B23F1"/>
    <w:rsid w:val="002B291D"/>
    <w:rsid w:val="002B3C68"/>
    <w:rsid w:val="002B4257"/>
    <w:rsid w:val="002B4998"/>
    <w:rsid w:val="002B4D5C"/>
    <w:rsid w:val="002B519D"/>
    <w:rsid w:val="002B5DAD"/>
    <w:rsid w:val="002B66CC"/>
    <w:rsid w:val="002B785C"/>
    <w:rsid w:val="002C04B0"/>
    <w:rsid w:val="002C04C0"/>
    <w:rsid w:val="002C0E48"/>
    <w:rsid w:val="002C12DA"/>
    <w:rsid w:val="002C36F3"/>
    <w:rsid w:val="002C599E"/>
    <w:rsid w:val="002C672C"/>
    <w:rsid w:val="002C6C17"/>
    <w:rsid w:val="002C742E"/>
    <w:rsid w:val="002C7DE5"/>
    <w:rsid w:val="002D08D7"/>
    <w:rsid w:val="002D11D7"/>
    <w:rsid w:val="002D11F2"/>
    <w:rsid w:val="002D129C"/>
    <w:rsid w:val="002D2DB5"/>
    <w:rsid w:val="002D43C3"/>
    <w:rsid w:val="002D5C23"/>
    <w:rsid w:val="002D68AA"/>
    <w:rsid w:val="002D6DB1"/>
    <w:rsid w:val="002D72AC"/>
    <w:rsid w:val="002D7AC8"/>
    <w:rsid w:val="002D7C44"/>
    <w:rsid w:val="002E020C"/>
    <w:rsid w:val="002E18AA"/>
    <w:rsid w:val="002E1A24"/>
    <w:rsid w:val="002E1C91"/>
    <w:rsid w:val="002E32AF"/>
    <w:rsid w:val="002E4183"/>
    <w:rsid w:val="002F1008"/>
    <w:rsid w:val="002F1A39"/>
    <w:rsid w:val="002F228D"/>
    <w:rsid w:val="002F3455"/>
    <w:rsid w:val="002F3499"/>
    <w:rsid w:val="002F377A"/>
    <w:rsid w:val="002F4B5A"/>
    <w:rsid w:val="002F5C9D"/>
    <w:rsid w:val="002F6B8C"/>
    <w:rsid w:val="003007F7"/>
    <w:rsid w:val="0030118B"/>
    <w:rsid w:val="003021CE"/>
    <w:rsid w:val="00302229"/>
    <w:rsid w:val="003028DC"/>
    <w:rsid w:val="003040F9"/>
    <w:rsid w:val="003053AA"/>
    <w:rsid w:val="003060EA"/>
    <w:rsid w:val="00307B91"/>
    <w:rsid w:val="00310B83"/>
    <w:rsid w:val="00310FEB"/>
    <w:rsid w:val="00311B78"/>
    <w:rsid w:val="0031260F"/>
    <w:rsid w:val="00312D67"/>
    <w:rsid w:val="0031526C"/>
    <w:rsid w:val="0031535A"/>
    <w:rsid w:val="00315533"/>
    <w:rsid w:val="00320224"/>
    <w:rsid w:val="00320E97"/>
    <w:rsid w:val="00321B7D"/>
    <w:rsid w:val="003222BB"/>
    <w:rsid w:val="00322D56"/>
    <w:rsid w:val="00322DF2"/>
    <w:rsid w:val="003237DB"/>
    <w:rsid w:val="00323AAD"/>
    <w:rsid w:val="00324802"/>
    <w:rsid w:val="0032492E"/>
    <w:rsid w:val="003257F5"/>
    <w:rsid w:val="00325DA3"/>
    <w:rsid w:val="00326B0D"/>
    <w:rsid w:val="00327D1A"/>
    <w:rsid w:val="0033020B"/>
    <w:rsid w:val="0033046C"/>
    <w:rsid w:val="003324BB"/>
    <w:rsid w:val="00333AA2"/>
    <w:rsid w:val="003354A9"/>
    <w:rsid w:val="00335F2D"/>
    <w:rsid w:val="003367C7"/>
    <w:rsid w:val="00336D20"/>
    <w:rsid w:val="00336EE5"/>
    <w:rsid w:val="00337103"/>
    <w:rsid w:val="003374F0"/>
    <w:rsid w:val="003412B5"/>
    <w:rsid w:val="003412D0"/>
    <w:rsid w:val="0034404F"/>
    <w:rsid w:val="00346C8D"/>
    <w:rsid w:val="00347FA1"/>
    <w:rsid w:val="00350510"/>
    <w:rsid w:val="003516D3"/>
    <w:rsid w:val="00354184"/>
    <w:rsid w:val="0035527B"/>
    <w:rsid w:val="0035640A"/>
    <w:rsid w:val="00356F5C"/>
    <w:rsid w:val="0035744D"/>
    <w:rsid w:val="00363331"/>
    <w:rsid w:val="00366B66"/>
    <w:rsid w:val="00366C45"/>
    <w:rsid w:val="0036743B"/>
    <w:rsid w:val="00367935"/>
    <w:rsid w:val="00371B71"/>
    <w:rsid w:val="00371BA0"/>
    <w:rsid w:val="003721DC"/>
    <w:rsid w:val="00373BC9"/>
    <w:rsid w:val="003742E8"/>
    <w:rsid w:val="0037574C"/>
    <w:rsid w:val="003760D1"/>
    <w:rsid w:val="00376D52"/>
    <w:rsid w:val="00376FDF"/>
    <w:rsid w:val="00377286"/>
    <w:rsid w:val="00377A24"/>
    <w:rsid w:val="00377B7E"/>
    <w:rsid w:val="00381D2A"/>
    <w:rsid w:val="0038201D"/>
    <w:rsid w:val="00383303"/>
    <w:rsid w:val="00383497"/>
    <w:rsid w:val="0038430E"/>
    <w:rsid w:val="003849CF"/>
    <w:rsid w:val="00386EA2"/>
    <w:rsid w:val="003878C4"/>
    <w:rsid w:val="00390E43"/>
    <w:rsid w:val="0039374B"/>
    <w:rsid w:val="00394967"/>
    <w:rsid w:val="00396507"/>
    <w:rsid w:val="00397B3C"/>
    <w:rsid w:val="003A0A51"/>
    <w:rsid w:val="003A3BE7"/>
    <w:rsid w:val="003A6914"/>
    <w:rsid w:val="003A6E9A"/>
    <w:rsid w:val="003A773E"/>
    <w:rsid w:val="003B0D27"/>
    <w:rsid w:val="003B1E5D"/>
    <w:rsid w:val="003B32EE"/>
    <w:rsid w:val="003B6345"/>
    <w:rsid w:val="003C1179"/>
    <w:rsid w:val="003C1AB2"/>
    <w:rsid w:val="003C20A6"/>
    <w:rsid w:val="003C2898"/>
    <w:rsid w:val="003C3DBC"/>
    <w:rsid w:val="003C41EA"/>
    <w:rsid w:val="003C436C"/>
    <w:rsid w:val="003C4782"/>
    <w:rsid w:val="003C4D45"/>
    <w:rsid w:val="003C5F03"/>
    <w:rsid w:val="003C6FD3"/>
    <w:rsid w:val="003C6FE7"/>
    <w:rsid w:val="003D0AA1"/>
    <w:rsid w:val="003D13C5"/>
    <w:rsid w:val="003D2052"/>
    <w:rsid w:val="003D264C"/>
    <w:rsid w:val="003D61AF"/>
    <w:rsid w:val="003E0782"/>
    <w:rsid w:val="003E0CBB"/>
    <w:rsid w:val="003E3635"/>
    <w:rsid w:val="003E3A1D"/>
    <w:rsid w:val="003E62D4"/>
    <w:rsid w:val="003E7AB2"/>
    <w:rsid w:val="003F0340"/>
    <w:rsid w:val="003F0936"/>
    <w:rsid w:val="003F0C41"/>
    <w:rsid w:val="003F1B0B"/>
    <w:rsid w:val="003F3ABA"/>
    <w:rsid w:val="003F3B2D"/>
    <w:rsid w:val="003F3E3D"/>
    <w:rsid w:val="003F7E71"/>
    <w:rsid w:val="00400238"/>
    <w:rsid w:val="00402AE5"/>
    <w:rsid w:val="00403263"/>
    <w:rsid w:val="00404458"/>
    <w:rsid w:val="0040495E"/>
    <w:rsid w:val="00404B4A"/>
    <w:rsid w:val="00404CDB"/>
    <w:rsid w:val="00405C4C"/>
    <w:rsid w:val="00407F7B"/>
    <w:rsid w:val="00407F95"/>
    <w:rsid w:val="00410D5E"/>
    <w:rsid w:val="00410FDD"/>
    <w:rsid w:val="00412166"/>
    <w:rsid w:val="00413C3D"/>
    <w:rsid w:val="00414603"/>
    <w:rsid w:val="00414A69"/>
    <w:rsid w:val="00414DD8"/>
    <w:rsid w:val="00415427"/>
    <w:rsid w:val="004158D0"/>
    <w:rsid w:val="00415D16"/>
    <w:rsid w:val="004173BD"/>
    <w:rsid w:val="004175B5"/>
    <w:rsid w:val="00420FCA"/>
    <w:rsid w:val="00421C60"/>
    <w:rsid w:val="00421EA5"/>
    <w:rsid w:val="004235B5"/>
    <w:rsid w:val="00424469"/>
    <w:rsid w:val="00425B80"/>
    <w:rsid w:val="00427229"/>
    <w:rsid w:val="004277CE"/>
    <w:rsid w:val="00427C9E"/>
    <w:rsid w:val="00431C60"/>
    <w:rsid w:val="00432762"/>
    <w:rsid w:val="00433239"/>
    <w:rsid w:val="0043351E"/>
    <w:rsid w:val="00433ED4"/>
    <w:rsid w:val="0043584E"/>
    <w:rsid w:val="004363CA"/>
    <w:rsid w:val="00436473"/>
    <w:rsid w:val="00437A36"/>
    <w:rsid w:val="00437A6D"/>
    <w:rsid w:val="0044056D"/>
    <w:rsid w:val="004414C2"/>
    <w:rsid w:val="00441C96"/>
    <w:rsid w:val="004430C8"/>
    <w:rsid w:val="004453DC"/>
    <w:rsid w:val="00446AC3"/>
    <w:rsid w:val="00446C44"/>
    <w:rsid w:val="004473CE"/>
    <w:rsid w:val="00450245"/>
    <w:rsid w:val="0045046F"/>
    <w:rsid w:val="00450637"/>
    <w:rsid w:val="00451089"/>
    <w:rsid w:val="00451320"/>
    <w:rsid w:val="004518C8"/>
    <w:rsid w:val="00452105"/>
    <w:rsid w:val="004521BF"/>
    <w:rsid w:val="00453520"/>
    <w:rsid w:val="004540D4"/>
    <w:rsid w:val="00454E84"/>
    <w:rsid w:val="00457642"/>
    <w:rsid w:val="00461505"/>
    <w:rsid w:val="00461541"/>
    <w:rsid w:val="00461855"/>
    <w:rsid w:val="00462E5F"/>
    <w:rsid w:val="00463185"/>
    <w:rsid w:val="004631B2"/>
    <w:rsid w:val="00464B3F"/>
    <w:rsid w:val="00466323"/>
    <w:rsid w:val="004665CF"/>
    <w:rsid w:val="00466811"/>
    <w:rsid w:val="004670CB"/>
    <w:rsid w:val="00467309"/>
    <w:rsid w:val="00467DC3"/>
    <w:rsid w:val="004708E3"/>
    <w:rsid w:val="0047204F"/>
    <w:rsid w:val="004724C3"/>
    <w:rsid w:val="0047565D"/>
    <w:rsid w:val="004812D5"/>
    <w:rsid w:val="00482B16"/>
    <w:rsid w:val="00484297"/>
    <w:rsid w:val="0048560F"/>
    <w:rsid w:val="00486259"/>
    <w:rsid w:val="00486BD1"/>
    <w:rsid w:val="00487A65"/>
    <w:rsid w:val="00491C24"/>
    <w:rsid w:val="0049257E"/>
    <w:rsid w:val="004936D7"/>
    <w:rsid w:val="00494637"/>
    <w:rsid w:val="00495C05"/>
    <w:rsid w:val="0049716D"/>
    <w:rsid w:val="004976EE"/>
    <w:rsid w:val="004977BE"/>
    <w:rsid w:val="00497EB4"/>
    <w:rsid w:val="004A2549"/>
    <w:rsid w:val="004A3754"/>
    <w:rsid w:val="004A6C50"/>
    <w:rsid w:val="004B06D2"/>
    <w:rsid w:val="004B280D"/>
    <w:rsid w:val="004B2FF7"/>
    <w:rsid w:val="004B3672"/>
    <w:rsid w:val="004B4D17"/>
    <w:rsid w:val="004B5103"/>
    <w:rsid w:val="004B595A"/>
    <w:rsid w:val="004B6C74"/>
    <w:rsid w:val="004B7705"/>
    <w:rsid w:val="004C07E3"/>
    <w:rsid w:val="004C245C"/>
    <w:rsid w:val="004C26EE"/>
    <w:rsid w:val="004C2C3E"/>
    <w:rsid w:val="004C2DB8"/>
    <w:rsid w:val="004C31A9"/>
    <w:rsid w:val="004C3F64"/>
    <w:rsid w:val="004C471A"/>
    <w:rsid w:val="004C52CF"/>
    <w:rsid w:val="004C5C3B"/>
    <w:rsid w:val="004D1DEC"/>
    <w:rsid w:val="004D28EA"/>
    <w:rsid w:val="004D2D23"/>
    <w:rsid w:val="004D30F6"/>
    <w:rsid w:val="004D33D5"/>
    <w:rsid w:val="004D5C5E"/>
    <w:rsid w:val="004D5CE4"/>
    <w:rsid w:val="004D64F4"/>
    <w:rsid w:val="004D6E2F"/>
    <w:rsid w:val="004D7AC2"/>
    <w:rsid w:val="004E1509"/>
    <w:rsid w:val="004E1DF3"/>
    <w:rsid w:val="004E62A8"/>
    <w:rsid w:val="004E66D2"/>
    <w:rsid w:val="004E778A"/>
    <w:rsid w:val="004F0276"/>
    <w:rsid w:val="004F0B95"/>
    <w:rsid w:val="004F1850"/>
    <w:rsid w:val="004F1DDB"/>
    <w:rsid w:val="004F2E81"/>
    <w:rsid w:val="004F541B"/>
    <w:rsid w:val="004F601E"/>
    <w:rsid w:val="004F67BA"/>
    <w:rsid w:val="005011D1"/>
    <w:rsid w:val="00502817"/>
    <w:rsid w:val="005028B8"/>
    <w:rsid w:val="00502A4D"/>
    <w:rsid w:val="0050388A"/>
    <w:rsid w:val="00503DDD"/>
    <w:rsid w:val="0050793D"/>
    <w:rsid w:val="005115A7"/>
    <w:rsid w:val="005116DE"/>
    <w:rsid w:val="005125D0"/>
    <w:rsid w:val="00512E6E"/>
    <w:rsid w:val="005149A3"/>
    <w:rsid w:val="00514A8C"/>
    <w:rsid w:val="00516EC4"/>
    <w:rsid w:val="00517757"/>
    <w:rsid w:val="005178F8"/>
    <w:rsid w:val="00520C3A"/>
    <w:rsid w:val="005228E9"/>
    <w:rsid w:val="00525CC6"/>
    <w:rsid w:val="00526FD0"/>
    <w:rsid w:val="00527223"/>
    <w:rsid w:val="00527266"/>
    <w:rsid w:val="005279DA"/>
    <w:rsid w:val="00527F7B"/>
    <w:rsid w:val="00530B54"/>
    <w:rsid w:val="00531006"/>
    <w:rsid w:val="00531596"/>
    <w:rsid w:val="00531AEC"/>
    <w:rsid w:val="0053203E"/>
    <w:rsid w:val="00532394"/>
    <w:rsid w:val="00532C63"/>
    <w:rsid w:val="0053441C"/>
    <w:rsid w:val="0053791D"/>
    <w:rsid w:val="0054075B"/>
    <w:rsid w:val="00543FD8"/>
    <w:rsid w:val="00544CAE"/>
    <w:rsid w:val="0054540F"/>
    <w:rsid w:val="005459CA"/>
    <w:rsid w:val="00545AD2"/>
    <w:rsid w:val="00546A60"/>
    <w:rsid w:val="0054756C"/>
    <w:rsid w:val="00550117"/>
    <w:rsid w:val="005510C6"/>
    <w:rsid w:val="0055179E"/>
    <w:rsid w:val="0055261F"/>
    <w:rsid w:val="00552893"/>
    <w:rsid w:val="00553218"/>
    <w:rsid w:val="00554DE6"/>
    <w:rsid w:val="0055533A"/>
    <w:rsid w:val="00555C75"/>
    <w:rsid w:val="005613D6"/>
    <w:rsid w:val="005621EA"/>
    <w:rsid w:val="0056277D"/>
    <w:rsid w:val="005634C7"/>
    <w:rsid w:val="00563733"/>
    <w:rsid w:val="005659C0"/>
    <w:rsid w:val="00565FCF"/>
    <w:rsid w:val="00566F04"/>
    <w:rsid w:val="005679EB"/>
    <w:rsid w:val="00567B6B"/>
    <w:rsid w:val="00567F9A"/>
    <w:rsid w:val="00571911"/>
    <w:rsid w:val="005730F7"/>
    <w:rsid w:val="00574785"/>
    <w:rsid w:val="00576792"/>
    <w:rsid w:val="0057756A"/>
    <w:rsid w:val="00577866"/>
    <w:rsid w:val="00580EBD"/>
    <w:rsid w:val="00581177"/>
    <w:rsid w:val="00584318"/>
    <w:rsid w:val="00585148"/>
    <w:rsid w:val="00585674"/>
    <w:rsid w:val="00586969"/>
    <w:rsid w:val="00587BE9"/>
    <w:rsid w:val="005902FC"/>
    <w:rsid w:val="00590F51"/>
    <w:rsid w:val="005922C9"/>
    <w:rsid w:val="00594177"/>
    <w:rsid w:val="00595F09"/>
    <w:rsid w:val="00597734"/>
    <w:rsid w:val="005A00FC"/>
    <w:rsid w:val="005A184E"/>
    <w:rsid w:val="005A220F"/>
    <w:rsid w:val="005A3FB9"/>
    <w:rsid w:val="005A4D3F"/>
    <w:rsid w:val="005A4F43"/>
    <w:rsid w:val="005A619A"/>
    <w:rsid w:val="005A626A"/>
    <w:rsid w:val="005A6C43"/>
    <w:rsid w:val="005B0658"/>
    <w:rsid w:val="005B10D3"/>
    <w:rsid w:val="005B2384"/>
    <w:rsid w:val="005B25A3"/>
    <w:rsid w:val="005B2BFB"/>
    <w:rsid w:val="005B3B72"/>
    <w:rsid w:val="005B6D81"/>
    <w:rsid w:val="005C0C6F"/>
    <w:rsid w:val="005C1F73"/>
    <w:rsid w:val="005C39F6"/>
    <w:rsid w:val="005C3AF4"/>
    <w:rsid w:val="005C45F3"/>
    <w:rsid w:val="005C4780"/>
    <w:rsid w:val="005C4EF3"/>
    <w:rsid w:val="005C5741"/>
    <w:rsid w:val="005C740E"/>
    <w:rsid w:val="005D1C84"/>
    <w:rsid w:val="005D21F9"/>
    <w:rsid w:val="005D24CF"/>
    <w:rsid w:val="005D368D"/>
    <w:rsid w:val="005D3DFE"/>
    <w:rsid w:val="005D5769"/>
    <w:rsid w:val="005D6208"/>
    <w:rsid w:val="005D647C"/>
    <w:rsid w:val="005D70E3"/>
    <w:rsid w:val="005D73E7"/>
    <w:rsid w:val="005E02BA"/>
    <w:rsid w:val="005E271E"/>
    <w:rsid w:val="005E2DC8"/>
    <w:rsid w:val="005E30B1"/>
    <w:rsid w:val="005E3CF1"/>
    <w:rsid w:val="005E496C"/>
    <w:rsid w:val="005E588E"/>
    <w:rsid w:val="005E61FC"/>
    <w:rsid w:val="005E781E"/>
    <w:rsid w:val="005F056D"/>
    <w:rsid w:val="005F348C"/>
    <w:rsid w:val="005F4974"/>
    <w:rsid w:val="005F5279"/>
    <w:rsid w:val="005F55F9"/>
    <w:rsid w:val="005F5894"/>
    <w:rsid w:val="005F5FE2"/>
    <w:rsid w:val="005F634D"/>
    <w:rsid w:val="005F6ACE"/>
    <w:rsid w:val="005F7072"/>
    <w:rsid w:val="005F7949"/>
    <w:rsid w:val="00600223"/>
    <w:rsid w:val="0060158D"/>
    <w:rsid w:val="006016B3"/>
    <w:rsid w:val="00601E29"/>
    <w:rsid w:val="006057BA"/>
    <w:rsid w:val="00605F55"/>
    <w:rsid w:val="00606335"/>
    <w:rsid w:val="00606EC6"/>
    <w:rsid w:val="0060722C"/>
    <w:rsid w:val="00610B3E"/>
    <w:rsid w:val="00610F61"/>
    <w:rsid w:val="00612A62"/>
    <w:rsid w:val="00612CD8"/>
    <w:rsid w:val="00613856"/>
    <w:rsid w:val="006140F6"/>
    <w:rsid w:val="00617143"/>
    <w:rsid w:val="00617341"/>
    <w:rsid w:val="006204C8"/>
    <w:rsid w:val="0062056F"/>
    <w:rsid w:val="00622BAC"/>
    <w:rsid w:val="006245A5"/>
    <w:rsid w:val="0062559F"/>
    <w:rsid w:val="00630C91"/>
    <w:rsid w:val="006328E9"/>
    <w:rsid w:val="0063533D"/>
    <w:rsid w:val="00635CE6"/>
    <w:rsid w:val="00636527"/>
    <w:rsid w:val="006367D9"/>
    <w:rsid w:val="00641407"/>
    <w:rsid w:val="00641D20"/>
    <w:rsid w:val="00642660"/>
    <w:rsid w:val="00644BC6"/>
    <w:rsid w:val="00646F6F"/>
    <w:rsid w:val="00647E7A"/>
    <w:rsid w:val="00650869"/>
    <w:rsid w:val="00651919"/>
    <w:rsid w:val="00651B6D"/>
    <w:rsid w:val="0065310C"/>
    <w:rsid w:val="006540E7"/>
    <w:rsid w:val="00655B9D"/>
    <w:rsid w:val="00657E32"/>
    <w:rsid w:val="00662726"/>
    <w:rsid w:val="006627D5"/>
    <w:rsid w:val="0066526C"/>
    <w:rsid w:val="00667445"/>
    <w:rsid w:val="00670327"/>
    <w:rsid w:val="00670768"/>
    <w:rsid w:val="00672599"/>
    <w:rsid w:val="00672861"/>
    <w:rsid w:val="00673F68"/>
    <w:rsid w:val="0067472F"/>
    <w:rsid w:val="00674C84"/>
    <w:rsid w:val="00674F88"/>
    <w:rsid w:val="00675378"/>
    <w:rsid w:val="00675AED"/>
    <w:rsid w:val="006766D2"/>
    <w:rsid w:val="00677583"/>
    <w:rsid w:val="00683382"/>
    <w:rsid w:val="006839B2"/>
    <w:rsid w:val="00683F4F"/>
    <w:rsid w:val="006841DB"/>
    <w:rsid w:val="00684725"/>
    <w:rsid w:val="006856F9"/>
    <w:rsid w:val="006865DE"/>
    <w:rsid w:val="00690053"/>
    <w:rsid w:val="006919A3"/>
    <w:rsid w:val="006926FF"/>
    <w:rsid w:val="00693D40"/>
    <w:rsid w:val="00694746"/>
    <w:rsid w:val="00694CA1"/>
    <w:rsid w:val="00695551"/>
    <w:rsid w:val="0069572C"/>
    <w:rsid w:val="0069695A"/>
    <w:rsid w:val="00696A60"/>
    <w:rsid w:val="00696B9F"/>
    <w:rsid w:val="00697735"/>
    <w:rsid w:val="00697CA6"/>
    <w:rsid w:val="006A00CD"/>
    <w:rsid w:val="006A0565"/>
    <w:rsid w:val="006A15D6"/>
    <w:rsid w:val="006A3F28"/>
    <w:rsid w:val="006A7553"/>
    <w:rsid w:val="006B1809"/>
    <w:rsid w:val="006B2755"/>
    <w:rsid w:val="006B35B4"/>
    <w:rsid w:val="006B413A"/>
    <w:rsid w:val="006B5C7C"/>
    <w:rsid w:val="006C0B5E"/>
    <w:rsid w:val="006C0D11"/>
    <w:rsid w:val="006C1090"/>
    <w:rsid w:val="006C10E2"/>
    <w:rsid w:val="006C14A4"/>
    <w:rsid w:val="006C5BF2"/>
    <w:rsid w:val="006C6E97"/>
    <w:rsid w:val="006C7637"/>
    <w:rsid w:val="006D31C9"/>
    <w:rsid w:val="006D4401"/>
    <w:rsid w:val="006D4ED7"/>
    <w:rsid w:val="006D5479"/>
    <w:rsid w:val="006D675C"/>
    <w:rsid w:val="006D6A49"/>
    <w:rsid w:val="006D75C5"/>
    <w:rsid w:val="006E14A7"/>
    <w:rsid w:val="006E21D2"/>
    <w:rsid w:val="006E42E2"/>
    <w:rsid w:val="006E49B5"/>
    <w:rsid w:val="006E565B"/>
    <w:rsid w:val="006E7208"/>
    <w:rsid w:val="006E7265"/>
    <w:rsid w:val="006E74AC"/>
    <w:rsid w:val="006F048D"/>
    <w:rsid w:val="006F1BB5"/>
    <w:rsid w:val="006F1D32"/>
    <w:rsid w:val="006F3CD4"/>
    <w:rsid w:val="006F5A75"/>
    <w:rsid w:val="006F7E20"/>
    <w:rsid w:val="007002D9"/>
    <w:rsid w:val="00700FBA"/>
    <w:rsid w:val="007032D3"/>
    <w:rsid w:val="007036DC"/>
    <w:rsid w:val="00703B6D"/>
    <w:rsid w:val="00703BD6"/>
    <w:rsid w:val="00705A09"/>
    <w:rsid w:val="0070615B"/>
    <w:rsid w:val="007065F5"/>
    <w:rsid w:val="007067B1"/>
    <w:rsid w:val="00706BE3"/>
    <w:rsid w:val="00706DF3"/>
    <w:rsid w:val="00715722"/>
    <w:rsid w:val="00716BAB"/>
    <w:rsid w:val="007203B2"/>
    <w:rsid w:val="0072143F"/>
    <w:rsid w:val="007219D0"/>
    <w:rsid w:val="007236D4"/>
    <w:rsid w:val="007236DC"/>
    <w:rsid w:val="00724016"/>
    <w:rsid w:val="0072603D"/>
    <w:rsid w:val="00727B70"/>
    <w:rsid w:val="00732D75"/>
    <w:rsid w:val="00734958"/>
    <w:rsid w:val="00734C1E"/>
    <w:rsid w:val="00736D70"/>
    <w:rsid w:val="007377F6"/>
    <w:rsid w:val="00744890"/>
    <w:rsid w:val="00747BF8"/>
    <w:rsid w:val="0075071F"/>
    <w:rsid w:val="00752C88"/>
    <w:rsid w:val="00753085"/>
    <w:rsid w:val="007539B1"/>
    <w:rsid w:val="00756AB4"/>
    <w:rsid w:val="00757150"/>
    <w:rsid w:val="0075782E"/>
    <w:rsid w:val="00760B38"/>
    <w:rsid w:val="00761A0C"/>
    <w:rsid w:val="00762450"/>
    <w:rsid w:val="00762516"/>
    <w:rsid w:val="00763E57"/>
    <w:rsid w:val="007665A0"/>
    <w:rsid w:val="00766842"/>
    <w:rsid w:val="007719CF"/>
    <w:rsid w:val="00774856"/>
    <w:rsid w:val="00775C82"/>
    <w:rsid w:val="00776451"/>
    <w:rsid w:val="00780FF9"/>
    <w:rsid w:val="00782137"/>
    <w:rsid w:val="0078213B"/>
    <w:rsid w:val="00782E85"/>
    <w:rsid w:val="00783381"/>
    <w:rsid w:val="00784849"/>
    <w:rsid w:val="00784B51"/>
    <w:rsid w:val="00785BD3"/>
    <w:rsid w:val="007872EB"/>
    <w:rsid w:val="007902C3"/>
    <w:rsid w:val="00792242"/>
    <w:rsid w:val="00793060"/>
    <w:rsid w:val="00794716"/>
    <w:rsid w:val="007952C2"/>
    <w:rsid w:val="0079608A"/>
    <w:rsid w:val="00796BB2"/>
    <w:rsid w:val="00797D9F"/>
    <w:rsid w:val="007A18AF"/>
    <w:rsid w:val="007A4E6A"/>
    <w:rsid w:val="007A52DC"/>
    <w:rsid w:val="007A63D6"/>
    <w:rsid w:val="007A78AA"/>
    <w:rsid w:val="007A7EB0"/>
    <w:rsid w:val="007B1363"/>
    <w:rsid w:val="007B17E9"/>
    <w:rsid w:val="007B2AC8"/>
    <w:rsid w:val="007B6851"/>
    <w:rsid w:val="007B6CA6"/>
    <w:rsid w:val="007B6D99"/>
    <w:rsid w:val="007B7471"/>
    <w:rsid w:val="007B7926"/>
    <w:rsid w:val="007B7BBB"/>
    <w:rsid w:val="007C44E6"/>
    <w:rsid w:val="007C4C3B"/>
    <w:rsid w:val="007C4E86"/>
    <w:rsid w:val="007C6523"/>
    <w:rsid w:val="007C79D7"/>
    <w:rsid w:val="007D159C"/>
    <w:rsid w:val="007D284F"/>
    <w:rsid w:val="007D31C7"/>
    <w:rsid w:val="007D3816"/>
    <w:rsid w:val="007D5297"/>
    <w:rsid w:val="007D5E19"/>
    <w:rsid w:val="007D75A1"/>
    <w:rsid w:val="007D7FA6"/>
    <w:rsid w:val="007E0710"/>
    <w:rsid w:val="007E2920"/>
    <w:rsid w:val="007E2BED"/>
    <w:rsid w:val="007E3331"/>
    <w:rsid w:val="007E38D9"/>
    <w:rsid w:val="007E56BF"/>
    <w:rsid w:val="007E76B2"/>
    <w:rsid w:val="007E77EA"/>
    <w:rsid w:val="007E7D10"/>
    <w:rsid w:val="007F2DB5"/>
    <w:rsid w:val="007F354C"/>
    <w:rsid w:val="007F39A0"/>
    <w:rsid w:val="007F61F6"/>
    <w:rsid w:val="007F6D01"/>
    <w:rsid w:val="007F7846"/>
    <w:rsid w:val="00803FE6"/>
    <w:rsid w:val="00805799"/>
    <w:rsid w:val="00806D2D"/>
    <w:rsid w:val="00807989"/>
    <w:rsid w:val="008102B0"/>
    <w:rsid w:val="00810809"/>
    <w:rsid w:val="008113D0"/>
    <w:rsid w:val="008128F8"/>
    <w:rsid w:val="0081317A"/>
    <w:rsid w:val="00814CDC"/>
    <w:rsid w:val="00815493"/>
    <w:rsid w:val="008164B0"/>
    <w:rsid w:val="00816889"/>
    <w:rsid w:val="0082424E"/>
    <w:rsid w:val="00824FF6"/>
    <w:rsid w:val="00826551"/>
    <w:rsid w:val="0082675E"/>
    <w:rsid w:val="00826FB2"/>
    <w:rsid w:val="00827B52"/>
    <w:rsid w:val="00831225"/>
    <w:rsid w:val="00831EC4"/>
    <w:rsid w:val="008322EE"/>
    <w:rsid w:val="00833425"/>
    <w:rsid w:val="008343AB"/>
    <w:rsid w:val="0083466E"/>
    <w:rsid w:val="008354B6"/>
    <w:rsid w:val="0083561E"/>
    <w:rsid w:val="00836503"/>
    <w:rsid w:val="00836539"/>
    <w:rsid w:val="008366E0"/>
    <w:rsid w:val="008377A5"/>
    <w:rsid w:val="008377D2"/>
    <w:rsid w:val="00837E3D"/>
    <w:rsid w:val="00840342"/>
    <w:rsid w:val="00840487"/>
    <w:rsid w:val="00840F0A"/>
    <w:rsid w:val="00844ADB"/>
    <w:rsid w:val="0084560D"/>
    <w:rsid w:val="00850492"/>
    <w:rsid w:val="00851B0A"/>
    <w:rsid w:val="0085373C"/>
    <w:rsid w:val="00856896"/>
    <w:rsid w:val="00857C8F"/>
    <w:rsid w:val="00860CC1"/>
    <w:rsid w:val="0086184F"/>
    <w:rsid w:val="0086239C"/>
    <w:rsid w:val="008626CC"/>
    <w:rsid w:val="00863360"/>
    <w:rsid w:val="0086353E"/>
    <w:rsid w:val="008641BE"/>
    <w:rsid w:val="00864F6D"/>
    <w:rsid w:val="008666CE"/>
    <w:rsid w:val="00867EA8"/>
    <w:rsid w:val="00867ED6"/>
    <w:rsid w:val="00872DAF"/>
    <w:rsid w:val="0087690B"/>
    <w:rsid w:val="00876BCA"/>
    <w:rsid w:val="00876C51"/>
    <w:rsid w:val="00876DCC"/>
    <w:rsid w:val="00877767"/>
    <w:rsid w:val="008814E6"/>
    <w:rsid w:val="00882A28"/>
    <w:rsid w:val="00883193"/>
    <w:rsid w:val="008842F5"/>
    <w:rsid w:val="008849C9"/>
    <w:rsid w:val="00885C3A"/>
    <w:rsid w:val="0088615E"/>
    <w:rsid w:val="0088712A"/>
    <w:rsid w:val="008903C7"/>
    <w:rsid w:val="008908C1"/>
    <w:rsid w:val="008923B2"/>
    <w:rsid w:val="00892F7F"/>
    <w:rsid w:val="008932D4"/>
    <w:rsid w:val="00897013"/>
    <w:rsid w:val="00897C60"/>
    <w:rsid w:val="008A084C"/>
    <w:rsid w:val="008A0A98"/>
    <w:rsid w:val="008A3515"/>
    <w:rsid w:val="008A3CB4"/>
    <w:rsid w:val="008A3F96"/>
    <w:rsid w:val="008A579F"/>
    <w:rsid w:val="008A5F77"/>
    <w:rsid w:val="008A67C6"/>
    <w:rsid w:val="008A6A29"/>
    <w:rsid w:val="008A760B"/>
    <w:rsid w:val="008A7659"/>
    <w:rsid w:val="008B0BCB"/>
    <w:rsid w:val="008B18C9"/>
    <w:rsid w:val="008B2288"/>
    <w:rsid w:val="008B3163"/>
    <w:rsid w:val="008B7906"/>
    <w:rsid w:val="008B7FFA"/>
    <w:rsid w:val="008C176B"/>
    <w:rsid w:val="008C256E"/>
    <w:rsid w:val="008C3DF4"/>
    <w:rsid w:val="008C61CD"/>
    <w:rsid w:val="008C6393"/>
    <w:rsid w:val="008C7794"/>
    <w:rsid w:val="008D0063"/>
    <w:rsid w:val="008D05A0"/>
    <w:rsid w:val="008D415F"/>
    <w:rsid w:val="008D4E14"/>
    <w:rsid w:val="008D6A04"/>
    <w:rsid w:val="008D6C47"/>
    <w:rsid w:val="008D7D2D"/>
    <w:rsid w:val="008D7D41"/>
    <w:rsid w:val="008E0204"/>
    <w:rsid w:val="008E0740"/>
    <w:rsid w:val="008E101E"/>
    <w:rsid w:val="008E1DAD"/>
    <w:rsid w:val="008E26A7"/>
    <w:rsid w:val="008E29D3"/>
    <w:rsid w:val="008E412A"/>
    <w:rsid w:val="008E5D5E"/>
    <w:rsid w:val="008E71C5"/>
    <w:rsid w:val="008E7456"/>
    <w:rsid w:val="008F0533"/>
    <w:rsid w:val="008F1440"/>
    <w:rsid w:val="008F1798"/>
    <w:rsid w:val="008F201F"/>
    <w:rsid w:val="008F2C1B"/>
    <w:rsid w:val="008F3831"/>
    <w:rsid w:val="008F4FE8"/>
    <w:rsid w:val="008F529D"/>
    <w:rsid w:val="008F5968"/>
    <w:rsid w:val="008F70B5"/>
    <w:rsid w:val="008F723B"/>
    <w:rsid w:val="009013AD"/>
    <w:rsid w:val="009016D3"/>
    <w:rsid w:val="00903214"/>
    <w:rsid w:val="009042A6"/>
    <w:rsid w:val="00904905"/>
    <w:rsid w:val="00904965"/>
    <w:rsid w:val="00907093"/>
    <w:rsid w:val="0090728F"/>
    <w:rsid w:val="00907A22"/>
    <w:rsid w:val="00910578"/>
    <w:rsid w:val="00910B06"/>
    <w:rsid w:val="009113A7"/>
    <w:rsid w:val="00911A70"/>
    <w:rsid w:val="00911B02"/>
    <w:rsid w:val="00911CBC"/>
    <w:rsid w:val="00915C54"/>
    <w:rsid w:val="0091657F"/>
    <w:rsid w:val="009168BD"/>
    <w:rsid w:val="009210BE"/>
    <w:rsid w:val="00921694"/>
    <w:rsid w:val="009279E3"/>
    <w:rsid w:val="00927F5D"/>
    <w:rsid w:val="009304DA"/>
    <w:rsid w:val="00930DEA"/>
    <w:rsid w:val="00931BEC"/>
    <w:rsid w:val="00932558"/>
    <w:rsid w:val="00932FC6"/>
    <w:rsid w:val="00933165"/>
    <w:rsid w:val="00933793"/>
    <w:rsid w:val="009341B0"/>
    <w:rsid w:val="00934256"/>
    <w:rsid w:val="00937114"/>
    <w:rsid w:val="0093735E"/>
    <w:rsid w:val="00937DE5"/>
    <w:rsid w:val="00943919"/>
    <w:rsid w:val="00950C16"/>
    <w:rsid w:val="00951922"/>
    <w:rsid w:val="00951A1B"/>
    <w:rsid w:val="00951DE6"/>
    <w:rsid w:val="00952166"/>
    <w:rsid w:val="009526FE"/>
    <w:rsid w:val="00953E2E"/>
    <w:rsid w:val="009544CD"/>
    <w:rsid w:val="00954EDD"/>
    <w:rsid w:val="0095736F"/>
    <w:rsid w:val="00961B5E"/>
    <w:rsid w:val="00961EC3"/>
    <w:rsid w:val="0096220A"/>
    <w:rsid w:val="00962C44"/>
    <w:rsid w:val="00963746"/>
    <w:rsid w:val="00965D61"/>
    <w:rsid w:val="009671FA"/>
    <w:rsid w:val="009676AA"/>
    <w:rsid w:val="009710E8"/>
    <w:rsid w:val="00972040"/>
    <w:rsid w:val="0097229E"/>
    <w:rsid w:val="0097475A"/>
    <w:rsid w:val="00974B6A"/>
    <w:rsid w:val="0097519C"/>
    <w:rsid w:val="00977161"/>
    <w:rsid w:val="00980C80"/>
    <w:rsid w:val="0098162D"/>
    <w:rsid w:val="0098172D"/>
    <w:rsid w:val="009817B1"/>
    <w:rsid w:val="0098188E"/>
    <w:rsid w:val="00983286"/>
    <w:rsid w:val="0098369E"/>
    <w:rsid w:val="00983AD3"/>
    <w:rsid w:val="00984C95"/>
    <w:rsid w:val="009851D4"/>
    <w:rsid w:val="0098528C"/>
    <w:rsid w:val="009901AA"/>
    <w:rsid w:val="009901BB"/>
    <w:rsid w:val="00990451"/>
    <w:rsid w:val="009906C0"/>
    <w:rsid w:val="0099131F"/>
    <w:rsid w:val="009934DB"/>
    <w:rsid w:val="0099351D"/>
    <w:rsid w:val="0099507C"/>
    <w:rsid w:val="009A06F4"/>
    <w:rsid w:val="009A1E02"/>
    <w:rsid w:val="009A2076"/>
    <w:rsid w:val="009A26D6"/>
    <w:rsid w:val="009A26DF"/>
    <w:rsid w:val="009A328C"/>
    <w:rsid w:val="009A3B66"/>
    <w:rsid w:val="009A4188"/>
    <w:rsid w:val="009A4963"/>
    <w:rsid w:val="009A6E53"/>
    <w:rsid w:val="009A7603"/>
    <w:rsid w:val="009A76D1"/>
    <w:rsid w:val="009B0E62"/>
    <w:rsid w:val="009B242C"/>
    <w:rsid w:val="009B3480"/>
    <w:rsid w:val="009B36FA"/>
    <w:rsid w:val="009B50EF"/>
    <w:rsid w:val="009B5A5C"/>
    <w:rsid w:val="009B635A"/>
    <w:rsid w:val="009B6D11"/>
    <w:rsid w:val="009B7299"/>
    <w:rsid w:val="009B7305"/>
    <w:rsid w:val="009C07F6"/>
    <w:rsid w:val="009C0C39"/>
    <w:rsid w:val="009C46CF"/>
    <w:rsid w:val="009C5A2F"/>
    <w:rsid w:val="009D0035"/>
    <w:rsid w:val="009D0D7A"/>
    <w:rsid w:val="009D0EB2"/>
    <w:rsid w:val="009D1890"/>
    <w:rsid w:val="009D2D3D"/>
    <w:rsid w:val="009D3736"/>
    <w:rsid w:val="009D3CED"/>
    <w:rsid w:val="009D64AD"/>
    <w:rsid w:val="009D6979"/>
    <w:rsid w:val="009D6A9C"/>
    <w:rsid w:val="009E186D"/>
    <w:rsid w:val="009E2234"/>
    <w:rsid w:val="009E3634"/>
    <w:rsid w:val="009E3AD1"/>
    <w:rsid w:val="009E3D19"/>
    <w:rsid w:val="009E549C"/>
    <w:rsid w:val="009E5B65"/>
    <w:rsid w:val="009E70B0"/>
    <w:rsid w:val="009F0A37"/>
    <w:rsid w:val="009F0CB5"/>
    <w:rsid w:val="009F12EF"/>
    <w:rsid w:val="009F3815"/>
    <w:rsid w:val="009F3DCA"/>
    <w:rsid w:val="009F555F"/>
    <w:rsid w:val="009F6086"/>
    <w:rsid w:val="009F6488"/>
    <w:rsid w:val="009F68CB"/>
    <w:rsid w:val="009F6C5C"/>
    <w:rsid w:val="009F6C92"/>
    <w:rsid w:val="00A02171"/>
    <w:rsid w:val="00A026D0"/>
    <w:rsid w:val="00A03F94"/>
    <w:rsid w:val="00A04242"/>
    <w:rsid w:val="00A0457C"/>
    <w:rsid w:val="00A04680"/>
    <w:rsid w:val="00A046BD"/>
    <w:rsid w:val="00A047B7"/>
    <w:rsid w:val="00A0554C"/>
    <w:rsid w:val="00A056B2"/>
    <w:rsid w:val="00A0749F"/>
    <w:rsid w:val="00A07969"/>
    <w:rsid w:val="00A128B9"/>
    <w:rsid w:val="00A15C44"/>
    <w:rsid w:val="00A16A12"/>
    <w:rsid w:val="00A16DEE"/>
    <w:rsid w:val="00A16F93"/>
    <w:rsid w:val="00A201D7"/>
    <w:rsid w:val="00A21113"/>
    <w:rsid w:val="00A22000"/>
    <w:rsid w:val="00A22D4E"/>
    <w:rsid w:val="00A22D5A"/>
    <w:rsid w:val="00A23399"/>
    <w:rsid w:val="00A23B98"/>
    <w:rsid w:val="00A2431B"/>
    <w:rsid w:val="00A24FEE"/>
    <w:rsid w:val="00A25A2F"/>
    <w:rsid w:val="00A261B8"/>
    <w:rsid w:val="00A26C4E"/>
    <w:rsid w:val="00A27D29"/>
    <w:rsid w:val="00A31768"/>
    <w:rsid w:val="00A32962"/>
    <w:rsid w:val="00A329C2"/>
    <w:rsid w:val="00A32D4C"/>
    <w:rsid w:val="00A33FFD"/>
    <w:rsid w:val="00A34C1B"/>
    <w:rsid w:val="00A35055"/>
    <w:rsid w:val="00A35059"/>
    <w:rsid w:val="00A352D7"/>
    <w:rsid w:val="00A3587A"/>
    <w:rsid w:val="00A3615C"/>
    <w:rsid w:val="00A36F08"/>
    <w:rsid w:val="00A411D4"/>
    <w:rsid w:val="00A426CC"/>
    <w:rsid w:val="00A426FB"/>
    <w:rsid w:val="00A43647"/>
    <w:rsid w:val="00A44AF3"/>
    <w:rsid w:val="00A457CA"/>
    <w:rsid w:val="00A45842"/>
    <w:rsid w:val="00A45966"/>
    <w:rsid w:val="00A45B55"/>
    <w:rsid w:val="00A45D12"/>
    <w:rsid w:val="00A45F9B"/>
    <w:rsid w:val="00A462F1"/>
    <w:rsid w:val="00A465CD"/>
    <w:rsid w:val="00A469CB"/>
    <w:rsid w:val="00A47365"/>
    <w:rsid w:val="00A50D5E"/>
    <w:rsid w:val="00A50E7F"/>
    <w:rsid w:val="00A5110B"/>
    <w:rsid w:val="00A5176F"/>
    <w:rsid w:val="00A517ED"/>
    <w:rsid w:val="00A52093"/>
    <w:rsid w:val="00A52B18"/>
    <w:rsid w:val="00A537A1"/>
    <w:rsid w:val="00A540A2"/>
    <w:rsid w:val="00A54F41"/>
    <w:rsid w:val="00A5593C"/>
    <w:rsid w:val="00A568DF"/>
    <w:rsid w:val="00A57E35"/>
    <w:rsid w:val="00A60F03"/>
    <w:rsid w:val="00A61592"/>
    <w:rsid w:val="00A61830"/>
    <w:rsid w:val="00A6361C"/>
    <w:rsid w:val="00A63AFC"/>
    <w:rsid w:val="00A64167"/>
    <w:rsid w:val="00A645BA"/>
    <w:rsid w:val="00A6542F"/>
    <w:rsid w:val="00A65F37"/>
    <w:rsid w:val="00A7091E"/>
    <w:rsid w:val="00A7117F"/>
    <w:rsid w:val="00A716CE"/>
    <w:rsid w:val="00A7267F"/>
    <w:rsid w:val="00A73CEF"/>
    <w:rsid w:val="00A74B5D"/>
    <w:rsid w:val="00A75D4C"/>
    <w:rsid w:val="00A761F3"/>
    <w:rsid w:val="00A80327"/>
    <w:rsid w:val="00A834D2"/>
    <w:rsid w:val="00A83693"/>
    <w:rsid w:val="00A857E5"/>
    <w:rsid w:val="00A859C0"/>
    <w:rsid w:val="00A865DB"/>
    <w:rsid w:val="00A869A4"/>
    <w:rsid w:val="00A87BE3"/>
    <w:rsid w:val="00A920D2"/>
    <w:rsid w:val="00A922B0"/>
    <w:rsid w:val="00A95A9F"/>
    <w:rsid w:val="00A95CBD"/>
    <w:rsid w:val="00A964EC"/>
    <w:rsid w:val="00A969B8"/>
    <w:rsid w:val="00A977E8"/>
    <w:rsid w:val="00AA0DDF"/>
    <w:rsid w:val="00AA25FB"/>
    <w:rsid w:val="00AA2687"/>
    <w:rsid w:val="00AA334B"/>
    <w:rsid w:val="00AA44F6"/>
    <w:rsid w:val="00AA605A"/>
    <w:rsid w:val="00AA63C4"/>
    <w:rsid w:val="00AA6FFE"/>
    <w:rsid w:val="00AB03E9"/>
    <w:rsid w:val="00AB1132"/>
    <w:rsid w:val="00AB2E8F"/>
    <w:rsid w:val="00AB2EE3"/>
    <w:rsid w:val="00AB3E1B"/>
    <w:rsid w:val="00AC001D"/>
    <w:rsid w:val="00AC0403"/>
    <w:rsid w:val="00AC1AE4"/>
    <w:rsid w:val="00AC299A"/>
    <w:rsid w:val="00AC2D2C"/>
    <w:rsid w:val="00AC371F"/>
    <w:rsid w:val="00AC4267"/>
    <w:rsid w:val="00AC4891"/>
    <w:rsid w:val="00AC7622"/>
    <w:rsid w:val="00AD0407"/>
    <w:rsid w:val="00AD0B00"/>
    <w:rsid w:val="00AD1598"/>
    <w:rsid w:val="00AD1A9A"/>
    <w:rsid w:val="00AD2211"/>
    <w:rsid w:val="00AD5482"/>
    <w:rsid w:val="00AD5989"/>
    <w:rsid w:val="00AD61F8"/>
    <w:rsid w:val="00AD705F"/>
    <w:rsid w:val="00AE0C5C"/>
    <w:rsid w:val="00AE2AAA"/>
    <w:rsid w:val="00AE328B"/>
    <w:rsid w:val="00AE48A1"/>
    <w:rsid w:val="00AF1AC5"/>
    <w:rsid w:val="00AF2F27"/>
    <w:rsid w:val="00AF41CB"/>
    <w:rsid w:val="00AF5CCD"/>
    <w:rsid w:val="00AF708D"/>
    <w:rsid w:val="00B011E6"/>
    <w:rsid w:val="00B014DC"/>
    <w:rsid w:val="00B03CF1"/>
    <w:rsid w:val="00B04D0E"/>
    <w:rsid w:val="00B05097"/>
    <w:rsid w:val="00B0645E"/>
    <w:rsid w:val="00B0666A"/>
    <w:rsid w:val="00B066DF"/>
    <w:rsid w:val="00B078F9"/>
    <w:rsid w:val="00B117F5"/>
    <w:rsid w:val="00B125DD"/>
    <w:rsid w:val="00B1273D"/>
    <w:rsid w:val="00B129ED"/>
    <w:rsid w:val="00B13079"/>
    <w:rsid w:val="00B1430C"/>
    <w:rsid w:val="00B17B87"/>
    <w:rsid w:val="00B20B64"/>
    <w:rsid w:val="00B21D7B"/>
    <w:rsid w:val="00B23D33"/>
    <w:rsid w:val="00B2413D"/>
    <w:rsid w:val="00B246BD"/>
    <w:rsid w:val="00B25BA3"/>
    <w:rsid w:val="00B27E43"/>
    <w:rsid w:val="00B30E2E"/>
    <w:rsid w:val="00B31BC5"/>
    <w:rsid w:val="00B31CD8"/>
    <w:rsid w:val="00B31F66"/>
    <w:rsid w:val="00B33635"/>
    <w:rsid w:val="00B33DF6"/>
    <w:rsid w:val="00B33F9A"/>
    <w:rsid w:val="00B35BA8"/>
    <w:rsid w:val="00B366A2"/>
    <w:rsid w:val="00B3733C"/>
    <w:rsid w:val="00B374E8"/>
    <w:rsid w:val="00B4009D"/>
    <w:rsid w:val="00B416D1"/>
    <w:rsid w:val="00B42D97"/>
    <w:rsid w:val="00B4326F"/>
    <w:rsid w:val="00B43CFB"/>
    <w:rsid w:val="00B44352"/>
    <w:rsid w:val="00B45C1D"/>
    <w:rsid w:val="00B46602"/>
    <w:rsid w:val="00B4703C"/>
    <w:rsid w:val="00B471B1"/>
    <w:rsid w:val="00B472D2"/>
    <w:rsid w:val="00B47C59"/>
    <w:rsid w:val="00B47D26"/>
    <w:rsid w:val="00B50F5F"/>
    <w:rsid w:val="00B5428B"/>
    <w:rsid w:val="00B55E37"/>
    <w:rsid w:val="00B55E40"/>
    <w:rsid w:val="00B55F78"/>
    <w:rsid w:val="00B564E6"/>
    <w:rsid w:val="00B56593"/>
    <w:rsid w:val="00B56F77"/>
    <w:rsid w:val="00B57165"/>
    <w:rsid w:val="00B57A84"/>
    <w:rsid w:val="00B57F86"/>
    <w:rsid w:val="00B609FB"/>
    <w:rsid w:val="00B614EA"/>
    <w:rsid w:val="00B617ED"/>
    <w:rsid w:val="00B61D97"/>
    <w:rsid w:val="00B61F59"/>
    <w:rsid w:val="00B64F35"/>
    <w:rsid w:val="00B66DA7"/>
    <w:rsid w:val="00B67864"/>
    <w:rsid w:val="00B67EAB"/>
    <w:rsid w:val="00B70464"/>
    <w:rsid w:val="00B71FE4"/>
    <w:rsid w:val="00B723DC"/>
    <w:rsid w:val="00B72E7C"/>
    <w:rsid w:val="00B73C8D"/>
    <w:rsid w:val="00B7454B"/>
    <w:rsid w:val="00B749BC"/>
    <w:rsid w:val="00B75400"/>
    <w:rsid w:val="00B75CFD"/>
    <w:rsid w:val="00B76C8D"/>
    <w:rsid w:val="00B77082"/>
    <w:rsid w:val="00B774FE"/>
    <w:rsid w:val="00B77794"/>
    <w:rsid w:val="00B779DC"/>
    <w:rsid w:val="00B77B05"/>
    <w:rsid w:val="00B77F42"/>
    <w:rsid w:val="00B801BD"/>
    <w:rsid w:val="00B805B2"/>
    <w:rsid w:val="00B8087D"/>
    <w:rsid w:val="00B80E5B"/>
    <w:rsid w:val="00B816F9"/>
    <w:rsid w:val="00B81F01"/>
    <w:rsid w:val="00B84170"/>
    <w:rsid w:val="00B84B36"/>
    <w:rsid w:val="00B85495"/>
    <w:rsid w:val="00B85E20"/>
    <w:rsid w:val="00B908F2"/>
    <w:rsid w:val="00B927CA"/>
    <w:rsid w:val="00B94287"/>
    <w:rsid w:val="00B95A9D"/>
    <w:rsid w:val="00B9610F"/>
    <w:rsid w:val="00B97B06"/>
    <w:rsid w:val="00BA0A01"/>
    <w:rsid w:val="00BA0D14"/>
    <w:rsid w:val="00BA1F3E"/>
    <w:rsid w:val="00BA2F26"/>
    <w:rsid w:val="00BA3380"/>
    <w:rsid w:val="00BA39EC"/>
    <w:rsid w:val="00BA5C6B"/>
    <w:rsid w:val="00BA5F7D"/>
    <w:rsid w:val="00BA652A"/>
    <w:rsid w:val="00BB07AE"/>
    <w:rsid w:val="00BB1AA1"/>
    <w:rsid w:val="00BB1AFA"/>
    <w:rsid w:val="00BB2387"/>
    <w:rsid w:val="00BB2BE8"/>
    <w:rsid w:val="00BB2E6E"/>
    <w:rsid w:val="00BB3209"/>
    <w:rsid w:val="00BB50FB"/>
    <w:rsid w:val="00BB6D3D"/>
    <w:rsid w:val="00BB7255"/>
    <w:rsid w:val="00BB7A4A"/>
    <w:rsid w:val="00BC01C9"/>
    <w:rsid w:val="00BC0A62"/>
    <w:rsid w:val="00BC1016"/>
    <w:rsid w:val="00BC1B2D"/>
    <w:rsid w:val="00BC2705"/>
    <w:rsid w:val="00BC2B43"/>
    <w:rsid w:val="00BC2D66"/>
    <w:rsid w:val="00BC3682"/>
    <w:rsid w:val="00BC3DDE"/>
    <w:rsid w:val="00BC4856"/>
    <w:rsid w:val="00BC5340"/>
    <w:rsid w:val="00BC6B13"/>
    <w:rsid w:val="00BD05AA"/>
    <w:rsid w:val="00BD0BE1"/>
    <w:rsid w:val="00BD134F"/>
    <w:rsid w:val="00BD2676"/>
    <w:rsid w:val="00BD2B68"/>
    <w:rsid w:val="00BD3C82"/>
    <w:rsid w:val="00BD4BAA"/>
    <w:rsid w:val="00BD5119"/>
    <w:rsid w:val="00BD5340"/>
    <w:rsid w:val="00BD5D1E"/>
    <w:rsid w:val="00BD6DEA"/>
    <w:rsid w:val="00BD78C8"/>
    <w:rsid w:val="00BD7A7E"/>
    <w:rsid w:val="00BE02CD"/>
    <w:rsid w:val="00BE2E6C"/>
    <w:rsid w:val="00BE36B9"/>
    <w:rsid w:val="00BE4950"/>
    <w:rsid w:val="00BE4E0C"/>
    <w:rsid w:val="00BE55AF"/>
    <w:rsid w:val="00BE56B5"/>
    <w:rsid w:val="00BE58AC"/>
    <w:rsid w:val="00BE67FF"/>
    <w:rsid w:val="00BE6883"/>
    <w:rsid w:val="00BF0B47"/>
    <w:rsid w:val="00BF2153"/>
    <w:rsid w:val="00BF281F"/>
    <w:rsid w:val="00BF396B"/>
    <w:rsid w:val="00BF3F43"/>
    <w:rsid w:val="00BF48FA"/>
    <w:rsid w:val="00BF5115"/>
    <w:rsid w:val="00BF5F55"/>
    <w:rsid w:val="00C05AC2"/>
    <w:rsid w:val="00C06EDC"/>
    <w:rsid w:val="00C06EF1"/>
    <w:rsid w:val="00C1080B"/>
    <w:rsid w:val="00C114CE"/>
    <w:rsid w:val="00C123A7"/>
    <w:rsid w:val="00C12FAA"/>
    <w:rsid w:val="00C14069"/>
    <w:rsid w:val="00C21DD3"/>
    <w:rsid w:val="00C21E4E"/>
    <w:rsid w:val="00C22EDA"/>
    <w:rsid w:val="00C231F1"/>
    <w:rsid w:val="00C23713"/>
    <w:rsid w:val="00C2372E"/>
    <w:rsid w:val="00C23E34"/>
    <w:rsid w:val="00C246B9"/>
    <w:rsid w:val="00C248AA"/>
    <w:rsid w:val="00C26AD2"/>
    <w:rsid w:val="00C30371"/>
    <w:rsid w:val="00C30EA0"/>
    <w:rsid w:val="00C32C49"/>
    <w:rsid w:val="00C339A5"/>
    <w:rsid w:val="00C34663"/>
    <w:rsid w:val="00C35507"/>
    <w:rsid w:val="00C368A6"/>
    <w:rsid w:val="00C36909"/>
    <w:rsid w:val="00C36F1C"/>
    <w:rsid w:val="00C374FA"/>
    <w:rsid w:val="00C37FFB"/>
    <w:rsid w:val="00C41745"/>
    <w:rsid w:val="00C41B96"/>
    <w:rsid w:val="00C426F9"/>
    <w:rsid w:val="00C42860"/>
    <w:rsid w:val="00C42D46"/>
    <w:rsid w:val="00C42E27"/>
    <w:rsid w:val="00C4514A"/>
    <w:rsid w:val="00C469CA"/>
    <w:rsid w:val="00C473ED"/>
    <w:rsid w:val="00C47896"/>
    <w:rsid w:val="00C517BF"/>
    <w:rsid w:val="00C5203F"/>
    <w:rsid w:val="00C52840"/>
    <w:rsid w:val="00C52F72"/>
    <w:rsid w:val="00C538AB"/>
    <w:rsid w:val="00C54AEC"/>
    <w:rsid w:val="00C577B8"/>
    <w:rsid w:val="00C601D2"/>
    <w:rsid w:val="00C604A2"/>
    <w:rsid w:val="00C61447"/>
    <w:rsid w:val="00C6425D"/>
    <w:rsid w:val="00C65BB9"/>
    <w:rsid w:val="00C66411"/>
    <w:rsid w:val="00C66964"/>
    <w:rsid w:val="00C66B7F"/>
    <w:rsid w:val="00C67741"/>
    <w:rsid w:val="00C718D0"/>
    <w:rsid w:val="00C71986"/>
    <w:rsid w:val="00C71D44"/>
    <w:rsid w:val="00C72B12"/>
    <w:rsid w:val="00C7394B"/>
    <w:rsid w:val="00C73B9B"/>
    <w:rsid w:val="00C750BC"/>
    <w:rsid w:val="00C7596E"/>
    <w:rsid w:val="00C75A44"/>
    <w:rsid w:val="00C76C20"/>
    <w:rsid w:val="00C8232D"/>
    <w:rsid w:val="00C83124"/>
    <w:rsid w:val="00C83FBA"/>
    <w:rsid w:val="00C86501"/>
    <w:rsid w:val="00C87B9D"/>
    <w:rsid w:val="00C902A7"/>
    <w:rsid w:val="00C90777"/>
    <w:rsid w:val="00C90B89"/>
    <w:rsid w:val="00C9154D"/>
    <w:rsid w:val="00C94900"/>
    <w:rsid w:val="00C95DD1"/>
    <w:rsid w:val="00C96E09"/>
    <w:rsid w:val="00C97209"/>
    <w:rsid w:val="00CA147B"/>
    <w:rsid w:val="00CA1BE0"/>
    <w:rsid w:val="00CA29E8"/>
    <w:rsid w:val="00CA3F13"/>
    <w:rsid w:val="00CA5111"/>
    <w:rsid w:val="00CA5A1C"/>
    <w:rsid w:val="00CA72BA"/>
    <w:rsid w:val="00CA7771"/>
    <w:rsid w:val="00CB0B2D"/>
    <w:rsid w:val="00CB2B48"/>
    <w:rsid w:val="00CB355A"/>
    <w:rsid w:val="00CB44E8"/>
    <w:rsid w:val="00CB4F01"/>
    <w:rsid w:val="00CB6518"/>
    <w:rsid w:val="00CB7CEC"/>
    <w:rsid w:val="00CB7EB5"/>
    <w:rsid w:val="00CC0B96"/>
    <w:rsid w:val="00CC3B7A"/>
    <w:rsid w:val="00CC4599"/>
    <w:rsid w:val="00CC531F"/>
    <w:rsid w:val="00CC6DF8"/>
    <w:rsid w:val="00CC6E28"/>
    <w:rsid w:val="00CD0211"/>
    <w:rsid w:val="00CD03BC"/>
    <w:rsid w:val="00CD263D"/>
    <w:rsid w:val="00CD3222"/>
    <w:rsid w:val="00CD41D0"/>
    <w:rsid w:val="00CD484E"/>
    <w:rsid w:val="00CD5558"/>
    <w:rsid w:val="00CE0427"/>
    <w:rsid w:val="00CE1BF0"/>
    <w:rsid w:val="00CE358B"/>
    <w:rsid w:val="00CE3E9D"/>
    <w:rsid w:val="00CE41C9"/>
    <w:rsid w:val="00CE42CE"/>
    <w:rsid w:val="00CE4E6D"/>
    <w:rsid w:val="00CE5BAD"/>
    <w:rsid w:val="00CE6680"/>
    <w:rsid w:val="00CE6B20"/>
    <w:rsid w:val="00CE7878"/>
    <w:rsid w:val="00CF08F1"/>
    <w:rsid w:val="00CF1095"/>
    <w:rsid w:val="00CF2012"/>
    <w:rsid w:val="00CF656A"/>
    <w:rsid w:val="00CF72EE"/>
    <w:rsid w:val="00D00F68"/>
    <w:rsid w:val="00D040AE"/>
    <w:rsid w:val="00D04567"/>
    <w:rsid w:val="00D0461D"/>
    <w:rsid w:val="00D046E2"/>
    <w:rsid w:val="00D07352"/>
    <w:rsid w:val="00D07F17"/>
    <w:rsid w:val="00D11054"/>
    <w:rsid w:val="00D11890"/>
    <w:rsid w:val="00D15331"/>
    <w:rsid w:val="00D16AE8"/>
    <w:rsid w:val="00D20E2D"/>
    <w:rsid w:val="00D223AF"/>
    <w:rsid w:val="00D2331A"/>
    <w:rsid w:val="00D24CE1"/>
    <w:rsid w:val="00D24E74"/>
    <w:rsid w:val="00D2567E"/>
    <w:rsid w:val="00D262B1"/>
    <w:rsid w:val="00D26624"/>
    <w:rsid w:val="00D27EFD"/>
    <w:rsid w:val="00D31A7B"/>
    <w:rsid w:val="00D33B5F"/>
    <w:rsid w:val="00D34B80"/>
    <w:rsid w:val="00D358E9"/>
    <w:rsid w:val="00D35BA4"/>
    <w:rsid w:val="00D35D37"/>
    <w:rsid w:val="00D3617E"/>
    <w:rsid w:val="00D36607"/>
    <w:rsid w:val="00D43B78"/>
    <w:rsid w:val="00D43F68"/>
    <w:rsid w:val="00D4589D"/>
    <w:rsid w:val="00D4770B"/>
    <w:rsid w:val="00D47CFB"/>
    <w:rsid w:val="00D5256A"/>
    <w:rsid w:val="00D52A7E"/>
    <w:rsid w:val="00D54601"/>
    <w:rsid w:val="00D55515"/>
    <w:rsid w:val="00D55528"/>
    <w:rsid w:val="00D611F4"/>
    <w:rsid w:val="00D61D81"/>
    <w:rsid w:val="00D622EF"/>
    <w:rsid w:val="00D654E2"/>
    <w:rsid w:val="00D65948"/>
    <w:rsid w:val="00D660A7"/>
    <w:rsid w:val="00D66BE2"/>
    <w:rsid w:val="00D67449"/>
    <w:rsid w:val="00D67C72"/>
    <w:rsid w:val="00D71FFE"/>
    <w:rsid w:val="00D72DF0"/>
    <w:rsid w:val="00D7454D"/>
    <w:rsid w:val="00D777FF"/>
    <w:rsid w:val="00D80AD5"/>
    <w:rsid w:val="00D8181C"/>
    <w:rsid w:val="00D831B9"/>
    <w:rsid w:val="00D84E24"/>
    <w:rsid w:val="00D90597"/>
    <w:rsid w:val="00D90902"/>
    <w:rsid w:val="00D91456"/>
    <w:rsid w:val="00D91C68"/>
    <w:rsid w:val="00D9316A"/>
    <w:rsid w:val="00D9491C"/>
    <w:rsid w:val="00D95730"/>
    <w:rsid w:val="00DA21FC"/>
    <w:rsid w:val="00DA4693"/>
    <w:rsid w:val="00DA615E"/>
    <w:rsid w:val="00DA64D7"/>
    <w:rsid w:val="00DB25F6"/>
    <w:rsid w:val="00DB277E"/>
    <w:rsid w:val="00DB2E1B"/>
    <w:rsid w:val="00DB4605"/>
    <w:rsid w:val="00DB52EC"/>
    <w:rsid w:val="00DB5C19"/>
    <w:rsid w:val="00DB6148"/>
    <w:rsid w:val="00DB75E8"/>
    <w:rsid w:val="00DC06A9"/>
    <w:rsid w:val="00DC108A"/>
    <w:rsid w:val="00DC2EDF"/>
    <w:rsid w:val="00DC5F49"/>
    <w:rsid w:val="00DC61EA"/>
    <w:rsid w:val="00DC674E"/>
    <w:rsid w:val="00DC7F77"/>
    <w:rsid w:val="00DD0A31"/>
    <w:rsid w:val="00DD0D63"/>
    <w:rsid w:val="00DD3626"/>
    <w:rsid w:val="00DD3B2A"/>
    <w:rsid w:val="00DD4007"/>
    <w:rsid w:val="00DD5C43"/>
    <w:rsid w:val="00DD6AD2"/>
    <w:rsid w:val="00DD7337"/>
    <w:rsid w:val="00DE037C"/>
    <w:rsid w:val="00DE03F1"/>
    <w:rsid w:val="00DE0B80"/>
    <w:rsid w:val="00DE0CDB"/>
    <w:rsid w:val="00DE1584"/>
    <w:rsid w:val="00DE1A29"/>
    <w:rsid w:val="00DE4B4B"/>
    <w:rsid w:val="00DE5675"/>
    <w:rsid w:val="00DE6D5F"/>
    <w:rsid w:val="00DF0692"/>
    <w:rsid w:val="00DF0BE2"/>
    <w:rsid w:val="00DF1FC9"/>
    <w:rsid w:val="00DF22D7"/>
    <w:rsid w:val="00DF2C95"/>
    <w:rsid w:val="00DF4427"/>
    <w:rsid w:val="00DF578D"/>
    <w:rsid w:val="00DF5A6D"/>
    <w:rsid w:val="00DF6CA5"/>
    <w:rsid w:val="00DF6F0B"/>
    <w:rsid w:val="00DF77D9"/>
    <w:rsid w:val="00E0238B"/>
    <w:rsid w:val="00E0278B"/>
    <w:rsid w:val="00E0447F"/>
    <w:rsid w:val="00E05108"/>
    <w:rsid w:val="00E05C80"/>
    <w:rsid w:val="00E06072"/>
    <w:rsid w:val="00E07875"/>
    <w:rsid w:val="00E07FD4"/>
    <w:rsid w:val="00E11E45"/>
    <w:rsid w:val="00E128D2"/>
    <w:rsid w:val="00E12E98"/>
    <w:rsid w:val="00E13F17"/>
    <w:rsid w:val="00E16B2F"/>
    <w:rsid w:val="00E17B97"/>
    <w:rsid w:val="00E212F3"/>
    <w:rsid w:val="00E21681"/>
    <w:rsid w:val="00E224A5"/>
    <w:rsid w:val="00E22EE9"/>
    <w:rsid w:val="00E23B08"/>
    <w:rsid w:val="00E24423"/>
    <w:rsid w:val="00E246CA"/>
    <w:rsid w:val="00E247D1"/>
    <w:rsid w:val="00E31F80"/>
    <w:rsid w:val="00E323F1"/>
    <w:rsid w:val="00E34F7E"/>
    <w:rsid w:val="00E41217"/>
    <w:rsid w:val="00E41E40"/>
    <w:rsid w:val="00E42B21"/>
    <w:rsid w:val="00E42BD9"/>
    <w:rsid w:val="00E459A7"/>
    <w:rsid w:val="00E460D6"/>
    <w:rsid w:val="00E50692"/>
    <w:rsid w:val="00E50895"/>
    <w:rsid w:val="00E514E2"/>
    <w:rsid w:val="00E52537"/>
    <w:rsid w:val="00E52DC2"/>
    <w:rsid w:val="00E536E4"/>
    <w:rsid w:val="00E55502"/>
    <w:rsid w:val="00E55984"/>
    <w:rsid w:val="00E55AD9"/>
    <w:rsid w:val="00E560FB"/>
    <w:rsid w:val="00E639D3"/>
    <w:rsid w:val="00E6609E"/>
    <w:rsid w:val="00E70EC7"/>
    <w:rsid w:val="00E7149A"/>
    <w:rsid w:val="00E71777"/>
    <w:rsid w:val="00E71E73"/>
    <w:rsid w:val="00E7333D"/>
    <w:rsid w:val="00E73395"/>
    <w:rsid w:val="00E7396E"/>
    <w:rsid w:val="00E740CC"/>
    <w:rsid w:val="00E74B3C"/>
    <w:rsid w:val="00E75211"/>
    <w:rsid w:val="00E76C0F"/>
    <w:rsid w:val="00E81235"/>
    <w:rsid w:val="00E816A1"/>
    <w:rsid w:val="00E83510"/>
    <w:rsid w:val="00E83D65"/>
    <w:rsid w:val="00E83E8E"/>
    <w:rsid w:val="00E850F8"/>
    <w:rsid w:val="00E87099"/>
    <w:rsid w:val="00E87E57"/>
    <w:rsid w:val="00E92317"/>
    <w:rsid w:val="00E92455"/>
    <w:rsid w:val="00E92D61"/>
    <w:rsid w:val="00E96F7A"/>
    <w:rsid w:val="00E970D3"/>
    <w:rsid w:val="00E9784F"/>
    <w:rsid w:val="00EA3BEA"/>
    <w:rsid w:val="00EA4510"/>
    <w:rsid w:val="00EA5B7D"/>
    <w:rsid w:val="00EA600B"/>
    <w:rsid w:val="00EA6CB6"/>
    <w:rsid w:val="00EB0831"/>
    <w:rsid w:val="00EB2E36"/>
    <w:rsid w:val="00EB37F0"/>
    <w:rsid w:val="00EB48A4"/>
    <w:rsid w:val="00EB50C9"/>
    <w:rsid w:val="00EB571F"/>
    <w:rsid w:val="00EB7BF7"/>
    <w:rsid w:val="00EC0026"/>
    <w:rsid w:val="00EC1988"/>
    <w:rsid w:val="00EC1FAA"/>
    <w:rsid w:val="00EC2B3C"/>
    <w:rsid w:val="00EC3BED"/>
    <w:rsid w:val="00EC470B"/>
    <w:rsid w:val="00EC6B82"/>
    <w:rsid w:val="00EC74CF"/>
    <w:rsid w:val="00EC79F4"/>
    <w:rsid w:val="00ED0D44"/>
    <w:rsid w:val="00ED25D8"/>
    <w:rsid w:val="00ED47EC"/>
    <w:rsid w:val="00ED58D4"/>
    <w:rsid w:val="00ED5AA9"/>
    <w:rsid w:val="00ED5ACD"/>
    <w:rsid w:val="00ED7651"/>
    <w:rsid w:val="00ED7979"/>
    <w:rsid w:val="00EE1B58"/>
    <w:rsid w:val="00EE47D4"/>
    <w:rsid w:val="00EE5ED8"/>
    <w:rsid w:val="00EF0EB0"/>
    <w:rsid w:val="00EF55AB"/>
    <w:rsid w:val="00EF6713"/>
    <w:rsid w:val="00EF6D16"/>
    <w:rsid w:val="00EF7330"/>
    <w:rsid w:val="00F020F0"/>
    <w:rsid w:val="00F02450"/>
    <w:rsid w:val="00F02F71"/>
    <w:rsid w:val="00F03402"/>
    <w:rsid w:val="00F03501"/>
    <w:rsid w:val="00F05777"/>
    <w:rsid w:val="00F05D0A"/>
    <w:rsid w:val="00F05DE3"/>
    <w:rsid w:val="00F05E4C"/>
    <w:rsid w:val="00F07FCB"/>
    <w:rsid w:val="00F106E9"/>
    <w:rsid w:val="00F1330E"/>
    <w:rsid w:val="00F1345A"/>
    <w:rsid w:val="00F13ED4"/>
    <w:rsid w:val="00F14CAA"/>
    <w:rsid w:val="00F16559"/>
    <w:rsid w:val="00F168FF"/>
    <w:rsid w:val="00F170A4"/>
    <w:rsid w:val="00F21608"/>
    <w:rsid w:val="00F2274D"/>
    <w:rsid w:val="00F22841"/>
    <w:rsid w:val="00F24B16"/>
    <w:rsid w:val="00F277A6"/>
    <w:rsid w:val="00F27C68"/>
    <w:rsid w:val="00F34772"/>
    <w:rsid w:val="00F3582B"/>
    <w:rsid w:val="00F3593E"/>
    <w:rsid w:val="00F35A3E"/>
    <w:rsid w:val="00F36832"/>
    <w:rsid w:val="00F3782B"/>
    <w:rsid w:val="00F401FB"/>
    <w:rsid w:val="00F4096C"/>
    <w:rsid w:val="00F42BC3"/>
    <w:rsid w:val="00F43CD9"/>
    <w:rsid w:val="00F463CA"/>
    <w:rsid w:val="00F51A25"/>
    <w:rsid w:val="00F51B04"/>
    <w:rsid w:val="00F526C1"/>
    <w:rsid w:val="00F5699A"/>
    <w:rsid w:val="00F61F62"/>
    <w:rsid w:val="00F62707"/>
    <w:rsid w:val="00F63EE2"/>
    <w:rsid w:val="00F677B9"/>
    <w:rsid w:val="00F7041C"/>
    <w:rsid w:val="00F70791"/>
    <w:rsid w:val="00F71BF9"/>
    <w:rsid w:val="00F7335A"/>
    <w:rsid w:val="00F7421E"/>
    <w:rsid w:val="00F74AFD"/>
    <w:rsid w:val="00F74E4C"/>
    <w:rsid w:val="00F76410"/>
    <w:rsid w:val="00F764C2"/>
    <w:rsid w:val="00F834ED"/>
    <w:rsid w:val="00F83E12"/>
    <w:rsid w:val="00F84765"/>
    <w:rsid w:val="00F84E5D"/>
    <w:rsid w:val="00F86261"/>
    <w:rsid w:val="00F87D02"/>
    <w:rsid w:val="00F90E1C"/>
    <w:rsid w:val="00F92206"/>
    <w:rsid w:val="00F92A84"/>
    <w:rsid w:val="00F94A03"/>
    <w:rsid w:val="00F95B5A"/>
    <w:rsid w:val="00F96206"/>
    <w:rsid w:val="00F962B3"/>
    <w:rsid w:val="00F97444"/>
    <w:rsid w:val="00F97DD4"/>
    <w:rsid w:val="00FA092F"/>
    <w:rsid w:val="00FA1B32"/>
    <w:rsid w:val="00FA25B6"/>
    <w:rsid w:val="00FA2757"/>
    <w:rsid w:val="00FA2E17"/>
    <w:rsid w:val="00FA3C3B"/>
    <w:rsid w:val="00FA5A65"/>
    <w:rsid w:val="00FA5FF6"/>
    <w:rsid w:val="00FB0DCF"/>
    <w:rsid w:val="00FB213F"/>
    <w:rsid w:val="00FB3C6E"/>
    <w:rsid w:val="00FB59F5"/>
    <w:rsid w:val="00FB61AF"/>
    <w:rsid w:val="00FB66C2"/>
    <w:rsid w:val="00FC10B8"/>
    <w:rsid w:val="00FC10D1"/>
    <w:rsid w:val="00FC242E"/>
    <w:rsid w:val="00FC302B"/>
    <w:rsid w:val="00FC3B32"/>
    <w:rsid w:val="00FC458D"/>
    <w:rsid w:val="00FC5CF8"/>
    <w:rsid w:val="00FC5F64"/>
    <w:rsid w:val="00FC7F6A"/>
    <w:rsid w:val="00FD024D"/>
    <w:rsid w:val="00FD2ED2"/>
    <w:rsid w:val="00FD3D7A"/>
    <w:rsid w:val="00FD453E"/>
    <w:rsid w:val="00FD47C3"/>
    <w:rsid w:val="00FD5402"/>
    <w:rsid w:val="00FD615C"/>
    <w:rsid w:val="00FD6A5F"/>
    <w:rsid w:val="00FD6DFE"/>
    <w:rsid w:val="00FD73E4"/>
    <w:rsid w:val="00FD7FEB"/>
    <w:rsid w:val="00FE47D4"/>
    <w:rsid w:val="00FE5BAB"/>
    <w:rsid w:val="00FE71AE"/>
    <w:rsid w:val="00FE7862"/>
    <w:rsid w:val="00FE7F9D"/>
    <w:rsid w:val="00FF217A"/>
    <w:rsid w:val="00FF279A"/>
    <w:rsid w:val="00FF3CC4"/>
    <w:rsid w:val="00FF52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EA1AE"/>
  <w15:chartTrackingRefBased/>
  <w15:docId w15:val="{B0F391BF-9BE3-4FDF-B08D-BECD0B69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70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9B8"/>
    <w:pPr>
      <w:ind w:left="720"/>
      <w:contextualSpacing/>
    </w:pPr>
  </w:style>
  <w:style w:type="character" w:styleId="Verwijzingopmerking">
    <w:name w:val="annotation reference"/>
    <w:basedOn w:val="Standaardalinea-lettertype"/>
    <w:uiPriority w:val="99"/>
    <w:semiHidden/>
    <w:unhideWhenUsed/>
    <w:rsid w:val="0055533A"/>
    <w:rPr>
      <w:sz w:val="16"/>
      <w:szCs w:val="16"/>
    </w:rPr>
  </w:style>
  <w:style w:type="paragraph" w:styleId="Tekstopmerking">
    <w:name w:val="annotation text"/>
    <w:basedOn w:val="Standaard"/>
    <w:link w:val="TekstopmerkingChar"/>
    <w:uiPriority w:val="99"/>
    <w:semiHidden/>
    <w:unhideWhenUsed/>
    <w:rsid w:val="005553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533A"/>
    <w:rPr>
      <w:sz w:val="20"/>
      <w:szCs w:val="20"/>
    </w:rPr>
  </w:style>
  <w:style w:type="paragraph" w:styleId="Onderwerpvanopmerking">
    <w:name w:val="annotation subject"/>
    <w:basedOn w:val="Tekstopmerking"/>
    <w:next w:val="Tekstopmerking"/>
    <w:link w:val="OnderwerpvanopmerkingChar"/>
    <w:uiPriority w:val="99"/>
    <w:semiHidden/>
    <w:unhideWhenUsed/>
    <w:rsid w:val="0055533A"/>
    <w:rPr>
      <w:b/>
      <w:bCs/>
    </w:rPr>
  </w:style>
  <w:style w:type="character" w:customStyle="1" w:styleId="OnderwerpvanopmerkingChar">
    <w:name w:val="Onderwerp van opmerking Char"/>
    <w:basedOn w:val="TekstopmerkingChar"/>
    <w:link w:val="Onderwerpvanopmerking"/>
    <w:uiPriority w:val="99"/>
    <w:semiHidden/>
    <w:rsid w:val="0055533A"/>
    <w:rPr>
      <w:b/>
      <w:bCs/>
      <w:sz w:val="20"/>
      <w:szCs w:val="20"/>
    </w:rPr>
  </w:style>
  <w:style w:type="paragraph" w:styleId="Ballontekst">
    <w:name w:val="Balloon Text"/>
    <w:basedOn w:val="Standaard"/>
    <w:link w:val="BallontekstChar"/>
    <w:uiPriority w:val="99"/>
    <w:semiHidden/>
    <w:unhideWhenUsed/>
    <w:rsid w:val="005553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533A"/>
    <w:rPr>
      <w:rFonts w:ascii="Segoe UI" w:hAnsi="Segoe UI" w:cs="Segoe UI"/>
      <w:sz w:val="18"/>
      <w:szCs w:val="18"/>
    </w:rPr>
  </w:style>
  <w:style w:type="paragraph" w:styleId="Koptekst">
    <w:name w:val="header"/>
    <w:basedOn w:val="Standaard"/>
    <w:link w:val="KoptekstChar"/>
    <w:uiPriority w:val="99"/>
    <w:unhideWhenUsed/>
    <w:rsid w:val="00BD534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D5340"/>
  </w:style>
  <w:style w:type="paragraph" w:styleId="Voettekst">
    <w:name w:val="footer"/>
    <w:basedOn w:val="Standaard"/>
    <w:link w:val="VoettekstChar"/>
    <w:uiPriority w:val="99"/>
    <w:unhideWhenUsed/>
    <w:rsid w:val="00BD534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D5340"/>
  </w:style>
  <w:style w:type="character" w:styleId="Hyperlink">
    <w:name w:val="Hyperlink"/>
    <w:basedOn w:val="Standaardalinea-lettertype"/>
    <w:uiPriority w:val="99"/>
    <w:unhideWhenUsed/>
    <w:rsid w:val="00336EE5"/>
    <w:rPr>
      <w:color w:val="0563C1" w:themeColor="hyperlink"/>
      <w:u w:val="single"/>
    </w:rPr>
  </w:style>
  <w:style w:type="character" w:customStyle="1" w:styleId="Onopgelostemelding1">
    <w:name w:val="Onopgeloste melding1"/>
    <w:basedOn w:val="Standaardalinea-lettertype"/>
    <w:uiPriority w:val="99"/>
    <w:semiHidden/>
    <w:unhideWhenUsed/>
    <w:rsid w:val="00336EE5"/>
    <w:rPr>
      <w:color w:val="605E5C"/>
      <w:shd w:val="clear" w:color="auto" w:fill="E1DFDD"/>
    </w:rPr>
  </w:style>
  <w:style w:type="paragraph" w:styleId="Tekstzonderopmaak">
    <w:name w:val="Plain Text"/>
    <w:basedOn w:val="Standaard"/>
    <w:link w:val="TekstzonderopmaakChar"/>
    <w:uiPriority w:val="99"/>
    <w:unhideWhenUsed/>
    <w:rsid w:val="0090728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90728F"/>
    <w:rPr>
      <w:rFonts w:ascii="Calibri" w:hAnsi="Calibri"/>
      <w:szCs w:val="21"/>
    </w:rPr>
  </w:style>
  <w:style w:type="paragraph" w:styleId="Normaalweb">
    <w:name w:val="Normal (Web)"/>
    <w:basedOn w:val="Standaard"/>
    <w:uiPriority w:val="99"/>
    <w:semiHidden/>
    <w:unhideWhenUsed/>
    <w:rsid w:val="00867EA8"/>
    <w:pPr>
      <w:spacing w:before="100" w:beforeAutospacing="1" w:after="100" w:afterAutospacing="1" w:line="240" w:lineRule="auto"/>
    </w:pPr>
    <w:rPr>
      <w:rFonts w:ascii="Calibri" w:hAnsi="Calibri" w:cs="Calibri"/>
      <w:lang w:eastAsia="nl-BE"/>
    </w:rPr>
  </w:style>
  <w:style w:type="paragraph" w:styleId="Voetnoottekst">
    <w:name w:val="footnote text"/>
    <w:basedOn w:val="Standaard"/>
    <w:link w:val="VoetnoottekstChar"/>
    <w:uiPriority w:val="99"/>
    <w:semiHidden/>
    <w:unhideWhenUsed/>
    <w:rsid w:val="00937D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37DE5"/>
    <w:rPr>
      <w:sz w:val="20"/>
      <w:szCs w:val="20"/>
    </w:rPr>
  </w:style>
  <w:style w:type="character" w:styleId="Voetnootmarkering">
    <w:name w:val="footnote reference"/>
    <w:basedOn w:val="Standaardalinea-lettertype"/>
    <w:uiPriority w:val="99"/>
    <w:semiHidden/>
    <w:unhideWhenUsed/>
    <w:rsid w:val="00937DE5"/>
    <w:rPr>
      <w:vertAlign w:val="superscript"/>
    </w:rPr>
  </w:style>
  <w:style w:type="character" w:customStyle="1" w:styleId="Kop1Char">
    <w:name w:val="Kop 1 Char"/>
    <w:basedOn w:val="Standaardalinea-lettertype"/>
    <w:link w:val="Kop1"/>
    <w:uiPriority w:val="9"/>
    <w:rsid w:val="00A7091E"/>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7091E"/>
    <w:pPr>
      <w:outlineLvl w:val="9"/>
    </w:pPr>
    <w:rPr>
      <w:lang w:eastAsia="nl-BE"/>
    </w:rPr>
  </w:style>
  <w:style w:type="paragraph" w:styleId="Inhopg2">
    <w:name w:val="toc 2"/>
    <w:basedOn w:val="Standaard"/>
    <w:next w:val="Standaard"/>
    <w:autoRedefine/>
    <w:uiPriority w:val="39"/>
    <w:unhideWhenUsed/>
    <w:rsid w:val="00C05AC2"/>
    <w:pPr>
      <w:tabs>
        <w:tab w:val="left" w:pos="880"/>
        <w:tab w:val="right" w:leader="dot" w:pos="9062"/>
      </w:tabs>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A7091E"/>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A7091E"/>
    <w:pPr>
      <w:spacing w:after="100"/>
      <w:ind w:left="440"/>
    </w:pPr>
    <w:rPr>
      <w:rFonts w:eastAsiaTheme="minorEastAsia" w:cs="Times New Roman"/>
      <w:lang w:eastAsia="nl-BE"/>
    </w:rPr>
  </w:style>
  <w:style w:type="paragraph" w:customStyle="1" w:styleId="xmsonormal">
    <w:name w:val="x_msonormal"/>
    <w:basedOn w:val="Standaard"/>
    <w:rsid w:val="006A0565"/>
    <w:pPr>
      <w:spacing w:after="0" w:line="240" w:lineRule="auto"/>
    </w:pPr>
    <w:rPr>
      <w:rFonts w:ascii="Calibri" w:hAnsi="Calibri" w:cs="Calibri"/>
      <w:lang w:eastAsia="nl-BE"/>
    </w:rPr>
  </w:style>
  <w:style w:type="character" w:styleId="GevolgdeHyperlink">
    <w:name w:val="FollowedHyperlink"/>
    <w:basedOn w:val="Standaardalinea-lettertype"/>
    <w:uiPriority w:val="99"/>
    <w:semiHidden/>
    <w:unhideWhenUsed/>
    <w:rsid w:val="00882A28"/>
    <w:rPr>
      <w:color w:val="954F72" w:themeColor="followedHyperlink"/>
      <w:u w:val="single"/>
    </w:rPr>
  </w:style>
  <w:style w:type="paragraph" w:styleId="Revisie">
    <w:name w:val="Revision"/>
    <w:hidden/>
    <w:uiPriority w:val="99"/>
    <w:semiHidden/>
    <w:rsid w:val="004936D7"/>
    <w:pPr>
      <w:spacing w:after="0" w:line="240" w:lineRule="auto"/>
    </w:pPr>
  </w:style>
  <w:style w:type="paragraph" w:styleId="HTML-voorafopgemaakt">
    <w:name w:val="HTML Preformatted"/>
    <w:basedOn w:val="Standaard"/>
    <w:link w:val="HTML-voorafopgemaaktChar"/>
    <w:uiPriority w:val="99"/>
    <w:semiHidden/>
    <w:unhideWhenUsed/>
    <w:rsid w:val="0017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17432B"/>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39610">
      <w:bodyDiv w:val="1"/>
      <w:marLeft w:val="0"/>
      <w:marRight w:val="0"/>
      <w:marTop w:val="0"/>
      <w:marBottom w:val="0"/>
      <w:divBdr>
        <w:top w:val="none" w:sz="0" w:space="0" w:color="auto"/>
        <w:left w:val="none" w:sz="0" w:space="0" w:color="auto"/>
        <w:bottom w:val="none" w:sz="0" w:space="0" w:color="auto"/>
        <w:right w:val="none" w:sz="0" w:space="0" w:color="auto"/>
      </w:divBdr>
    </w:div>
    <w:div w:id="92477658">
      <w:bodyDiv w:val="1"/>
      <w:marLeft w:val="0"/>
      <w:marRight w:val="0"/>
      <w:marTop w:val="0"/>
      <w:marBottom w:val="0"/>
      <w:divBdr>
        <w:top w:val="none" w:sz="0" w:space="0" w:color="auto"/>
        <w:left w:val="none" w:sz="0" w:space="0" w:color="auto"/>
        <w:bottom w:val="none" w:sz="0" w:space="0" w:color="auto"/>
        <w:right w:val="none" w:sz="0" w:space="0" w:color="auto"/>
      </w:divBdr>
    </w:div>
    <w:div w:id="364911370">
      <w:bodyDiv w:val="1"/>
      <w:marLeft w:val="0"/>
      <w:marRight w:val="0"/>
      <w:marTop w:val="0"/>
      <w:marBottom w:val="0"/>
      <w:divBdr>
        <w:top w:val="none" w:sz="0" w:space="0" w:color="auto"/>
        <w:left w:val="none" w:sz="0" w:space="0" w:color="auto"/>
        <w:bottom w:val="none" w:sz="0" w:space="0" w:color="auto"/>
        <w:right w:val="none" w:sz="0" w:space="0" w:color="auto"/>
      </w:divBdr>
    </w:div>
    <w:div w:id="393965910">
      <w:bodyDiv w:val="1"/>
      <w:marLeft w:val="0"/>
      <w:marRight w:val="0"/>
      <w:marTop w:val="0"/>
      <w:marBottom w:val="0"/>
      <w:divBdr>
        <w:top w:val="none" w:sz="0" w:space="0" w:color="auto"/>
        <w:left w:val="none" w:sz="0" w:space="0" w:color="auto"/>
        <w:bottom w:val="none" w:sz="0" w:space="0" w:color="auto"/>
        <w:right w:val="none" w:sz="0" w:space="0" w:color="auto"/>
      </w:divBdr>
    </w:div>
    <w:div w:id="422606872">
      <w:bodyDiv w:val="1"/>
      <w:marLeft w:val="0"/>
      <w:marRight w:val="0"/>
      <w:marTop w:val="0"/>
      <w:marBottom w:val="0"/>
      <w:divBdr>
        <w:top w:val="none" w:sz="0" w:space="0" w:color="auto"/>
        <w:left w:val="none" w:sz="0" w:space="0" w:color="auto"/>
        <w:bottom w:val="none" w:sz="0" w:space="0" w:color="auto"/>
        <w:right w:val="none" w:sz="0" w:space="0" w:color="auto"/>
      </w:divBdr>
    </w:div>
    <w:div w:id="526255970">
      <w:bodyDiv w:val="1"/>
      <w:marLeft w:val="0"/>
      <w:marRight w:val="0"/>
      <w:marTop w:val="0"/>
      <w:marBottom w:val="0"/>
      <w:divBdr>
        <w:top w:val="none" w:sz="0" w:space="0" w:color="auto"/>
        <w:left w:val="none" w:sz="0" w:space="0" w:color="auto"/>
        <w:bottom w:val="none" w:sz="0" w:space="0" w:color="auto"/>
        <w:right w:val="none" w:sz="0" w:space="0" w:color="auto"/>
      </w:divBdr>
    </w:div>
    <w:div w:id="546406345">
      <w:bodyDiv w:val="1"/>
      <w:marLeft w:val="0"/>
      <w:marRight w:val="0"/>
      <w:marTop w:val="0"/>
      <w:marBottom w:val="0"/>
      <w:divBdr>
        <w:top w:val="none" w:sz="0" w:space="0" w:color="auto"/>
        <w:left w:val="none" w:sz="0" w:space="0" w:color="auto"/>
        <w:bottom w:val="none" w:sz="0" w:space="0" w:color="auto"/>
        <w:right w:val="none" w:sz="0" w:space="0" w:color="auto"/>
      </w:divBdr>
    </w:div>
    <w:div w:id="790514977">
      <w:bodyDiv w:val="1"/>
      <w:marLeft w:val="0"/>
      <w:marRight w:val="0"/>
      <w:marTop w:val="0"/>
      <w:marBottom w:val="0"/>
      <w:divBdr>
        <w:top w:val="none" w:sz="0" w:space="0" w:color="auto"/>
        <w:left w:val="none" w:sz="0" w:space="0" w:color="auto"/>
        <w:bottom w:val="none" w:sz="0" w:space="0" w:color="auto"/>
        <w:right w:val="none" w:sz="0" w:space="0" w:color="auto"/>
      </w:divBdr>
    </w:div>
    <w:div w:id="820580932">
      <w:bodyDiv w:val="1"/>
      <w:marLeft w:val="0"/>
      <w:marRight w:val="0"/>
      <w:marTop w:val="0"/>
      <w:marBottom w:val="0"/>
      <w:divBdr>
        <w:top w:val="none" w:sz="0" w:space="0" w:color="auto"/>
        <w:left w:val="none" w:sz="0" w:space="0" w:color="auto"/>
        <w:bottom w:val="none" w:sz="0" w:space="0" w:color="auto"/>
        <w:right w:val="none" w:sz="0" w:space="0" w:color="auto"/>
      </w:divBdr>
    </w:div>
    <w:div w:id="915477128">
      <w:bodyDiv w:val="1"/>
      <w:marLeft w:val="0"/>
      <w:marRight w:val="0"/>
      <w:marTop w:val="0"/>
      <w:marBottom w:val="0"/>
      <w:divBdr>
        <w:top w:val="none" w:sz="0" w:space="0" w:color="auto"/>
        <w:left w:val="none" w:sz="0" w:space="0" w:color="auto"/>
        <w:bottom w:val="none" w:sz="0" w:space="0" w:color="auto"/>
        <w:right w:val="none" w:sz="0" w:space="0" w:color="auto"/>
      </w:divBdr>
    </w:div>
    <w:div w:id="917059474">
      <w:bodyDiv w:val="1"/>
      <w:marLeft w:val="0"/>
      <w:marRight w:val="0"/>
      <w:marTop w:val="0"/>
      <w:marBottom w:val="0"/>
      <w:divBdr>
        <w:top w:val="none" w:sz="0" w:space="0" w:color="auto"/>
        <w:left w:val="none" w:sz="0" w:space="0" w:color="auto"/>
        <w:bottom w:val="none" w:sz="0" w:space="0" w:color="auto"/>
        <w:right w:val="none" w:sz="0" w:space="0" w:color="auto"/>
      </w:divBdr>
    </w:div>
    <w:div w:id="928317677">
      <w:bodyDiv w:val="1"/>
      <w:marLeft w:val="0"/>
      <w:marRight w:val="0"/>
      <w:marTop w:val="0"/>
      <w:marBottom w:val="0"/>
      <w:divBdr>
        <w:top w:val="none" w:sz="0" w:space="0" w:color="auto"/>
        <w:left w:val="none" w:sz="0" w:space="0" w:color="auto"/>
        <w:bottom w:val="none" w:sz="0" w:space="0" w:color="auto"/>
        <w:right w:val="none" w:sz="0" w:space="0" w:color="auto"/>
      </w:divBdr>
    </w:div>
    <w:div w:id="994913509">
      <w:bodyDiv w:val="1"/>
      <w:marLeft w:val="0"/>
      <w:marRight w:val="0"/>
      <w:marTop w:val="0"/>
      <w:marBottom w:val="0"/>
      <w:divBdr>
        <w:top w:val="none" w:sz="0" w:space="0" w:color="auto"/>
        <w:left w:val="none" w:sz="0" w:space="0" w:color="auto"/>
        <w:bottom w:val="none" w:sz="0" w:space="0" w:color="auto"/>
        <w:right w:val="none" w:sz="0" w:space="0" w:color="auto"/>
      </w:divBdr>
    </w:div>
    <w:div w:id="1105006627">
      <w:bodyDiv w:val="1"/>
      <w:marLeft w:val="0"/>
      <w:marRight w:val="0"/>
      <w:marTop w:val="0"/>
      <w:marBottom w:val="0"/>
      <w:divBdr>
        <w:top w:val="none" w:sz="0" w:space="0" w:color="auto"/>
        <w:left w:val="none" w:sz="0" w:space="0" w:color="auto"/>
        <w:bottom w:val="none" w:sz="0" w:space="0" w:color="auto"/>
        <w:right w:val="none" w:sz="0" w:space="0" w:color="auto"/>
      </w:divBdr>
    </w:div>
    <w:div w:id="1105153066">
      <w:bodyDiv w:val="1"/>
      <w:marLeft w:val="0"/>
      <w:marRight w:val="0"/>
      <w:marTop w:val="0"/>
      <w:marBottom w:val="0"/>
      <w:divBdr>
        <w:top w:val="none" w:sz="0" w:space="0" w:color="auto"/>
        <w:left w:val="none" w:sz="0" w:space="0" w:color="auto"/>
        <w:bottom w:val="none" w:sz="0" w:space="0" w:color="auto"/>
        <w:right w:val="none" w:sz="0" w:space="0" w:color="auto"/>
      </w:divBdr>
    </w:div>
    <w:div w:id="1221358793">
      <w:bodyDiv w:val="1"/>
      <w:marLeft w:val="0"/>
      <w:marRight w:val="0"/>
      <w:marTop w:val="0"/>
      <w:marBottom w:val="0"/>
      <w:divBdr>
        <w:top w:val="none" w:sz="0" w:space="0" w:color="auto"/>
        <w:left w:val="none" w:sz="0" w:space="0" w:color="auto"/>
        <w:bottom w:val="none" w:sz="0" w:space="0" w:color="auto"/>
        <w:right w:val="none" w:sz="0" w:space="0" w:color="auto"/>
      </w:divBdr>
      <w:divsChild>
        <w:div w:id="693269667">
          <w:marLeft w:val="0"/>
          <w:marRight w:val="0"/>
          <w:marTop w:val="0"/>
          <w:marBottom w:val="0"/>
          <w:divBdr>
            <w:top w:val="none" w:sz="0" w:space="0" w:color="auto"/>
            <w:left w:val="none" w:sz="0" w:space="0" w:color="auto"/>
            <w:bottom w:val="none" w:sz="0" w:space="0" w:color="auto"/>
            <w:right w:val="none" w:sz="0" w:space="0" w:color="auto"/>
          </w:divBdr>
          <w:divsChild>
            <w:div w:id="1160536732">
              <w:marLeft w:val="0"/>
              <w:marRight w:val="0"/>
              <w:marTop w:val="0"/>
              <w:marBottom w:val="0"/>
              <w:divBdr>
                <w:top w:val="none" w:sz="0" w:space="0" w:color="auto"/>
                <w:left w:val="none" w:sz="0" w:space="0" w:color="auto"/>
                <w:bottom w:val="none" w:sz="0" w:space="0" w:color="auto"/>
                <w:right w:val="none" w:sz="0" w:space="0" w:color="auto"/>
              </w:divBdr>
              <w:divsChild>
                <w:div w:id="7106076">
                  <w:marLeft w:val="-225"/>
                  <w:marRight w:val="-225"/>
                  <w:marTop w:val="0"/>
                  <w:marBottom w:val="0"/>
                  <w:divBdr>
                    <w:top w:val="none" w:sz="0" w:space="0" w:color="auto"/>
                    <w:left w:val="none" w:sz="0" w:space="0" w:color="auto"/>
                    <w:bottom w:val="none" w:sz="0" w:space="0" w:color="auto"/>
                    <w:right w:val="none" w:sz="0" w:space="0" w:color="auto"/>
                  </w:divBdr>
                  <w:divsChild>
                    <w:div w:id="75908337">
                      <w:marLeft w:val="0"/>
                      <w:marRight w:val="0"/>
                      <w:marTop w:val="0"/>
                      <w:marBottom w:val="0"/>
                      <w:divBdr>
                        <w:top w:val="none" w:sz="0" w:space="0" w:color="auto"/>
                        <w:left w:val="none" w:sz="0" w:space="0" w:color="auto"/>
                        <w:bottom w:val="none" w:sz="0" w:space="0" w:color="auto"/>
                        <w:right w:val="none" w:sz="0" w:space="0" w:color="auto"/>
                      </w:divBdr>
                      <w:divsChild>
                        <w:div w:id="214051196">
                          <w:marLeft w:val="-225"/>
                          <w:marRight w:val="-225"/>
                          <w:marTop w:val="0"/>
                          <w:marBottom w:val="0"/>
                          <w:divBdr>
                            <w:top w:val="none" w:sz="0" w:space="0" w:color="auto"/>
                            <w:left w:val="none" w:sz="0" w:space="0" w:color="auto"/>
                            <w:bottom w:val="none" w:sz="0" w:space="0" w:color="auto"/>
                            <w:right w:val="none" w:sz="0" w:space="0" w:color="auto"/>
                          </w:divBdr>
                          <w:divsChild>
                            <w:div w:id="667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283647">
      <w:bodyDiv w:val="1"/>
      <w:marLeft w:val="0"/>
      <w:marRight w:val="0"/>
      <w:marTop w:val="0"/>
      <w:marBottom w:val="0"/>
      <w:divBdr>
        <w:top w:val="none" w:sz="0" w:space="0" w:color="auto"/>
        <w:left w:val="none" w:sz="0" w:space="0" w:color="auto"/>
        <w:bottom w:val="none" w:sz="0" w:space="0" w:color="auto"/>
        <w:right w:val="none" w:sz="0" w:space="0" w:color="auto"/>
      </w:divBdr>
    </w:div>
    <w:div w:id="1247686322">
      <w:bodyDiv w:val="1"/>
      <w:marLeft w:val="0"/>
      <w:marRight w:val="0"/>
      <w:marTop w:val="0"/>
      <w:marBottom w:val="0"/>
      <w:divBdr>
        <w:top w:val="none" w:sz="0" w:space="0" w:color="auto"/>
        <w:left w:val="none" w:sz="0" w:space="0" w:color="auto"/>
        <w:bottom w:val="none" w:sz="0" w:space="0" w:color="auto"/>
        <w:right w:val="none" w:sz="0" w:space="0" w:color="auto"/>
      </w:divBdr>
    </w:div>
    <w:div w:id="1277785564">
      <w:bodyDiv w:val="1"/>
      <w:marLeft w:val="0"/>
      <w:marRight w:val="0"/>
      <w:marTop w:val="0"/>
      <w:marBottom w:val="0"/>
      <w:divBdr>
        <w:top w:val="none" w:sz="0" w:space="0" w:color="auto"/>
        <w:left w:val="none" w:sz="0" w:space="0" w:color="auto"/>
        <w:bottom w:val="none" w:sz="0" w:space="0" w:color="auto"/>
        <w:right w:val="none" w:sz="0" w:space="0" w:color="auto"/>
      </w:divBdr>
    </w:div>
    <w:div w:id="1278564693">
      <w:bodyDiv w:val="1"/>
      <w:marLeft w:val="0"/>
      <w:marRight w:val="0"/>
      <w:marTop w:val="0"/>
      <w:marBottom w:val="0"/>
      <w:divBdr>
        <w:top w:val="none" w:sz="0" w:space="0" w:color="auto"/>
        <w:left w:val="none" w:sz="0" w:space="0" w:color="auto"/>
        <w:bottom w:val="none" w:sz="0" w:space="0" w:color="auto"/>
        <w:right w:val="none" w:sz="0" w:space="0" w:color="auto"/>
      </w:divBdr>
    </w:div>
    <w:div w:id="1339311946">
      <w:bodyDiv w:val="1"/>
      <w:marLeft w:val="0"/>
      <w:marRight w:val="0"/>
      <w:marTop w:val="0"/>
      <w:marBottom w:val="0"/>
      <w:divBdr>
        <w:top w:val="none" w:sz="0" w:space="0" w:color="auto"/>
        <w:left w:val="none" w:sz="0" w:space="0" w:color="auto"/>
        <w:bottom w:val="none" w:sz="0" w:space="0" w:color="auto"/>
        <w:right w:val="none" w:sz="0" w:space="0" w:color="auto"/>
      </w:divBdr>
    </w:div>
    <w:div w:id="1540358455">
      <w:bodyDiv w:val="1"/>
      <w:marLeft w:val="0"/>
      <w:marRight w:val="0"/>
      <w:marTop w:val="0"/>
      <w:marBottom w:val="0"/>
      <w:divBdr>
        <w:top w:val="none" w:sz="0" w:space="0" w:color="auto"/>
        <w:left w:val="none" w:sz="0" w:space="0" w:color="auto"/>
        <w:bottom w:val="none" w:sz="0" w:space="0" w:color="auto"/>
        <w:right w:val="none" w:sz="0" w:space="0" w:color="auto"/>
      </w:divBdr>
    </w:div>
    <w:div w:id="1629554068">
      <w:bodyDiv w:val="1"/>
      <w:marLeft w:val="0"/>
      <w:marRight w:val="0"/>
      <w:marTop w:val="0"/>
      <w:marBottom w:val="0"/>
      <w:divBdr>
        <w:top w:val="none" w:sz="0" w:space="0" w:color="auto"/>
        <w:left w:val="none" w:sz="0" w:space="0" w:color="auto"/>
        <w:bottom w:val="none" w:sz="0" w:space="0" w:color="auto"/>
        <w:right w:val="none" w:sz="0" w:space="0" w:color="auto"/>
      </w:divBdr>
    </w:div>
    <w:div w:id="1770468747">
      <w:bodyDiv w:val="1"/>
      <w:marLeft w:val="0"/>
      <w:marRight w:val="0"/>
      <w:marTop w:val="0"/>
      <w:marBottom w:val="0"/>
      <w:divBdr>
        <w:top w:val="none" w:sz="0" w:space="0" w:color="auto"/>
        <w:left w:val="none" w:sz="0" w:space="0" w:color="auto"/>
        <w:bottom w:val="none" w:sz="0" w:space="0" w:color="auto"/>
        <w:right w:val="none" w:sz="0" w:space="0" w:color="auto"/>
      </w:divBdr>
    </w:div>
    <w:div w:id="1781215003">
      <w:bodyDiv w:val="1"/>
      <w:marLeft w:val="0"/>
      <w:marRight w:val="0"/>
      <w:marTop w:val="0"/>
      <w:marBottom w:val="0"/>
      <w:divBdr>
        <w:top w:val="none" w:sz="0" w:space="0" w:color="auto"/>
        <w:left w:val="none" w:sz="0" w:space="0" w:color="auto"/>
        <w:bottom w:val="none" w:sz="0" w:space="0" w:color="auto"/>
        <w:right w:val="none" w:sz="0" w:space="0" w:color="auto"/>
      </w:divBdr>
    </w:div>
    <w:div w:id="1867984912">
      <w:bodyDiv w:val="1"/>
      <w:marLeft w:val="0"/>
      <w:marRight w:val="0"/>
      <w:marTop w:val="0"/>
      <w:marBottom w:val="0"/>
      <w:divBdr>
        <w:top w:val="none" w:sz="0" w:space="0" w:color="auto"/>
        <w:left w:val="none" w:sz="0" w:space="0" w:color="auto"/>
        <w:bottom w:val="none" w:sz="0" w:space="0" w:color="auto"/>
        <w:right w:val="none" w:sz="0" w:space="0" w:color="auto"/>
      </w:divBdr>
    </w:div>
    <w:div w:id="2022395776">
      <w:bodyDiv w:val="1"/>
      <w:marLeft w:val="0"/>
      <w:marRight w:val="0"/>
      <w:marTop w:val="0"/>
      <w:marBottom w:val="0"/>
      <w:divBdr>
        <w:top w:val="none" w:sz="0" w:space="0" w:color="auto"/>
        <w:left w:val="none" w:sz="0" w:space="0" w:color="auto"/>
        <w:bottom w:val="none" w:sz="0" w:space="0" w:color="auto"/>
        <w:right w:val="none" w:sz="0" w:space="0" w:color="auto"/>
      </w:divBdr>
    </w:div>
    <w:div w:id="20603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hyperlink" Target="https://www.health.belgium.be/fr/sante%20/organisation-des-soins-de-sante/hopitaux%20/financement-des-hopitaux/hopitaux"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97C67016E644396949FDC28EF30E0" ma:contentTypeVersion="12" ma:contentTypeDescription="Create a new document." ma:contentTypeScope="" ma:versionID="384094dcb5f3c3317f0facf67b278270">
  <xsd:schema xmlns:xsd="http://www.w3.org/2001/XMLSchema" xmlns:xs="http://www.w3.org/2001/XMLSchema" xmlns:p="http://schemas.microsoft.com/office/2006/metadata/properties" xmlns:ns3="808373cd-e3be-41b3-86b0-5e2a4464296c" xmlns:ns4="714f35ae-4177-4eec-94b2-0ac536156453" targetNamespace="http://schemas.microsoft.com/office/2006/metadata/properties" ma:root="true" ma:fieldsID="98a8c829452dd7e4f8e12e8fd40baaa5" ns3:_="" ns4:_="">
    <xsd:import namespace="808373cd-e3be-41b3-86b0-5e2a4464296c"/>
    <xsd:import namespace="714f35ae-4177-4eec-94b2-0ac5361564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373cd-e3be-41b3-86b0-5e2a446429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35ae-4177-4eec-94b2-0ac5361564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2C16F-9803-4381-91E7-606935587814}">
  <ds:schemaRefs>
    <ds:schemaRef ds:uri="http://schemas.microsoft.com/sharepoint/v3/contenttype/forms"/>
  </ds:schemaRefs>
</ds:datastoreItem>
</file>

<file path=customXml/itemProps2.xml><?xml version="1.0" encoding="utf-8"?>
<ds:datastoreItem xmlns:ds="http://schemas.openxmlformats.org/officeDocument/2006/customXml" ds:itemID="{47B05B79-2490-40E5-80B1-4E474C09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373cd-e3be-41b3-86b0-5e2a4464296c"/>
    <ds:schemaRef ds:uri="714f35ae-4177-4eec-94b2-0ac53615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FD25B-1B73-4D9A-B264-5586CE1E91B1}">
  <ds:schemaRefs>
    <ds:schemaRef ds:uri="http://schemas.openxmlformats.org/officeDocument/2006/bibliography"/>
  </ds:schemaRefs>
</ds:datastoreItem>
</file>

<file path=customXml/itemProps4.xml><?xml version="1.0" encoding="utf-8"?>
<ds:datastoreItem xmlns:ds="http://schemas.openxmlformats.org/officeDocument/2006/customXml" ds:itemID="{08698C8D-6B6E-425B-820E-F65662756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6619</Words>
  <Characters>36407</Characters>
  <Application>Microsoft Office Word</Application>
  <DocSecurity>0</DocSecurity>
  <Lines>303</Lines>
  <Paragraphs>85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Casselman Kristien</dc:creator>
  <cp:keywords/>
  <dc:description/>
  <cp:lastModifiedBy>Decoster Elke</cp:lastModifiedBy>
  <cp:revision>4</cp:revision>
  <dcterms:created xsi:type="dcterms:W3CDTF">2021-03-31T12:43:00Z</dcterms:created>
  <dcterms:modified xsi:type="dcterms:W3CDTF">2021-03-31T12:44:00Z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0x0101005EF97C67016E644396949FDC28EF30E0</vt:lpwstr>
  </property>
</Properties>
</file>