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40214" w14:textId="2F04632A" w:rsidR="00C24361" w:rsidRPr="00955EF8" w:rsidRDefault="00262477">
      <w:pPr>
        <w:jc w:val="both"/>
        <w:rPr>
          <w:b/>
          <w:color w:val="385623" w:themeColor="accent6" w:themeShade="80"/>
          <w:sz w:val="28"/>
          <w:szCs w:val="28"/>
          <w:lang w:val="fr-BE"/>
        </w:rPr>
      </w:pPr>
      <w:r w:rsidRPr="00955EF8">
        <w:rPr>
          <w:b/>
          <w:color w:val="385623" w:themeColor="accent6" w:themeShade="80"/>
          <w:sz w:val="28"/>
          <w:szCs w:val="28"/>
          <w:lang w:val="fr-BE"/>
        </w:rPr>
        <w:t>Lignes directrices pour la mise en œuvre de l’arrêté royal relatif aux matériaux et objets en métal et en alliage destinés à être mis en contact avec des denrées alimentaires.</w:t>
      </w:r>
    </w:p>
    <w:p w14:paraId="65BAF999" w14:textId="2FAA7B61" w:rsidR="00C24361" w:rsidRPr="007A2892" w:rsidRDefault="00C24361">
      <w:pPr>
        <w:jc w:val="both"/>
        <w:rPr>
          <w:lang w:val="fr-BE"/>
        </w:rPr>
      </w:pPr>
    </w:p>
    <w:p w14:paraId="3A4C0544" w14:textId="01F8F018" w:rsidR="00C24361" w:rsidRPr="007A2892" w:rsidRDefault="00262477">
      <w:pPr>
        <w:jc w:val="both"/>
        <w:rPr>
          <w:lang w:val="fr-BE"/>
        </w:rPr>
      </w:pPr>
      <w:r w:rsidRPr="007A2892">
        <w:rPr>
          <w:lang w:val="fr-BE"/>
        </w:rPr>
        <w:t>Il s’agit d’un document évolutif qui sera adapté sur la base de l’expérience, des questions fréquemment posées et des études scientifiques nouvelles.</w:t>
      </w:r>
    </w:p>
    <w:p w14:paraId="5A8BDB60" w14:textId="39186103" w:rsidR="00C24361" w:rsidRPr="00955EF8" w:rsidRDefault="00262477" w:rsidP="00955EF8">
      <w:pPr>
        <w:pStyle w:val="Titre1"/>
        <w:rPr>
          <w:rFonts w:asciiTheme="minorHAnsi" w:eastAsiaTheme="minorHAnsi" w:hAnsiTheme="minorHAnsi" w:cstheme="minorBidi"/>
          <w:color w:val="auto"/>
          <w:sz w:val="22"/>
          <w:szCs w:val="22"/>
          <w:lang w:val="fr-BE"/>
        </w:rPr>
      </w:pPr>
      <w:bookmarkStart w:id="0" w:name="_Toc66377237"/>
      <w:r w:rsidRPr="00955EF8">
        <w:rPr>
          <w:rFonts w:asciiTheme="minorHAnsi" w:eastAsiaTheme="minorHAnsi" w:hAnsiTheme="minorHAnsi" w:cstheme="minorBidi"/>
          <w:color w:val="auto"/>
          <w:sz w:val="22"/>
          <w:szCs w:val="22"/>
          <w:lang w:val="fr-BE"/>
        </w:rPr>
        <w:t>Élaboré par: Service public fédéral de la santé, de la sécurité de la chaîne alimentaire et de l’environnement</w:t>
      </w:r>
      <w:bookmarkEnd w:id="0"/>
    </w:p>
    <w:p w14:paraId="05482855" w14:textId="71EC5C65" w:rsidR="00C24361" w:rsidRPr="007A2892" w:rsidRDefault="00262477">
      <w:pPr>
        <w:jc w:val="both"/>
        <w:rPr>
          <w:lang w:val="fr-BE"/>
        </w:rPr>
      </w:pPr>
      <w:r w:rsidRPr="007A2892">
        <w:rPr>
          <w:lang w:val="fr-BE"/>
        </w:rPr>
        <w:t>Publié le</w:t>
      </w:r>
      <w:r w:rsidR="004B0648">
        <w:rPr>
          <w:lang w:val="fr-BE"/>
        </w:rPr>
        <w:t xml:space="preserve"> 15</w:t>
      </w:r>
      <w:r w:rsidRPr="007A2892">
        <w:rPr>
          <w:lang w:val="fr-BE"/>
        </w:rPr>
        <w:t xml:space="preserve"> </w:t>
      </w:r>
      <w:r w:rsidR="00955EF8">
        <w:rPr>
          <w:lang w:val="fr-BE"/>
        </w:rPr>
        <w:t>mars 2021</w:t>
      </w:r>
    </w:p>
    <w:p w14:paraId="5C39E487" w14:textId="30AD3C5E" w:rsidR="00C24361" w:rsidRPr="007A2892" w:rsidRDefault="00262477">
      <w:pPr>
        <w:jc w:val="both"/>
        <w:rPr>
          <w:lang w:val="fr-BE"/>
        </w:rPr>
      </w:pPr>
      <w:r w:rsidRPr="007A2892">
        <w:rPr>
          <w:lang w:val="fr-BE"/>
        </w:rPr>
        <w:t xml:space="preserve">Version </w:t>
      </w:r>
      <w:r w:rsidR="007A2892">
        <w:rPr>
          <w:lang w:val="fr-BE"/>
        </w:rPr>
        <w:t>1.0</w:t>
      </w:r>
    </w:p>
    <w:p w14:paraId="3304F9FB" w14:textId="7D3B8D08" w:rsidR="00C24361" w:rsidRPr="007A2892" w:rsidRDefault="00C24361">
      <w:pPr>
        <w:jc w:val="both"/>
        <w:rPr>
          <w:lang w:val="fr-BE"/>
        </w:rPr>
      </w:pPr>
    </w:p>
    <w:sdt>
      <w:sdtPr>
        <w:rPr>
          <w:rFonts w:asciiTheme="minorHAnsi" w:eastAsiaTheme="minorHAnsi" w:hAnsiTheme="minorHAnsi" w:cstheme="minorBidi"/>
          <w:color w:val="auto"/>
          <w:sz w:val="22"/>
          <w:szCs w:val="22"/>
          <w:lang w:val="nl-NL"/>
        </w:rPr>
        <w:id w:val="-9759936"/>
        <w:docPartObj>
          <w:docPartGallery w:val="Table of Contents"/>
          <w:docPartUnique/>
        </w:docPartObj>
      </w:sdtPr>
      <w:sdtEndPr>
        <w:rPr>
          <w:b/>
          <w:bCs/>
        </w:rPr>
      </w:sdtEndPr>
      <w:sdtContent>
        <w:p w14:paraId="30DFE254" w14:textId="4179FB9A" w:rsidR="00C24361" w:rsidRPr="007A2892" w:rsidRDefault="00262477">
          <w:pPr>
            <w:pStyle w:val="En-ttedetabledesmatires"/>
            <w:jc w:val="both"/>
            <w:rPr>
              <w:lang w:val="fr-BE"/>
            </w:rPr>
          </w:pPr>
          <w:r w:rsidRPr="007A2892">
            <w:rPr>
              <w:lang w:val="fr-BE"/>
            </w:rPr>
            <w:t>Table des matières</w:t>
          </w:r>
        </w:p>
        <w:p w14:paraId="4FB81929" w14:textId="32A41928" w:rsidR="00955EF8" w:rsidRDefault="0019264E">
          <w:pPr>
            <w:pStyle w:val="TM1"/>
            <w:rPr>
              <w:rFonts w:eastAsiaTheme="minorEastAsia"/>
              <w:noProof/>
            </w:rPr>
          </w:pPr>
          <w:r w:rsidRPr="001657C0">
            <w:fldChar w:fldCharType="begin"/>
          </w:r>
          <w:r w:rsidR="00262477" w:rsidRPr="001657C0">
            <w:instrText xml:space="preserve"> TOC \o "1-5" \h \z \u </w:instrText>
          </w:r>
          <w:r w:rsidRPr="001657C0">
            <w:fldChar w:fldCharType="separate"/>
          </w:r>
          <w:hyperlink w:anchor="_Toc66377237" w:history="1">
            <w:r w:rsidR="00955EF8" w:rsidRPr="000A348E">
              <w:rPr>
                <w:rStyle w:val="Lienhypertexte"/>
                <w:noProof/>
                <w:lang w:val="fr-BE"/>
              </w:rPr>
              <w:t>Élaboré par: Service public fédéral de la santé, de la sécurité de la chaîne alimentaire et de l’environnement</w:t>
            </w:r>
            <w:r w:rsidR="00955EF8">
              <w:rPr>
                <w:noProof/>
                <w:webHidden/>
              </w:rPr>
              <w:tab/>
            </w:r>
            <w:r w:rsidR="00955EF8">
              <w:rPr>
                <w:noProof/>
                <w:webHidden/>
              </w:rPr>
              <w:fldChar w:fldCharType="begin"/>
            </w:r>
            <w:r w:rsidR="00955EF8">
              <w:rPr>
                <w:noProof/>
                <w:webHidden/>
              </w:rPr>
              <w:instrText xml:space="preserve"> PAGEREF _Toc66377237 \h </w:instrText>
            </w:r>
            <w:r w:rsidR="00955EF8">
              <w:rPr>
                <w:noProof/>
                <w:webHidden/>
              </w:rPr>
            </w:r>
            <w:r w:rsidR="00955EF8">
              <w:rPr>
                <w:noProof/>
                <w:webHidden/>
              </w:rPr>
              <w:fldChar w:fldCharType="separate"/>
            </w:r>
            <w:r w:rsidR="00955EF8">
              <w:rPr>
                <w:noProof/>
                <w:webHidden/>
              </w:rPr>
              <w:t>1</w:t>
            </w:r>
            <w:r w:rsidR="00955EF8">
              <w:rPr>
                <w:noProof/>
                <w:webHidden/>
              </w:rPr>
              <w:fldChar w:fldCharType="end"/>
            </w:r>
          </w:hyperlink>
        </w:p>
        <w:p w14:paraId="64AA18C0" w14:textId="5701DDD2" w:rsidR="00955EF8" w:rsidRDefault="004B0648">
          <w:pPr>
            <w:pStyle w:val="TM1"/>
            <w:rPr>
              <w:rFonts w:eastAsiaTheme="minorEastAsia"/>
              <w:noProof/>
            </w:rPr>
          </w:pPr>
          <w:hyperlink w:anchor="_Toc66377238" w:history="1">
            <w:r w:rsidR="00955EF8" w:rsidRPr="000A348E">
              <w:rPr>
                <w:rStyle w:val="Lienhypertexte"/>
                <w:noProof/>
              </w:rPr>
              <w:t>1.</w:t>
            </w:r>
            <w:r w:rsidR="00955EF8">
              <w:rPr>
                <w:rFonts w:eastAsiaTheme="minorEastAsia"/>
                <w:noProof/>
              </w:rPr>
              <w:tab/>
            </w:r>
            <w:r w:rsidR="00955EF8" w:rsidRPr="000A348E">
              <w:rPr>
                <w:rStyle w:val="Lienhypertexte"/>
                <w:noProof/>
              </w:rPr>
              <w:t>Introduction</w:t>
            </w:r>
            <w:r w:rsidR="00955EF8">
              <w:rPr>
                <w:noProof/>
                <w:webHidden/>
              </w:rPr>
              <w:tab/>
            </w:r>
            <w:r w:rsidR="00955EF8">
              <w:rPr>
                <w:noProof/>
                <w:webHidden/>
              </w:rPr>
              <w:fldChar w:fldCharType="begin"/>
            </w:r>
            <w:r w:rsidR="00955EF8">
              <w:rPr>
                <w:noProof/>
                <w:webHidden/>
              </w:rPr>
              <w:instrText xml:space="preserve"> PAGEREF _Toc66377238 \h </w:instrText>
            </w:r>
            <w:r w:rsidR="00955EF8">
              <w:rPr>
                <w:noProof/>
                <w:webHidden/>
              </w:rPr>
            </w:r>
            <w:r w:rsidR="00955EF8">
              <w:rPr>
                <w:noProof/>
                <w:webHidden/>
              </w:rPr>
              <w:fldChar w:fldCharType="separate"/>
            </w:r>
            <w:r w:rsidR="00955EF8">
              <w:rPr>
                <w:noProof/>
                <w:webHidden/>
              </w:rPr>
              <w:t>2</w:t>
            </w:r>
            <w:r w:rsidR="00955EF8">
              <w:rPr>
                <w:noProof/>
                <w:webHidden/>
              </w:rPr>
              <w:fldChar w:fldCharType="end"/>
            </w:r>
          </w:hyperlink>
        </w:p>
        <w:p w14:paraId="6C847C4D" w14:textId="24E2710A" w:rsidR="00955EF8" w:rsidRDefault="004B0648">
          <w:pPr>
            <w:pStyle w:val="TM1"/>
            <w:rPr>
              <w:rFonts w:eastAsiaTheme="minorEastAsia"/>
              <w:noProof/>
            </w:rPr>
          </w:pPr>
          <w:hyperlink w:anchor="_Toc66377239" w:history="1">
            <w:r w:rsidR="00955EF8" w:rsidRPr="000A348E">
              <w:rPr>
                <w:rStyle w:val="Lienhypertexte"/>
                <w:noProof/>
              </w:rPr>
              <w:t>2.</w:t>
            </w:r>
            <w:r w:rsidR="00955EF8">
              <w:rPr>
                <w:rFonts w:eastAsiaTheme="minorEastAsia"/>
                <w:noProof/>
              </w:rPr>
              <w:tab/>
            </w:r>
            <w:r w:rsidR="00955EF8" w:rsidRPr="000A348E">
              <w:rPr>
                <w:rStyle w:val="Lienhypertexte"/>
                <w:noProof/>
              </w:rPr>
              <w:t>Champs d ’application</w:t>
            </w:r>
            <w:r w:rsidR="00955EF8">
              <w:rPr>
                <w:noProof/>
                <w:webHidden/>
              </w:rPr>
              <w:tab/>
            </w:r>
            <w:r w:rsidR="00955EF8">
              <w:rPr>
                <w:noProof/>
                <w:webHidden/>
              </w:rPr>
              <w:fldChar w:fldCharType="begin"/>
            </w:r>
            <w:r w:rsidR="00955EF8">
              <w:rPr>
                <w:noProof/>
                <w:webHidden/>
              </w:rPr>
              <w:instrText xml:space="preserve"> PAGEREF _Toc66377239 \h </w:instrText>
            </w:r>
            <w:r w:rsidR="00955EF8">
              <w:rPr>
                <w:noProof/>
                <w:webHidden/>
              </w:rPr>
            </w:r>
            <w:r w:rsidR="00955EF8">
              <w:rPr>
                <w:noProof/>
                <w:webHidden/>
              </w:rPr>
              <w:fldChar w:fldCharType="separate"/>
            </w:r>
            <w:r w:rsidR="00955EF8">
              <w:rPr>
                <w:noProof/>
                <w:webHidden/>
              </w:rPr>
              <w:t>3</w:t>
            </w:r>
            <w:r w:rsidR="00955EF8">
              <w:rPr>
                <w:noProof/>
                <w:webHidden/>
              </w:rPr>
              <w:fldChar w:fldCharType="end"/>
            </w:r>
          </w:hyperlink>
        </w:p>
        <w:p w14:paraId="31A18E29" w14:textId="7D5F3FB4" w:rsidR="00955EF8" w:rsidRDefault="004B0648">
          <w:pPr>
            <w:pStyle w:val="TM2"/>
            <w:tabs>
              <w:tab w:val="left" w:pos="880"/>
              <w:tab w:val="right" w:leader="dot" w:pos="9350"/>
            </w:tabs>
            <w:rPr>
              <w:rFonts w:eastAsiaTheme="minorEastAsia"/>
              <w:noProof/>
            </w:rPr>
          </w:pPr>
          <w:hyperlink w:anchor="_Toc66377240" w:history="1">
            <w:r w:rsidR="00955EF8" w:rsidRPr="000A348E">
              <w:rPr>
                <w:rStyle w:val="Lienhypertexte"/>
                <w:noProof/>
              </w:rPr>
              <w:t>2.1.</w:t>
            </w:r>
            <w:r w:rsidR="00955EF8">
              <w:rPr>
                <w:rFonts w:eastAsiaTheme="minorEastAsia"/>
                <w:noProof/>
              </w:rPr>
              <w:tab/>
            </w:r>
            <w:r w:rsidR="00955EF8" w:rsidRPr="000A348E">
              <w:rPr>
                <w:rStyle w:val="Lienhypertexte"/>
                <w:noProof/>
              </w:rPr>
              <w:t>L’arrêté royal s’applique:</w:t>
            </w:r>
            <w:r w:rsidR="00955EF8">
              <w:rPr>
                <w:noProof/>
                <w:webHidden/>
              </w:rPr>
              <w:tab/>
            </w:r>
            <w:r w:rsidR="00955EF8">
              <w:rPr>
                <w:noProof/>
                <w:webHidden/>
              </w:rPr>
              <w:fldChar w:fldCharType="begin"/>
            </w:r>
            <w:r w:rsidR="00955EF8">
              <w:rPr>
                <w:noProof/>
                <w:webHidden/>
              </w:rPr>
              <w:instrText xml:space="preserve"> PAGEREF _Toc66377240 \h </w:instrText>
            </w:r>
            <w:r w:rsidR="00955EF8">
              <w:rPr>
                <w:noProof/>
                <w:webHidden/>
              </w:rPr>
            </w:r>
            <w:r w:rsidR="00955EF8">
              <w:rPr>
                <w:noProof/>
                <w:webHidden/>
              </w:rPr>
              <w:fldChar w:fldCharType="separate"/>
            </w:r>
            <w:r w:rsidR="00955EF8">
              <w:rPr>
                <w:noProof/>
                <w:webHidden/>
              </w:rPr>
              <w:t>3</w:t>
            </w:r>
            <w:r w:rsidR="00955EF8">
              <w:rPr>
                <w:noProof/>
                <w:webHidden/>
              </w:rPr>
              <w:fldChar w:fldCharType="end"/>
            </w:r>
          </w:hyperlink>
        </w:p>
        <w:p w14:paraId="1DD77BDC" w14:textId="275562B6" w:rsidR="00955EF8" w:rsidRDefault="004B0648">
          <w:pPr>
            <w:pStyle w:val="TM2"/>
            <w:tabs>
              <w:tab w:val="left" w:pos="880"/>
              <w:tab w:val="right" w:leader="dot" w:pos="9350"/>
            </w:tabs>
            <w:rPr>
              <w:rFonts w:eastAsiaTheme="minorEastAsia"/>
              <w:noProof/>
            </w:rPr>
          </w:pPr>
          <w:hyperlink w:anchor="_Toc66377241" w:history="1">
            <w:r w:rsidR="00955EF8" w:rsidRPr="000A348E">
              <w:rPr>
                <w:rStyle w:val="Lienhypertexte"/>
                <w:noProof/>
                <w:lang w:val="fr-BE"/>
              </w:rPr>
              <w:t>2.2.</w:t>
            </w:r>
            <w:r w:rsidR="00955EF8">
              <w:rPr>
                <w:rFonts w:eastAsiaTheme="minorEastAsia"/>
                <w:noProof/>
              </w:rPr>
              <w:tab/>
            </w:r>
            <w:r w:rsidR="00955EF8" w:rsidRPr="000A348E">
              <w:rPr>
                <w:rStyle w:val="Lienhypertexte"/>
                <w:noProof/>
                <w:lang w:val="fr-BE"/>
              </w:rPr>
              <w:t>L’arrêté royal ne s’applique pas:</w:t>
            </w:r>
            <w:r w:rsidR="00955EF8">
              <w:rPr>
                <w:noProof/>
                <w:webHidden/>
              </w:rPr>
              <w:tab/>
            </w:r>
            <w:r w:rsidR="00955EF8">
              <w:rPr>
                <w:noProof/>
                <w:webHidden/>
              </w:rPr>
              <w:fldChar w:fldCharType="begin"/>
            </w:r>
            <w:r w:rsidR="00955EF8">
              <w:rPr>
                <w:noProof/>
                <w:webHidden/>
              </w:rPr>
              <w:instrText xml:space="preserve"> PAGEREF _Toc66377241 \h </w:instrText>
            </w:r>
            <w:r w:rsidR="00955EF8">
              <w:rPr>
                <w:noProof/>
                <w:webHidden/>
              </w:rPr>
            </w:r>
            <w:r w:rsidR="00955EF8">
              <w:rPr>
                <w:noProof/>
                <w:webHidden/>
              </w:rPr>
              <w:fldChar w:fldCharType="separate"/>
            </w:r>
            <w:r w:rsidR="00955EF8">
              <w:rPr>
                <w:noProof/>
                <w:webHidden/>
              </w:rPr>
              <w:t>3</w:t>
            </w:r>
            <w:r w:rsidR="00955EF8">
              <w:rPr>
                <w:noProof/>
                <w:webHidden/>
              </w:rPr>
              <w:fldChar w:fldCharType="end"/>
            </w:r>
          </w:hyperlink>
        </w:p>
        <w:p w14:paraId="6EB76CE7" w14:textId="760DA5D2" w:rsidR="00955EF8" w:rsidRDefault="004B0648">
          <w:pPr>
            <w:pStyle w:val="TM2"/>
            <w:tabs>
              <w:tab w:val="left" w:pos="880"/>
              <w:tab w:val="right" w:leader="dot" w:pos="9350"/>
            </w:tabs>
            <w:rPr>
              <w:rFonts w:eastAsiaTheme="minorEastAsia"/>
              <w:noProof/>
            </w:rPr>
          </w:pPr>
          <w:hyperlink w:anchor="_Toc66377242" w:history="1">
            <w:r w:rsidR="00955EF8" w:rsidRPr="000A348E">
              <w:rPr>
                <w:rStyle w:val="Lienhypertexte"/>
                <w:noProof/>
              </w:rPr>
              <w:t>2.3.</w:t>
            </w:r>
            <w:r w:rsidR="00955EF8">
              <w:rPr>
                <w:rFonts w:eastAsiaTheme="minorEastAsia"/>
                <w:noProof/>
              </w:rPr>
              <w:tab/>
            </w:r>
            <w:r w:rsidR="00955EF8" w:rsidRPr="000A348E">
              <w:rPr>
                <w:rStyle w:val="Lienhypertexte"/>
                <w:noProof/>
              </w:rPr>
              <w:t>Produits seconde main</w:t>
            </w:r>
            <w:r w:rsidR="00955EF8">
              <w:rPr>
                <w:noProof/>
                <w:webHidden/>
              </w:rPr>
              <w:tab/>
            </w:r>
            <w:r w:rsidR="00955EF8">
              <w:rPr>
                <w:noProof/>
                <w:webHidden/>
              </w:rPr>
              <w:fldChar w:fldCharType="begin"/>
            </w:r>
            <w:r w:rsidR="00955EF8">
              <w:rPr>
                <w:noProof/>
                <w:webHidden/>
              </w:rPr>
              <w:instrText xml:space="preserve"> PAGEREF _Toc66377242 \h </w:instrText>
            </w:r>
            <w:r w:rsidR="00955EF8">
              <w:rPr>
                <w:noProof/>
                <w:webHidden/>
              </w:rPr>
            </w:r>
            <w:r w:rsidR="00955EF8">
              <w:rPr>
                <w:noProof/>
                <w:webHidden/>
              </w:rPr>
              <w:fldChar w:fldCharType="separate"/>
            </w:r>
            <w:r w:rsidR="00955EF8">
              <w:rPr>
                <w:noProof/>
                <w:webHidden/>
              </w:rPr>
              <w:t>3</w:t>
            </w:r>
            <w:r w:rsidR="00955EF8">
              <w:rPr>
                <w:noProof/>
                <w:webHidden/>
              </w:rPr>
              <w:fldChar w:fldCharType="end"/>
            </w:r>
          </w:hyperlink>
        </w:p>
        <w:p w14:paraId="0DD9CCC9" w14:textId="713788C2" w:rsidR="00955EF8" w:rsidRDefault="004B0648">
          <w:pPr>
            <w:pStyle w:val="TM1"/>
            <w:rPr>
              <w:rFonts w:eastAsiaTheme="minorEastAsia"/>
              <w:noProof/>
            </w:rPr>
          </w:pPr>
          <w:hyperlink w:anchor="_Toc66377243" w:history="1">
            <w:r w:rsidR="00955EF8" w:rsidRPr="000A348E">
              <w:rPr>
                <w:rStyle w:val="Lienhypertexte"/>
                <w:noProof/>
              </w:rPr>
              <w:t>3.</w:t>
            </w:r>
            <w:r w:rsidR="00955EF8">
              <w:rPr>
                <w:rFonts w:eastAsiaTheme="minorEastAsia"/>
                <w:noProof/>
              </w:rPr>
              <w:tab/>
            </w:r>
            <w:r w:rsidR="00955EF8" w:rsidRPr="000A348E">
              <w:rPr>
                <w:rStyle w:val="Lienhypertexte"/>
                <w:noProof/>
              </w:rPr>
              <w:t>Définitions</w:t>
            </w:r>
            <w:r w:rsidR="00955EF8">
              <w:rPr>
                <w:noProof/>
                <w:webHidden/>
              </w:rPr>
              <w:tab/>
            </w:r>
            <w:r w:rsidR="00955EF8">
              <w:rPr>
                <w:noProof/>
                <w:webHidden/>
              </w:rPr>
              <w:fldChar w:fldCharType="begin"/>
            </w:r>
            <w:r w:rsidR="00955EF8">
              <w:rPr>
                <w:noProof/>
                <w:webHidden/>
              </w:rPr>
              <w:instrText xml:space="preserve"> PAGEREF _Toc66377243 \h </w:instrText>
            </w:r>
            <w:r w:rsidR="00955EF8">
              <w:rPr>
                <w:noProof/>
                <w:webHidden/>
              </w:rPr>
            </w:r>
            <w:r w:rsidR="00955EF8">
              <w:rPr>
                <w:noProof/>
                <w:webHidden/>
              </w:rPr>
              <w:fldChar w:fldCharType="separate"/>
            </w:r>
            <w:r w:rsidR="00955EF8">
              <w:rPr>
                <w:noProof/>
                <w:webHidden/>
              </w:rPr>
              <w:t>4</w:t>
            </w:r>
            <w:r w:rsidR="00955EF8">
              <w:rPr>
                <w:noProof/>
                <w:webHidden/>
              </w:rPr>
              <w:fldChar w:fldCharType="end"/>
            </w:r>
          </w:hyperlink>
        </w:p>
        <w:p w14:paraId="77920007" w14:textId="12D865A6" w:rsidR="00955EF8" w:rsidRDefault="004B0648">
          <w:pPr>
            <w:pStyle w:val="TM1"/>
            <w:rPr>
              <w:rFonts w:eastAsiaTheme="minorEastAsia"/>
              <w:noProof/>
            </w:rPr>
          </w:pPr>
          <w:hyperlink w:anchor="_Toc66377244" w:history="1">
            <w:r w:rsidR="00955EF8" w:rsidRPr="000A348E">
              <w:rPr>
                <w:rStyle w:val="Lienhypertexte"/>
                <w:noProof/>
              </w:rPr>
              <w:t>4.</w:t>
            </w:r>
            <w:r w:rsidR="00955EF8">
              <w:rPr>
                <w:rFonts w:eastAsiaTheme="minorEastAsia"/>
                <w:noProof/>
              </w:rPr>
              <w:tab/>
            </w:r>
            <w:r w:rsidR="00955EF8" w:rsidRPr="000A348E">
              <w:rPr>
                <w:rStyle w:val="Lienhypertexte"/>
                <w:noProof/>
              </w:rPr>
              <w:t>Abréviations</w:t>
            </w:r>
            <w:r w:rsidR="00955EF8">
              <w:rPr>
                <w:noProof/>
                <w:webHidden/>
              </w:rPr>
              <w:tab/>
            </w:r>
            <w:r w:rsidR="00955EF8">
              <w:rPr>
                <w:noProof/>
                <w:webHidden/>
              </w:rPr>
              <w:fldChar w:fldCharType="begin"/>
            </w:r>
            <w:r w:rsidR="00955EF8">
              <w:rPr>
                <w:noProof/>
                <w:webHidden/>
              </w:rPr>
              <w:instrText xml:space="preserve"> PAGEREF _Toc66377244 \h </w:instrText>
            </w:r>
            <w:r w:rsidR="00955EF8">
              <w:rPr>
                <w:noProof/>
                <w:webHidden/>
              </w:rPr>
            </w:r>
            <w:r w:rsidR="00955EF8">
              <w:rPr>
                <w:noProof/>
                <w:webHidden/>
              </w:rPr>
              <w:fldChar w:fldCharType="separate"/>
            </w:r>
            <w:r w:rsidR="00955EF8">
              <w:rPr>
                <w:noProof/>
                <w:webHidden/>
              </w:rPr>
              <w:t>4</w:t>
            </w:r>
            <w:r w:rsidR="00955EF8">
              <w:rPr>
                <w:noProof/>
                <w:webHidden/>
              </w:rPr>
              <w:fldChar w:fldCharType="end"/>
            </w:r>
          </w:hyperlink>
        </w:p>
        <w:p w14:paraId="3717F18C" w14:textId="77EFDDBC" w:rsidR="00955EF8" w:rsidRDefault="004B0648">
          <w:pPr>
            <w:pStyle w:val="TM1"/>
            <w:rPr>
              <w:rFonts w:eastAsiaTheme="minorEastAsia"/>
              <w:noProof/>
            </w:rPr>
          </w:pPr>
          <w:hyperlink w:anchor="_Toc66377245" w:history="1">
            <w:r w:rsidR="00955EF8" w:rsidRPr="000A348E">
              <w:rPr>
                <w:rStyle w:val="Lienhypertexte"/>
                <w:noProof/>
                <w:lang w:val="fr-BE"/>
              </w:rPr>
              <w:t>5.</w:t>
            </w:r>
            <w:r w:rsidR="00955EF8">
              <w:rPr>
                <w:rFonts w:eastAsiaTheme="minorEastAsia"/>
                <w:noProof/>
              </w:rPr>
              <w:tab/>
            </w:r>
            <w:r w:rsidR="00955EF8" w:rsidRPr="000A348E">
              <w:rPr>
                <w:rStyle w:val="Lienhypertexte"/>
                <w:noProof/>
                <w:lang w:val="fr-BE"/>
              </w:rPr>
              <w:t>Essais de libération</w:t>
            </w:r>
            <w:r w:rsidR="00955EF8">
              <w:rPr>
                <w:noProof/>
                <w:webHidden/>
              </w:rPr>
              <w:tab/>
            </w:r>
            <w:r w:rsidR="00955EF8">
              <w:rPr>
                <w:noProof/>
                <w:webHidden/>
              </w:rPr>
              <w:fldChar w:fldCharType="begin"/>
            </w:r>
            <w:r w:rsidR="00955EF8">
              <w:rPr>
                <w:noProof/>
                <w:webHidden/>
              </w:rPr>
              <w:instrText xml:space="preserve"> PAGEREF _Toc66377245 \h </w:instrText>
            </w:r>
            <w:r w:rsidR="00955EF8">
              <w:rPr>
                <w:noProof/>
                <w:webHidden/>
              </w:rPr>
            </w:r>
            <w:r w:rsidR="00955EF8">
              <w:rPr>
                <w:noProof/>
                <w:webHidden/>
              </w:rPr>
              <w:fldChar w:fldCharType="separate"/>
            </w:r>
            <w:r w:rsidR="00955EF8">
              <w:rPr>
                <w:noProof/>
                <w:webHidden/>
              </w:rPr>
              <w:t>5</w:t>
            </w:r>
            <w:r w:rsidR="00955EF8">
              <w:rPr>
                <w:noProof/>
                <w:webHidden/>
              </w:rPr>
              <w:fldChar w:fldCharType="end"/>
            </w:r>
          </w:hyperlink>
        </w:p>
        <w:p w14:paraId="2C9A5C01" w14:textId="39A1C6AE" w:rsidR="00955EF8" w:rsidRDefault="004B0648">
          <w:pPr>
            <w:pStyle w:val="TM2"/>
            <w:tabs>
              <w:tab w:val="left" w:pos="880"/>
              <w:tab w:val="right" w:leader="dot" w:pos="9350"/>
            </w:tabs>
            <w:rPr>
              <w:rFonts w:eastAsiaTheme="minorEastAsia"/>
              <w:noProof/>
            </w:rPr>
          </w:pPr>
          <w:hyperlink w:anchor="_Toc66377246" w:history="1">
            <w:r w:rsidR="00955EF8" w:rsidRPr="000A348E">
              <w:rPr>
                <w:rStyle w:val="Lienhypertexte"/>
                <w:noProof/>
              </w:rPr>
              <w:t>5.1.</w:t>
            </w:r>
            <w:r w:rsidR="00955EF8">
              <w:rPr>
                <w:rFonts w:eastAsiaTheme="minorEastAsia"/>
                <w:noProof/>
              </w:rPr>
              <w:tab/>
            </w:r>
            <w:r w:rsidR="00955EF8" w:rsidRPr="000A348E">
              <w:rPr>
                <w:rStyle w:val="Lienhypertexte"/>
                <w:noProof/>
              </w:rPr>
              <w:t>Échantillonnage des matériaux et objets</w:t>
            </w:r>
            <w:r w:rsidR="00955EF8">
              <w:rPr>
                <w:noProof/>
                <w:webHidden/>
              </w:rPr>
              <w:tab/>
            </w:r>
            <w:r w:rsidR="00955EF8">
              <w:rPr>
                <w:noProof/>
                <w:webHidden/>
              </w:rPr>
              <w:fldChar w:fldCharType="begin"/>
            </w:r>
            <w:r w:rsidR="00955EF8">
              <w:rPr>
                <w:noProof/>
                <w:webHidden/>
              </w:rPr>
              <w:instrText xml:space="preserve"> PAGEREF _Toc66377246 \h </w:instrText>
            </w:r>
            <w:r w:rsidR="00955EF8">
              <w:rPr>
                <w:noProof/>
                <w:webHidden/>
              </w:rPr>
            </w:r>
            <w:r w:rsidR="00955EF8">
              <w:rPr>
                <w:noProof/>
                <w:webHidden/>
              </w:rPr>
              <w:fldChar w:fldCharType="separate"/>
            </w:r>
            <w:r w:rsidR="00955EF8">
              <w:rPr>
                <w:noProof/>
                <w:webHidden/>
              </w:rPr>
              <w:t>5</w:t>
            </w:r>
            <w:r w:rsidR="00955EF8">
              <w:rPr>
                <w:noProof/>
                <w:webHidden/>
              </w:rPr>
              <w:fldChar w:fldCharType="end"/>
            </w:r>
          </w:hyperlink>
        </w:p>
        <w:p w14:paraId="38C86B87" w14:textId="26BEC87A" w:rsidR="00955EF8" w:rsidRDefault="004B0648">
          <w:pPr>
            <w:pStyle w:val="TM3"/>
            <w:tabs>
              <w:tab w:val="left" w:pos="1320"/>
              <w:tab w:val="right" w:leader="dot" w:pos="9350"/>
            </w:tabs>
            <w:rPr>
              <w:rFonts w:eastAsiaTheme="minorEastAsia"/>
              <w:noProof/>
            </w:rPr>
          </w:pPr>
          <w:hyperlink w:anchor="_Toc66377247" w:history="1">
            <w:r w:rsidR="00955EF8" w:rsidRPr="000A348E">
              <w:rPr>
                <w:rStyle w:val="Lienhypertexte"/>
                <w:noProof/>
                <w:lang w:val="fr-BE"/>
              </w:rPr>
              <w:t>5.1.1.</w:t>
            </w:r>
            <w:r w:rsidR="00955EF8">
              <w:rPr>
                <w:rFonts w:eastAsiaTheme="minorEastAsia"/>
                <w:noProof/>
              </w:rPr>
              <w:tab/>
            </w:r>
            <w:r w:rsidR="00955EF8" w:rsidRPr="000A348E">
              <w:rPr>
                <w:rStyle w:val="Lienhypertexte"/>
                <w:noProof/>
                <w:lang w:val="fr-BE"/>
              </w:rPr>
              <w:t>Matériaux d’emballage (par exemple en conserve)</w:t>
            </w:r>
            <w:r w:rsidR="00955EF8">
              <w:rPr>
                <w:noProof/>
                <w:webHidden/>
              </w:rPr>
              <w:tab/>
            </w:r>
            <w:r w:rsidR="00955EF8">
              <w:rPr>
                <w:noProof/>
                <w:webHidden/>
              </w:rPr>
              <w:fldChar w:fldCharType="begin"/>
            </w:r>
            <w:r w:rsidR="00955EF8">
              <w:rPr>
                <w:noProof/>
                <w:webHidden/>
              </w:rPr>
              <w:instrText xml:space="preserve"> PAGEREF _Toc66377247 \h </w:instrText>
            </w:r>
            <w:r w:rsidR="00955EF8">
              <w:rPr>
                <w:noProof/>
                <w:webHidden/>
              </w:rPr>
            </w:r>
            <w:r w:rsidR="00955EF8">
              <w:rPr>
                <w:noProof/>
                <w:webHidden/>
              </w:rPr>
              <w:fldChar w:fldCharType="separate"/>
            </w:r>
            <w:r w:rsidR="00955EF8">
              <w:rPr>
                <w:noProof/>
                <w:webHidden/>
              </w:rPr>
              <w:t>5</w:t>
            </w:r>
            <w:r w:rsidR="00955EF8">
              <w:rPr>
                <w:noProof/>
                <w:webHidden/>
              </w:rPr>
              <w:fldChar w:fldCharType="end"/>
            </w:r>
          </w:hyperlink>
        </w:p>
        <w:p w14:paraId="7BD1F9B9" w14:textId="0EFE99CE" w:rsidR="00955EF8" w:rsidRDefault="004B0648">
          <w:pPr>
            <w:pStyle w:val="TM3"/>
            <w:tabs>
              <w:tab w:val="left" w:pos="1320"/>
              <w:tab w:val="right" w:leader="dot" w:pos="9350"/>
            </w:tabs>
            <w:rPr>
              <w:rFonts w:eastAsiaTheme="minorEastAsia"/>
              <w:noProof/>
            </w:rPr>
          </w:pPr>
          <w:hyperlink w:anchor="_Toc66377248" w:history="1">
            <w:r w:rsidR="00955EF8" w:rsidRPr="000A348E">
              <w:rPr>
                <w:rStyle w:val="Lienhypertexte"/>
                <w:noProof/>
                <w:lang w:val="fr-BE"/>
              </w:rPr>
              <w:t>5.1.2.</w:t>
            </w:r>
            <w:r w:rsidR="00955EF8">
              <w:rPr>
                <w:rFonts w:eastAsiaTheme="minorEastAsia"/>
                <w:noProof/>
              </w:rPr>
              <w:tab/>
            </w:r>
            <w:r w:rsidR="00955EF8" w:rsidRPr="000A348E">
              <w:rPr>
                <w:rStyle w:val="Lienhypertexte"/>
                <w:noProof/>
                <w:lang w:val="fr-BE"/>
              </w:rPr>
              <w:t>Autres matériaux et objets, à l’exclusion des emballages (p. ex. ustensiles de cuisine)</w:t>
            </w:r>
            <w:r w:rsidR="00955EF8">
              <w:rPr>
                <w:noProof/>
                <w:webHidden/>
              </w:rPr>
              <w:tab/>
            </w:r>
            <w:r w:rsidR="00955EF8">
              <w:rPr>
                <w:noProof/>
                <w:webHidden/>
              </w:rPr>
              <w:fldChar w:fldCharType="begin"/>
            </w:r>
            <w:r w:rsidR="00955EF8">
              <w:rPr>
                <w:noProof/>
                <w:webHidden/>
              </w:rPr>
              <w:instrText xml:space="preserve"> PAGEREF _Toc66377248 \h </w:instrText>
            </w:r>
            <w:r w:rsidR="00955EF8">
              <w:rPr>
                <w:noProof/>
                <w:webHidden/>
              </w:rPr>
            </w:r>
            <w:r w:rsidR="00955EF8">
              <w:rPr>
                <w:noProof/>
                <w:webHidden/>
              </w:rPr>
              <w:fldChar w:fldCharType="separate"/>
            </w:r>
            <w:r w:rsidR="00955EF8">
              <w:rPr>
                <w:noProof/>
                <w:webHidden/>
              </w:rPr>
              <w:t>5</w:t>
            </w:r>
            <w:r w:rsidR="00955EF8">
              <w:rPr>
                <w:noProof/>
                <w:webHidden/>
              </w:rPr>
              <w:fldChar w:fldCharType="end"/>
            </w:r>
          </w:hyperlink>
        </w:p>
        <w:p w14:paraId="41662CB0" w14:textId="58E0C0A8" w:rsidR="00955EF8" w:rsidRDefault="004B0648">
          <w:pPr>
            <w:pStyle w:val="TM2"/>
            <w:tabs>
              <w:tab w:val="left" w:pos="880"/>
              <w:tab w:val="right" w:leader="dot" w:pos="9350"/>
            </w:tabs>
            <w:rPr>
              <w:rFonts w:eastAsiaTheme="minorEastAsia"/>
              <w:noProof/>
            </w:rPr>
          </w:pPr>
          <w:hyperlink w:anchor="_Toc66377249" w:history="1">
            <w:r w:rsidR="00955EF8" w:rsidRPr="000A348E">
              <w:rPr>
                <w:rStyle w:val="Lienhypertexte"/>
                <w:noProof/>
                <w:lang w:val="fr-BE"/>
              </w:rPr>
              <w:t>5.2.</w:t>
            </w:r>
            <w:r w:rsidR="00955EF8">
              <w:rPr>
                <w:rFonts w:eastAsiaTheme="minorEastAsia"/>
                <w:noProof/>
              </w:rPr>
              <w:tab/>
            </w:r>
            <w:r w:rsidR="00955EF8" w:rsidRPr="000A348E">
              <w:rPr>
                <w:rStyle w:val="Lienhypertexte"/>
                <w:noProof/>
                <w:lang w:val="fr-BE"/>
              </w:rPr>
              <w:t>Traitement préalable des matériaux et objets</w:t>
            </w:r>
            <w:r w:rsidR="00955EF8">
              <w:rPr>
                <w:noProof/>
                <w:webHidden/>
              </w:rPr>
              <w:tab/>
            </w:r>
            <w:r w:rsidR="00955EF8">
              <w:rPr>
                <w:noProof/>
                <w:webHidden/>
              </w:rPr>
              <w:fldChar w:fldCharType="begin"/>
            </w:r>
            <w:r w:rsidR="00955EF8">
              <w:rPr>
                <w:noProof/>
                <w:webHidden/>
              </w:rPr>
              <w:instrText xml:space="preserve"> PAGEREF _Toc66377249 \h </w:instrText>
            </w:r>
            <w:r w:rsidR="00955EF8">
              <w:rPr>
                <w:noProof/>
                <w:webHidden/>
              </w:rPr>
            </w:r>
            <w:r w:rsidR="00955EF8">
              <w:rPr>
                <w:noProof/>
                <w:webHidden/>
              </w:rPr>
              <w:fldChar w:fldCharType="separate"/>
            </w:r>
            <w:r w:rsidR="00955EF8">
              <w:rPr>
                <w:noProof/>
                <w:webHidden/>
              </w:rPr>
              <w:t>5</w:t>
            </w:r>
            <w:r w:rsidR="00955EF8">
              <w:rPr>
                <w:noProof/>
                <w:webHidden/>
              </w:rPr>
              <w:fldChar w:fldCharType="end"/>
            </w:r>
          </w:hyperlink>
        </w:p>
        <w:p w14:paraId="07CD26CB" w14:textId="14D99683" w:rsidR="00955EF8" w:rsidRDefault="004B0648">
          <w:pPr>
            <w:pStyle w:val="TM2"/>
            <w:tabs>
              <w:tab w:val="left" w:pos="880"/>
              <w:tab w:val="right" w:leader="dot" w:pos="9350"/>
            </w:tabs>
            <w:rPr>
              <w:rFonts w:eastAsiaTheme="minorEastAsia"/>
              <w:noProof/>
            </w:rPr>
          </w:pPr>
          <w:hyperlink w:anchor="_Toc66377250" w:history="1">
            <w:r w:rsidR="00955EF8" w:rsidRPr="000A348E">
              <w:rPr>
                <w:rStyle w:val="Lienhypertexte"/>
                <w:noProof/>
              </w:rPr>
              <w:t>5.3.</w:t>
            </w:r>
            <w:r w:rsidR="00955EF8">
              <w:rPr>
                <w:rFonts w:eastAsiaTheme="minorEastAsia"/>
                <w:noProof/>
              </w:rPr>
              <w:tab/>
            </w:r>
            <w:r w:rsidR="00955EF8" w:rsidRPr="000A348E">
              <w:rPr>
                <w:rStyle w:val="Lienhypertexte"/>
                <w:noProof/>
              </w:rPr>
              <w:t>Essais de libération</w:t>
            </w:r>
            <w:r w:rsidR="00955EF8">
              <w:rPr>
                <w:noProof/>
                <w:webHidden/>
              </w:rPr>
              <w:tab/>
            </w:r>
            <w:r w:rsidR="00955EF8">
              <w:rPr>
                <w:noProof/>
                <w:webHidden/>
              </w:rPr>
              <w:fldChar w:fldCharType="begin"/>
            </w:r>
            <w:r w:rsidR="00955EF8">
              <w:rPr>
                <w:noProof/>
                <w:webHidden/>
              </w:rPr>
              <w:instrText xml:space="preserve"> PAGEREF _Toc66377250 \h </w:instrText>
            </w:r>
            <w:r w:rsidR="00955EF8">
              <w:rPr>
                <w:noProof/>
                <w:webHidden/>
              </w:rPr>
            </w:r>
            <w:r w:rsidR="00955EF8">
              <w:rPr>
                <w:noProof/>
                <w:webHidden/>
              </w:rPr>
              <w:fldChar w:fldCharType="separate"/>
            </w:r>
            <w:r w:rsidR="00955EF8">
              <w:rPr>
                <w:noProof/>
                <w:webHidden/>
              </w:rPr>
              <w:t>6</w:t>
            </w:r>
            <w:r w:rsidR="00955EF8">
              <w:rPr>
                <w:noProof/>
                <w:webHidden/>
              </w:rPr>
              <w:fldChar w:fldCharType="end"/>
            </w:r>
          </w:hyperlink>
        </w:p>
        <w:p w14:paraId="6455FED4" w14:textId="30543597" w:rsidR="00955EF8" w:rsidRDefault="004B0648">
          <w:pPr>
            <w:pStyle w:val="TM3"/>
            <w:tabs>
              <w:tab w:val="left" w:pos="1320"/>
              <w:tab w:val="right" w:leader="dot" w:pos="9350"/>
            </w:tabs>
            <w:rPr>
              <w:rFonts w:eastAsiaTheme="minorEastAsia"/>
              <w:noProof/>
            </w:rPr>
          </w:pPr>
          <w:hyperlink w:anchor="_Toc66377251" w:history="1">
            <w:r w:rsidR="00955EF8" w:rsidRPr="000A348E">
              <w:rPr>
                <w:rStyle w:val="Lienhypertexte"/>
                <w:noProof/>
                <w:lang w:val="fr-BE"/>
              </w:rPr>
              <w:t>5.3.1.</w:t>
            </w:r>
            <w:r w:rsidR="00955EF8">
              <w:rPr>
                <w:rFonts w:eastAsiaTheme="minorEastAsia"/>
                <w:noProof/>
              </w:rPr>
              <w:tab/>
            </w:r>
            <w:r w:rsidR="00955EF8" w:rsidRPr="000A348E">
              <w:rPr>
                <w:rStyle w:val="Lienhypertexte"/>
                <w:noProof/>
                <w:lang w:val="fr-BE"/>
              </w:rPr>
              <w:t>Essais de libération dans les denrées alimentaires</w:t>
            </w:r>
            <w:r w:rsidR="00955EF8">
              <w:rPr>
                <w:noProof/>
                <w:webHidden/>
              </w:rPr>
              <w:tab/>
            </w:r>
            <w:r w:rsidR="00955EF8">
              <w:rPr>
                <w:noProof/>
                <w:webHidden/>
              </w:rPr>
              <w:fldChar w:fldCharType="begin"/>
            </w:r>
            <w:r w:rsidR="00955EF8">
              <w:rPr>
                <w:noProof/>
                <w:webHidden/>
              </w:rPr>
              <w:instrText xml:space="preserve"> PAGEREF _Toc66377251 \h </w:instrText>
            </w:r>
            <w:r w:rsidR="00955EF8">
              <w:rPr>
                <w:noProof/>
                <w:webHidden/>
              </w:rPr>
            </w:r>
            <w:r w:rsidR="00955EF8">
              <w:rPr>
                <w:noProof/>
                <w:webHidden/>
              </w:rPr>
              <w:fldChar w:fldCharType="separate"/>
            </w:r>
            <w:r w:rsidR="00955EF8">
              <w:rPr>
                <w:noProof/>
                <w:webHidden/>
              </w:rPr>
              <w:t>6</w:t>
            </w:r>
            <w:r w:rsidR="00955EF8">
              <w:rPr>
                <w:noProof/>
                <w:webHidden/>
              </w:rPr>
              <w:fldChar w:fldCharType="end"/>
            </w:r>
          </w:hyperlink>
        </w:p>
        <w:p w14:paraId="521DF6FD" w14:textId="5F719ADB" w:rsidR="00955EF8" w:rsidRDefault="004B0648">
          <w:pPr>
            <w:pStyle w:val="TM3"/>
            <w:tabs>
              <w:tab w:val="left" w:pos="1320"/>
              <w:tab w:val="right" w:leader="dot" w:pos="9350"/>
            </w:tabs>
            <w:rPr>
              <w:rFonts w:eastAsiaTheme="minorEastAsia"/>
              <w:noProof/>
            </w:rPr>
          </w:pPr>
          <w:hyperlink w:anchor="_Toc66377252" w:history="1">
            <w:r w:rsidR="00955EF8" w:rsidRPr="000A348E">
              <w:rPr>
                <w:rStyle w:val="Lienhypertexte"/>
                <w:noProof/>
                <w:lang w:val="fr-BE"/>
              </w:rPr>
              <w:t>5.3.2.</w:t>
            </w:r>
            <w:r w:rsidR="00955EF8">
              <w:rPr>
                <w:rFonts w:eastAsiaTheme="minorEastAsia"/>
                <w:noProof/>
              </w:rPr>
              <w:tab/>
            </w:r>
            <w:r w:rsidR="00955EF8" w:rsidRPr="000A348E">
              <w:rPr>
                <w:rStyle w:val="Lienhypertexte"/>
                <w:noProof/>
                <w:lang w:val="fr-BE"/>
              </w:rPr>
              <w:t>Essai de libération dans les simulants alimentaires</w:t>
            </w:r>
            <w:r w:rsidR="00955EF8">
              <w:rPr>
                <w:noProof/>
                <w:webHidden/>
              </w:rPr>
              <w:tab/>
            </w:r>
            <w:r w:rsidR="00955EF8">
              <w:rPr>
                <w:noProof/>
                <w:webHidden/>
              </w:rPr>
              <w:fldChar w:fldCharType="begin"/>
            </w:r>
            <w:r w:rsidR="00955EF8">
              <w:rPr>
                <w:noProof/>
                <w:webHidden/>
              </w:rPr>
              <w:instrText xml:space="preserve"> PAGEREF _Toc66377252 \h </w:instrText>
            </w:r>
            <w:r w:rsidR="00955EF8">
              <w:rPr>
                <w:noProof/>
                <w:webHidden/>
              </w:rPr>
            </w:r>
            <w:r w:rsidR="00955EF8">
              <w:rPr>
                <w:noProof/>
                <w:webHidden/>
              </w:rPr>
              <w:fldChar w:fldCharType="separate"/>
            </w:r>
            <w:r w:rsidR="00955EF8">
              <w:rPr>
                <w:noProof/>
                <w:webHidden/>
              </w:rPr>
              <w:t>7</w:t>
            </w:r>
            <w:r w:rsidR="00955EF8">
              <w:rPr>
                <w:noProof/>
                <w:webHidden/>
              </w:rPr>
              <w:fldChar w:fldCharType="end"/>
            </w:r>
          </w:hyperlink>
        </w:p>
        <w:p w14:paraId="629917EF" w14:textId="7B93AEB3" w:rsidR="00955EF8" w:rsidRDefault="004B0648">
          <w:pPr>
            <w:pStyle w:val="TM3"/>
            <w:tabs>
              <w:tab w:val="left" w:pos="1320"/>
              <w:tab w:val="right" w:leader="dot" w:pos="9350"/>
            </w:tabs>
            <w:rPr>
              <w:rFonts w:eastAsiaTheme="minorEastAsia"/>
              <w:noProof/>
            </w:rPr>
          </w:pPr>
          <w:hyperlink w:anchor="_Toc66377253" w:history="1">
            <w:r w:rsidR="00955EF8" w:rsidRPr="000A348E">
              <w:rPr>
                <w:rStyle w:val="Lienhypertexte"/>
                <w:noProof/>
                <w:lang w:val="fr-BE"/>
              </w:rPr>
              <w:t>5.3.3.</w:t>
            </w:r>
            <w:r w:rsidR="00955EF8">
              <w:rPr>
                <w:rFonts w:eastAsiaTheme="minorEastAsia"/>
                <w:noProof/>
              </w:rPr>
              <w:tab/>
            </w:r>
            <w:r w:rsidR="00955EF8" w:rsidRPr="000A348E">
              <w:rPr>
                <w:rStyle w:val="Lienhypertexte"/>
                <w:noProof/>
                <w:lang w:val="fr-BE"/>
              </w:rPr>
              <w:t>Conditions de transformation et de conditionnement</w:t>
            </w:r>
            <w:r w:rsidR="00955EF8">
              <w:rPr>
                <w:noProof/>
                <w:webHidden/>
              </w:rPr>
              <w:tab/>
            </w:r>
            <w:r w:rsidR="00955EF8">
              <w:rPr>
                <w:noProof/>
                <w:webHidden/>
              </w:rPr>
              <w:fldChar w:fldCharType="begin"/>
            </w:r>
            <w:r w:rsidR="00955EF8">
              <w:rPr>
                <w:noProof/>
                <w:webHidden/>
              </w:rPr>
              <w:instrText xml:space="preserve"> PAGEREF _Toc66377253 \h </w:instrText>
            </w:r>
            <w:r w:rsidR="00955EF8">
              <w:rPr>
                <w:noProof/>
                <w:webHidden/>
              </w:rPr>
            </w:r>
            <w:r w:rsidR="00955EF8">
              <w:rPr>
                <w:noProof/>
                <w:webHidden/>
              </w:rPr>
              <w:fldChar w:fldCharType="separate"/>
            </w:r>
            <w:r w:rsidR="00955EF8">
              <w:rPr>
                <w:noProof/>
                <w:webHidden/>
              </w:rPr>
              <w:t>8</w:t>
            </w:r>
            <w:r w:rsidR="00955EF8">
              <w:rPr>
                <w:noProof/>
                <w:webHidden/>
              </w:rPr>
              <w:fldChar w:fldCharType="end"/>
            </w:r>
          </w:hyperlink>
        </w:p>
        <w:p w14:paraId="2638055E" w14:textId="41F871CD" w:rsidR="00955EF8" w:rsidRDefault="004B0648">
          <w:pPr>
            <w:pStyle w:val="TM3"/>
            <w:tabs>
              <w:tab w:val="left" w:pos="1320"/>
              <w:tab w:val="right" w:leader="dot" w:pos="9350"/>
            </w:tabs>
            <w:rPr>
              <w:rFonts w:eastAsiaTheme="minorEastAsia"/>
              <w:noProof/>
            </w:rPr>
          </w:pPr>
          <w:hyperlink w:anchor="_Toc66377254" w:history="1">
            <w:r w:rsidR="00955EF8" w:rsidRPr="000A348E">
              <w:rPr>
                <w:rStyle w:val="Lienhypertexte"/>
                <w:noProof/>
              </w:rPr>
              <w:t>5.3.4.</w:t>
            </w:r>
            <w:r w:rsidR="00955EF8">
              <w:rPr>
                <w:rFonts w:eastAsiaTheme="minorEastAsia"/>
                <w:noProof/>
              </w:rPr>
              <w:tab/>
            </w:r>
            <w:r w:rsidR="00955EF8" w:rsidRPr="000A348E">
              <w:rPr>
                <w:rStyle w:val="Lienhypertexte"/>
                <w:noProof/>
              </w:rPr>
              <w:t>Conditions de stockage</w:t>
            </w:r>
            <w:r w:rsidR="00955EF8">
              <w:rPr>
                <w:noProof/>
                <w:webHidden/>
              </w:rPr>
              <w:tab/>
            </w:r>
            <w:r w:rsidR="00955EF8">
              <w:rPr>
                <w:noProof/>
                <w:webHidden/>
              </w:rPr>
              <w:fldChar w:fldCharType="begin"/>
            </w:r>
            <w:r w:rsidR="00955EF8">
              <w:rPr>
                <w:noProof/>
                <w:webHidden/>
              </w:rPr>
              <w:instrText xml:space="preserve"> PAGEREF _Toc66377254 \h </w:instrText>
            </w:r>
            <w:r w:rsidR="00955EF8">
              <w:rPr>
                <w:noProof/>
                <w:webHidden/>
              </w:rPr>
            </w:r>
            <w:r w:rsidR="00955EF8">
              <w:rPr>
                <w:noProof/>
                <w:webHidden/>
              </w:rPr>
              <w:fldChar w:fldCharType="separate"/>
            </w:r>
            <w:r w:rsidR="00955EF8">
              <w:rPr>
                <w:noProof/>
                <w:webHidden/>
              </w:rPr>
              <w:t>8</w:t>
            </w:r>
            <w:r w:rsidR="00955EF8">
              <w:rPr>
                <w:noProof/>
                <w:webHidden/>
              </w:rPr>
              <w:fldChar w:fldCharType="end"/>
            </w:r>
          </w:hyperlink>
        </w:p>
        <w:p w14:paraId="4E329CF2" w14:textId="791F05D5" w:rsidR="00955EF8" w:rsidRDefault="004B0648">
          <w:pPr>
            <w:pStyle w:val="TM3"/>
            <w:tabs>
              <w:tab w:val="left" w:pos="1320"/>
              <w:tab w:val="right" w:leader="dot" w:pos="9350"/>
            </w:tabs>
            <w:rPr>
              <w:rFonts w:eastAsiaTheme="minorEastAsia"/>
              <w:noProof/>
            </w:rPr>
          </w:pPr>
          <w:hyperlink w:anchor="_Toc66377255" w:history="1">
            <w:r w:rsidR="00955EF8" w:rsidRPr="000A348E">
              <w:rPr>
                <w:rStyle w:val="Lienhypertexte"/>
                <w:noProof/>
                <w:lang w:val="fr-BE"/>
              </w:rPr>
              <w:t>5.3.5.</w:t>
            </w:r>
            <w:r w:rsidR="00955EF8">
              <w:rPr>
                <w:rFonts w:eastAsiaTheme="minorEastAsia"/>
                <w:noProof/>
              </w:rPr>
              <w:tab/>
            </w:r>
            <w:r w:rsidR="00955EF8" w:rsidRPr="000A348E">
              <w:rPr>
                <w:rStyle w:val="Lienhypertexte"/>
                <w:noProof/>
                <w:lang w:val="fr-BE"/>
              </w:rPr>
              <w:t>Nombre d’essais de libération à effectuer</w:t>
            </w:r>
            <w:r w:rsidR="00955EF8">
              <w:rPr>
                <w:noProof/>
                <w:webHidden/>
              </w:rPr>
              <w:tab/>
            </w:r>
            <w:r w:rsidR="00955EF8">
              <w:rPr>
                <w:noProof/>
                <w:webHidden/>
              </w:rPr>
              <w:fldChar w:fldCharType="begin"/>
            </w:r>
            <w:r w:rsidR="00955EF8">
              <w:rPr>
                <w:noProof/>
                <w:webHidden/>
              </w:rPr>
              <w:instrText xml:space="preserve"> PAGEREF _Toc66377255 \h </w:instrText>
            </w:r>
            <w:r w:rsidR="00955EF8">
              <w:rPr>
                <w:noProof/>
                <w:webHidden/>
              </w:rPr>
            </w:r>
            <w:r w:rsidR="00955EF8">
              <w:rPr>
                <w:noProof/>
                <w:webHidden/>
              </w:rPr>
              <w:fldChar w:fldCharType="separate"/>
            </w:r>
            <w:r w:rsidR="00955EF8">
              <w:rPr>
                <w:noProof/>
                <w:webHidden/>
              </w:rPr>
              <w:t>9</w:t>
            </w:r>
            <w:r w:rsidR="00955EF8">
              <w:rPr>
                <w:noProof/>
                <w:webHidden/>
              </w:rPr>
              <w:fldChar w:fldCharType="end"/>
            </w:r>
          </w:hyperlink>
        </w:p>
        <w:p w14:paraId="06BBD9CB" w14:textId="61036AA2" w:rsidR="00955EF8" w:rsidRDefault="004B0648">
          <w:pPr>
            <w:pStyle w:val="TM4"/>
            <w:tabs>
              <w:tab w:val="left" w:pos="1760"/>
              <w:tab w:val="right" w:leader="dot" w:pos="9350"/>
            </w:tabs>
            <w:rPr>
              <w:rFonts w:eastAsiaTheme="minorEastAsia"/>
              <w:noProof/>
            </w:rPr>
          </w:pPr>
          <w:hyperlink w:anchor="_Toc66377256" w:history="1">
            <w:r w:rsidR="00955EF8" w:rsidRPr="000A348E">
              <w:rPr>
                <w:rStyle w:val="Lienhypertexte"/>
                <w:noProof/>
                <w:lang w:val="fr-BE"/>
              </w:rPr>
              <w:t>5.3.5.1.</w:t>
            </w:r>
            <w:r w:rsidR="00955EF8">
              <w:rPr>
                <w:rFonts w:eastAsiaTheme="minorEastAsia"/>
                <w:noProof/>
              </w:rPr>
              <w:tab/>
            </w:r>
            <w:r w:rsidR="00955EF8" w:rsidRPr="000A348E">
              <w:rPr>
                <w:rStyle w:val="Lienhypertexte"/>
                <w:noProof/>
                <w:lang w:val="fr-BE"/>
              </w:rPr>
              <w:t>Des matériaux destinés à un unique contact avec des denrées alimentaires</w:t>
            </w:r>
            <w:r w:rsidR="00955EF8">
              <w:rPr>
                <w:noProof/>
                <w:webHidden/>
              </w:rPr>
              <w:tab/>
            </w:r>
            <w:r w:rsidR="00955EF8">
              <w:rPr>
                <w:noProof/>
                <w:webHidden/>
              </w:rPr>
              <w:fldChar w:fldCharType="begin"/>
            </w:r>
            <w:r w:rsidR="00955EF8">
              <w:rPr>
                <w:noProof/>
                <w:webHidden/>
              </w:rPr>
              <w:instrText xml:space="preserve"> PAGEREF _Toc66377256 \h </w:instrText>
            </w:r>
            <w:r w:rsidR="00955EF8">
              <w:rPr>
                <w:noProof/>
                <w:webHidden/>
              </w:rPr>
            </w:r>
            <w:r w:rsidR="00955EF8">
              <w:rPr>
                <w:noProof/>
                <w:webHidden/>
              </w:rPr>
              <w:fldChar w:fldCharType="separate"/>
            </w:r>
            <w:r w:rsidR="00955EF8">
              <w:rPr>
                <w:noProof/>
                <w:webHidden/>
              </w:rPr>
              <w:t>9</w:t>
            </w:r>
            <w:r w:rsidR="00955EF8">
              <w:rPr>
                <w:noProof/>
                <w:webHidden/>
              </w:rPr>
              <w:fldChar w:fldCharType="end"/>
            </w:r>
          </w:hyperlink>
        </w:p>
        <w:p w14:paraId="6F9EE71B" w14:textId="423747C2" w:rsidR="00955EF8" w:rsidRDefault="004B0648">
          <w:pPr>
            <w:pStyle w:val="TM4"/>
            <w:tabs>
              <w:tab w:val="left" w:pos="1760"/>
              <w:tab w:val="right" w:leader="dot" w:pos="9350"/>
            </w:tabs>
            <w:rPr>
              <w:rFonts w:eastAsiaTheme="minorEastAsia"/>
              <w:noProof/>
            </w:rPr>
          </w:pPr>
          <w:hyperlink w:anchor="_Toc66377257" w:history="1">
            <w:r w:rsidR="00955EF8" w:rsidRPr="000A348E">
              <w:rPr>
                <w:rStyle w:val="Lienhypertexte"/>
                <w:noProof/>
                <w:lang w:val="fr-BE"/>
              </w:rPr>
              <w:t>5.3.5.2.</w:t>
            </w:r>
            <w:r w:rsidR="00955EF8">
              <w:rPr>
                <w:rFonts w:eastAsiaTheme="minorEastAsia"/>
                <w:noProof/>
              </w:rPr>
              <w:tab/>
            </w:r>
            <w:r w:rsidR="00955EF8" w:rsidRPr="000A348E">
              <w:rPr>
                <w:rStyle w:val="Lienhypertexte"/>
                <w:noProof/>
                <w:lang w:val="fr-BE"/>
              </w:rPr>
              <w:t>Matériaux destinés à de multiples contacts avec des denrées alimentaires</w:t>
            </w:r>
            <w:r w:rsidR="00955EF8">
              <w:rPr>
                <w:noProof/>
                <w:webHidden/>
              </w:rPr>
              <w:tab/>
            </w:r>
            <w:r w:rsidR="00955EF8">
              <w:rPr>
                <w:noProof/>
                <w:webHidden/>
              </w:rPr>
              <w:fldChar w:fldCharType="begin"/>
            </w:r>
            <w:r w:rsidR="00955EF8">
              <w:rPr>
                <w:noProof/>
                <w:webHidden/>
              </w:rPr>
              <w:instrText xml:space="preserve"> PAGEREF _Toc66377257 \h </w:instrText>
            </w:r>
            <w:r w:rsidR="00955EF8">
              <w:rPr>
                <w:noProof/>
                <w:webHidden/>
              </w:rPr>
            </w:r>
            <w:r w:rsidR="00955EF8">
              <w:rPr>
                <w:noProof/>
                <w:webHidden/>
              </w:rPr>
              <w:fldChar w:fldCharType="separate"/>
            </w:r>
            <w:r w:rsidR="00955EF8">
              <w:rPr>
                <w:noProof/>
                <w:webHidden/>
              </w:rPr>
              <w:t>9</w:t>
            </w:r>
            <w:r w:rsidR="00955EF8">
              <w:rPr>
                <w:noProof/>
                <w:webHidden/>
              </w:rPr>
              <w:fldChar w:fldCharType="end"/>
            </w:r>
          </w:hyperlink>
        </w:p>
        <w:p w14:paraId="3E14F703" w14:textId="75507113" w:rsidR="00955EF8" w:rsidRDefault="004B0648">
          <w:pPr>
            <w:pStyle w:val="TM3"/>
            <w:tabs>
              <w:tab w:val="left" w:pos="1320"/>
              <w:tab w:val="right" w:leader="dot" w:pos="9350"/>
            </w:tabs>
            <w:rPr>
              <w:rFonts w:eastAsiaTheme="minorEastAsia"/>
              <w:noProof/>
            </w:rPr>
          </w:pPr>
          <w:hyperlink w:anchor="_Toc66377258" w:history="1">
            <w:r w:rsidR="00955EF8" w:rsidRPr="000A348E">
              <w:rPr>
                <w:rStyle w:val="Lienhypertexte"/>
                <w:noProof/>
                <w:lang w:val="fr-BE"/>
              </w:rPr>
              <w:t>5.3.6.</w:t>
            </w:r>
            <w:r w:rsidR="00955EF8">
              <w:rPr>
                <w:rFonts w:eastAsiaTheme="minorEastAsia"/>
                <w:noProof/>
              </w:rPr>
              <w:tab/>
            </w:r>
            <w:r w:rsidR="00955EF8" w:rsidRPr="000A348E">
              <w:rPr>
                <w:rStyle w:val="Lienhypertexte"/>
                <w:noProof/>
                <w:lang w:val="fr-BE"/>
              </w:rPr>
              <w:t>Sélection des conditions d’essai (t, T)</w:t>
            </w:r>
            <w:r w:rsidR="00955EF8">
              <w:rPr>
                <w:noProof/>
                <w:webHidden/>
              </w:rPr>
              <w:tab/>
            </w:r>
            <w:r w:rsidR="00955EF8">
              <w:rPr>
                <w:noProof/>
                <w:webHidden/>
              </w:rPr>
              <w:fldChar w:fldCharType="begin"/>
            </w:r>
            <w:r w:rsidR="00955EF8">
              <w:rPr>
                <w:noProof/>
                <w:webHidden/>
              </w:rPr>
              <w:instrText xml:space="preserve"> PAGEREF _Toc66377258 \h </w:instrText>
            </w:r>
            <w:r w:rsidR="00955EF8">
              <w:rPr>
                <w:noProof/>
                <w:webHidden/>
              </w:rPr>
            </w:r>
            <w:r w:rsidR="00955EF8">
              <w:rPr>
                <w:noProof/>
                <w:webHidden/>
              </w:rPr>
              <w:fldChar w:fldCharType="separate"/>
            </w:r>
            <w:r w:rsidR="00955EF8">
              <w:rPr>
                <w:noProof/>
                <w:webHidden/>
              </w:rPr>
              <w:t>9</w:t>
            </w:r>
            <w:r w:rsidR="00955EF8">
              <w:rPr>
                <w:noProof/>
                <w:webHidden/>
              </w:rPr>
              <w:fldChar w:fldCharType="end"/>
            </w:r>
          </w:hyperlink>
        </w:p>
        <w:p w14:paraId="4554FFD6" w14:textId="150F34A1" w:rsidR="00955EF8" w:rsidRDefault="004B0648">
          <w:pPr>
            <w:pStyle w:val="TM3"/>
            <w:tabs>
              <w:tab w:val="left" w:pos="1320"/>
              <w:tab w:val="right" w:leader="dot" w:pos="9350"/>
            </w:tabs>
            <w:rPr>
              <w:rFonts w:eastAsiaTheme="minorEastAsia"/>
              <w:noProof/>
            </w:rPr>
          </w:pPr>
          <w:hyperlink w:anchor="_Toc66377259" w:history="1">
            <w:r w:rsidR="00955EF8" w:rsidRPr="000A348E">
              <w:rPr>
                <w:rStyle w:val="Lienhypertexte"/>
                <w:noProof/>
                <w:lang w:val="fr-BE"/>
              </w:rPr>
              <w:t>5.3.7.</w:t>
            </w:r>
            <w:r w:rsidR="00955EF8">
              <w:rPr>
                <w:rFonts w:eastAsiaTheme="minorEastAsia"/>
                <w:noProof/>
              </w:rPr>
              <w:tab/>
            </w:r>
            <w:r w:rsidR="00955EF8" w:rsidRPr="000A348E">
              <w:rPr>
                <w:rStyle w:val="Lienhypertexte"/>
                <w:noProof/>
                <w:lang w:val="fr-BE"/>
              </w:rPr>
              <w:t>Test de mise en libre pratique</w:t>
            </w:r>
            <w:r w:rsidR="00955EF8">
              <w:rPr>
                <w:noProof/>
                <w:webHidden/>
              </w:rPr>
              <w:tab/>
            </w:r>
            <w:r w:rsidR="00955EF8">
              <w:rPr>
                <w:noProof/>
                <w:webHidden/>
              </w:rPr>
              <w:fldChar w:fldCharType="begin"/>
            </w:r>
            <w:r w:rsidR="00955EF8">
              <w:rPr>
                <w:noProof/>
                <w:webHidden/>
              </w:rPr>
              <w:instrText xml:space="preserve"> PAGEREF _Toc66377259 \h </w:instrText>
            </w:r>
            <w:r w:rsidR="00955EF8">
              <w:rPr>
                <w:noProof/>
                <w:webHidden/>
              </w:rPr>
            </w:r>
            <w:r w:rsidR="00955EF8">
              <w:rPr>
                <w:noProof/>
                <w:webHidden/>
              </w:rPr>
              <w:fldChar w:fldCharType="separate"/>
            </w:r>
            <w:r w:rsidR="00955EF8">
              <w:rPr>
                <w:noProof/>
                <w:webHidden/>
              </w:rPr>
              <w:t>10</w:t>
            </w:r>
            <w:r w:rsidR="00955EF8">
              <w:rPr>
                <w:noProof/>
                <w:webHidden/>
              </w:rPr>
              <w:fldChar w:fldCharType="end"/>
            </w:r>
          </w:hyperlink>
        </w:p>
        <w:p w14:paraId="68E79519" w14:textId="7F8B55A1" w:rsidR="00955EF8" w:rsidRDefault="004B0648">
          <w:pPr>
            <w:pStyle w:val="TM4"/>
            <w:tabs>
              <w:tab w:val="left" w:pos="1760"/>
              <w:tab w:val="right" w:leader="dot" w:pos="9350"/>
            </w:tabs>
            <w:rPr>
              <w:rFonts w:eastAsiaTheme="minorEastAsia"/>
              <w:noProof/>
            </w:rPr>
          </w:pPr>
          <w:hyperlink w:anchor="_Toc66377260" w:history="1">
            <w:r w:rsidR="00955EF8" w:rsidRPr="000A348E">
              <w:rPr>
                <w:rStyle w:val="Lienhypertexte"/>
                <w:noProof/>
              </w:rPr>
              <w:t>5.3.7.1.</w:t>
            </w:r>
            <w:r w:rsidR="00955EF8">
              <w:rPr>
                <w:rFonts w:eastAsiaTheme="minorEastAsia"/>
                <w:noProof/>
              </w:rPr>
              <w:tab/>
            </w:r>
            <w:r w:rsidR="00955EF8" w:rsidRPr="000A348E">
              <w:rPr>
                <w:rStyle w:val="Lienhypertexte"/>
                <w:noProof/>
              </w:rPr>
              <w:t>Articles susceptibles d’être remplis:</w:t>
            </w:r>
            <w:r w:rsidR="00955EF8">
              <w:rPr>
                <w:noProof/>
                <w:webHidden/>
              </w:rPr>
              <w:tab/>
            </w:r>
            <w:r w:rsidR="00955EF8">
              <w:rPr>
                <w:noProof/>
                <w:webHidden/>
              </w:rPr>
              <w:fldChar w:fldCharType="begin"/>
            </w:r>
            <w:r w:rsidR="00955EF8">
              <w:rPr>
                <w:noProof/>
                <w:webHidden/>
              </w:rPr>
              <w:instrText xml:space="preserve"> PAGEREF _Toc66377260 \h </w:instrText>
            </w:r>
            <w:r w:rsidR="00955EF8">
              <w:rPr>
                <w:noProof/>
                <w:webHidden/>
              </w:rPr>
            </w:r>
            <w:r w:rsidR="00955EF8">
              <w:rPr>
                <w:noProof/>
                <w:webHidden/>
              </w:rPr>
              <w:fldChar w:fldCharType="separate"/>
            </w:r>
            <w:r w:rsidR="00955EF8">
              <w:rPr>
                <w:noProof/>
                <w:webHidden/>
              </w:rPr>
              <w:t>10</w:t>
            </w:r>
            <w:r w:rsidR="00955EF8">
              <w:rPr>
                <w:noProof/>
                <w:webHidden/>
              </w:rPr>
              <w:fldChar w:fldCharType="end"/>
            </w:r>
          </w:hyperlink>
        </w:p>
        <w:p w14:paraId="174FD08D" w14:textId="661DA565" w:rsidR="00955EF8" w:rsidRDefault="004B0648">
          <w:pPr>
            <w:pStyle w:val="TM4"/>
            <w:tabs>
              <w:tab w:val="left" w:pos="1760"/>
              <w:tab w:val="right" w:leader="dot" w:pos="9350"/>
            </w:tabs>
            <w:rPr>
              <w:rFonts w:eastAsiaTheme="minorEastAsia"/>
              <w:noProof/>
            </w:rPr>
          </w:pPr>
          <w:hyperlink w:anchor="_Toc66377261" w:history="1">
            <w:r w:rsidR="00955EF8" w:rsidRPr="000A348E">
              <w:rPr>
                <w:rStyle w:val="Lienhypertexte"/>
                <w:noProof/>
              </w:rPr>
              <w:t>5.3.7.2.</w:t>
            </w:r>
            <w:r w:rsidR="00955EF8">
              <w:rPr>
                <w:rFonts w:eastAsiaTheme="minorEastAsia"/>
                <w:noProof/>
              </w:rPr>
              <w:tab/>
            </w:r>
            <w:r w:rsidR="00955EF8" w:rsidRPr="000A348E">
              <w:rPr>
                <w:rStyle w:val="Lienhypertexte"/>
                <w:noProof/>
              </w:rPr>
              <w:t>Articles non remplissables</w:t>
            </w:r>
            <w:r w:rsidR="00955EF8">
              <w:rPr>
                <w:noProof/>
                <w:webHidden/>
              </w:rPr>
              <w:tab/>
            </w:r>
            <w:r w:rsidR="00955EF8">
              <w:rPr>
                <w:noProof/>
                <w:webHidden/>
              </w:rPr>
              <w:fldChar w:fldCharType="begin"/>
            </w:r>
            <w:r w:rsidR="00955EF8">
              <w:rPr>
                <w:noProof/>
                <w:webHidden/>
              </w:rPr>
              <w:instrText xml:space="preserve"> PAGEREF _Toc66377261 \h </w:instrText>
            </w:r>
            <w:r w:rsidR="00955EF8">
              <w:rPr>
                <w:noProof/>
                <w:webHidden/>
              </w:rPr>
            </w:r>
            <w:r w:rsidR="00955EF8">
              <w:rPr>
                <w:noProof/>
                <w:webHidden/>
              </w:rPr>
              <w:fldChar w:fldCharType="separate"/>
            </w:r>
            <w:r w:rsidR="00955EF8">
              <w:rPr>
                <w:noProof/>
                <w:webHidden/>
              </w:rPr>
              <w:t>10</w:t>
            </w:r>
            <w:r w:rsidR="00955EF8">
              <w:rPr>
                <w:noProof/>
                <w:webHidden/>
              </w:rPr>
              <w:fldChar w:fldCharType="end"/>
            </w:r>
          </w:hyperlink>
        </w:p>
        <w:p w14:paraId="6C007D59" w14:textId="4A6BC24E" w:rsidR="00955EF8" w:rsidRDefault="004B0648">
          <w:pPr>
            <w:pStyle w:val="TM5"/>
            <w:tabs>
              <w:tab w:val="left" w:pos="1935"/>
              <w:tab w:val="right" w:leader="dot" w:pos="9350"/>
            </w:tabs>
            <w:rPr>
              <w:rFonts w:eastAsiaTheme="minorEastAsia"/>
              <w:noProof/>
            </w:rPr>
          </w:pPr>
          <w:hyperlink w:anchor="_Toc66377262" w:history="1">
            <w:r w:rsidR="00955EF8" w:rsidRPr="000A348E">
              <w:rPr>
                <w:rStyle w:val="Lienhypertexte"/>
                <w:noProof/>
                <w:lang w:val="fr-BE"/>
              </w:rPr>
              <w:t>5.3.7.2.1.</w:t>
            </w:r>
            <w:r w:rsidR="00955EF8">
              <w:rPr>
                <w:rFonts w:eastAsiaTheme="minorEastAsia"/>
                <w:noProof/>
              </w:rPr>
              <w:tab/>
            </w:r>
            <w:r w:rsidR="00955EF8" w:rsidRPr="000A348E">
              <w:rPr>
                <w:rStyle w:val="Lienhypertexte"/>
                <w:noProof/>
                <w:lang w:val="fr-BE"/>
              </w:rPr>
              <w:t>Matériaux et articles tels que planches de cuisson, feuilles, pouvant être immergés</w:t>
            </w:r>
            <w:r w:rsidR="00955EF8">
              <w:rPr>
                <w:noProof/>
                <w:webHidden/>
              </w:rPr>
              <w:tab/>
            </w:r>
            <w:r w:rsidR="00955EF8">
              <w:rPr>
                <w:noProof/>
                <w:webHidden/>
              </w:rPr>
              <w:fldChar w:fldCharType="begin"/>
            </w:r>
            <w:r w:rsidR="00955EF8">
              <w:rPr>
                <w:noProof/>
                <w:webHidden/>
              </w:rPr>
              <w:instrText xml:space="preserve"> PAGEREF _Toc66377262 \h </w:instrText>
            </w:r>
            <w:r w:rsidR="00955EF8">
              <w:rPr>
                <w:noProof/>
                <w:webHidden/>
              </w:rPr>
            </w:r>
            <w:r w:rsidR="00955EF8">
              <w:rPr>
                <w:noProof/>
                <w:webHidden/>
              </w:rPr>
              <w:fldChar w:fldCharType="separate"/>
            </w:r>
            <w:r w:rsidR="00955EF8">
              <w:rPr>
                <w:noProof/>
                <w:webHidden/>
              </w:rPr>
              <w:t>11</w:t>
            </w:r>
            <w:r w:rsidR="00955EF8">
              <w:rPr>
                <w:noProof/>
                <w:webHidden/>
              </w:rPr>
              <w:fldChar w:fldCharType="end"/>
            </w:r>
          </w:hyperlink>
        </w:p>
        <w:p w14:paraId="69D5AE26" w14:textId="53FB50C0" w:rsidR="00955EF8" w:rsidRDefault="004B0648">
          <w:pPr>
            <w:pStyle w:val="TM5"/>
            <w:tabs>
              <w:tab w:val="left" w:pos="1935"/>
              <w:tab w:val="right" w:leader="dot" w:pos="9350"/>
            </w:tabs>
            <w:rPr>
              <w:rFonts w:eastAsiaTheme="minorEastAsia"/>
              <w:noProof/>
            </w:rPr>
          </w:pPr>
          <w:hyperlink w:anchor="_Toc66377263" w:history="1">
            <w:r w:rsidR="00955EF8" w:rsidRPr="000A348E">
              <w:rPr>
                <w:rStyle w:val="Lienhypertexte"/>
                <w:noProof/>
              </w:rPr>
              <w:t>5.3.7.2.2.</w:t>
            </w:r>
            <w:r w:rsidR="00955EF8">
              <w:rPr>
                <w:rFonts w:eastAsiaTheme="minorEastAsia"/>
                <w:noProof/>
              </w:rPr>
              <w:tab/>
            </w:r>
            <w:r w:rsidR="00955EF8" w:rsidRPr="000A348E">
              <w:rPr>
                <w:rStyle w:val="Lienhypertexte"/>
                <w:noProof/>
              </w:rPr>
              <w:t>Matériaux et objets plats</w:t>
            </w:r>
            <w:r w:rsidR="00955EF8">
              <w:rPr>
                <w:noProof/>
                <w:webHidden/>
              </w:rPr>
              <w:tab/>
            </w:r>
            <w:r w:rsidR="00955EF8">
              <w:rPr>
                <w:noProof/>
                <w:webHidden/>
              </w:rPr>
              <w:fldChar w:fldCharType="begin"/>
            </w:r>
            <w:r w:rsidR="00955EF8">
              <w:rPr>
                <w:noProof/>
                <w:webHidden/>
              </w:rPr>
              <w:instrText xml:space="preserve"> PAGEREF _Toc66377263 \h </w:instrText>
            </w:r>
            <w:r w:rsidR="00955EF8">
              <w:rPr>
                <w:noProof/>
                <w:webHidden/>
              </w:rPr>
            </w:r>
            <w:r w:rsidR="00955EF8">
              <w:rPr>
                <w:noProof/>
                <w:webHidden/>
              </w:rPr>
              <w:fldChar w:fldCharType="separate"/>
            </w:r>
            <w:r w:rsidR="00955EF8">
              <w:rPr>
                <w:noProof/>
                <w:webHidden/>
              </w:rPr>
              <w:t>11</w:t>
            </w:r>
            <w:r w:rsidR="00955EF8">
              <w:rPr>
                <w:noProof/>
                <w:webHidden/>
              </w:rPr>
              <w:fldChar w:fldCharType="end"/>
            </w:r>
          </w:hyperlink>
        </w:p>
        <w:p w14:paraId="4586DA85" w14:textId="512426B1" w:rsidR="00955EF8" w:rsidRDefault="004B0648">
          <w:pPr>
            <w:pStyle w:val="TM5"/>
            <w:tabs>
              <w:tab w:val="left" w:pos="1935"/>
              <w:tab w:val="right" w:leader="dot" w:pos="9350"/>
            </w:tabs>
            <w:rPr>
              <w:rFonts w:eastAsiaTheme="minorEastAsia"/>
              <w:noProof/>
            </w:rPr>
          </w:pPr>
          <w:hyperlink w:anchor="_Toc66377264" w:history="1">
            <w:r w:rsidR="00955EF8" w:rsidRPr="000A348E">
              <w:rPr>
                <w:rStyle w:val="Lienhypertexte"/>
                <w:noProof/>
              </w:rPr>
              <w:t>5.3.7.2.3.</w:t>
            </w:r>
            <w:r w:rsidR="00955EF8">
              <w:rPr>
                <w:rFonts w:eastAsiaTheme="minorEastAsia"/>
                <w:noProof/>
              </w:rPr>
              <w:tab/>
            </w:r>
            <w:r w:rsidR="00955EF8" w:rsidRPr="000A348E">
              <w:rPr>
                <w:rStyle w:val="Lienhypertexte"/>
                <w:noProof/>
              </w:rPr>
              <w:t>Appareils de transformation d’aliments</w:t>
            </w:r>
            <w:r w:rsidR="00955EF8">
              <w:rPr>
                <w:noProof/>
                <w:webHidden/>
              </w:rPr>
              <w:tab/>
            </w:r>
            <w:r w:rsidR="00955EF8">
              <w:rPr>
                <w:noProof/>
                <w:webHidden/>
              </w:rPr>
              <w:fldChar w:fldCharType="begin"/>
            </w:r>
            <w:r w:rsidR="00955EF8">
              <w:rPr>
                <w:noProof/>
                <w:webHidden/>
              </w:rPr>
              <w:instrText xml:space="preserve"> PAGEREF _Toc66377264 \h </w:instrText>
            </w:r>
            <w:r w:rsidR="00955EF8">
              <w:rPr>
                <w:noProof/>
                <w:webHidden/>
              </w:rPr>
            </w:r>
            <w:r w:rsidR="00955EF8">
              <w:rPr>
                <w:noProof/>
                <w:webHidden/>
              </w:rPr>
              <w:fldChar w:fldCharType="separate"/>
            </w:r>
            <w:r w:rsidR="00955EF8">
              <w:rPr>
                <w:noProof/>
                <w:webHidden/>
              </w:rPr>
              <w:t>11</w:t>
            </w:r>
            <w:r w:rsidR="00955EF8">
              <w:rPr>
                <w:noProof/>
                <w:webHidden/>
              </w:rPr>
              <w:fldChar w:fldCharType="end"/>
            </w:r>
          </w:hyperlink>
        </w:p>
        <w:p w14:paraId="6179FDAD" w14:textId="0FD0AF99" w:rsidR="00955EF8" w:rsidRDefault="004B0648">
          <w:pPr>
            <w:pStyle w:val="TM2"/>
            <w:tabs>
              <w:tab w:val="left" w:pos="880"/>
              <w:tab w:val="right" w:leader="dot" w:pos="9350"/>
            </w:tabs>
            <w:rPr>
              <w:rFonts w:eastAsiaTheme="minorEastAsia"/>
              <w:noProof/>
            </w:rPr>
          </w:pPr>
          <w:hyperlink w:anchor="_Toc66377265" w:history="1">
            <w:r w:rsidR="00955EF8" w:rsidRPr="000A348E">
              <w:rPr>
                <w:rStyle w:val="Lienhypertexte"/>
                <w:noProof/>
              </w:rPr>
              <w:t>5.4.</w:t>
            </w:r>
            <w:r w:rsidR="00955EF8">
              <w:rPr>
                <w:rFonts w:eastAsiaTheme="minorEastAsia"/>
                <w:noProof/>
              </w:rPr>
              <w:tab/>
            </w:r>
            <w:r w:rsidR="00955EF8" w:rsidRPr="000A348E">
              <w:rPr>
                <w:rStyle w:val="Lienhypertexte"/>
                <w:noProof/>
              </w:rPr>
              <w:t>Méthodes d’analyse</w:t>
            </w:r>
            <w:r w:rsidR="00955EF8">
              <w:rPr>
                <w:noProof/>
                <w:webHidden/>
              </w:rPr>
              <w:tab/>
            </w:r>
            <w:r w:rsidR="00955EF8">
              <w:rPr>
                <w:noProof/>
                <w:webHidden/>
              </w:rPr>
              <w:fldChar w:fldCharType="begin"/>
            </w:r>
            <w:r w:rsidR="00955EF8">
              <w:rPr>
                <w:noProof/>
                <w:webHidden/>
              </w:rPr>
              <w:instrText xml:space="preserve"> PAGEREF _Toc66377265 \h </w:instrText>
            </w:r>
            <w:r w:rsidR="00955EF8">
              <w:rPr>
                <w:noProof/>
                <w:webHidden/>
              </w:rPr>
            </w:r>
            <w:r w:rsidR="00955EF8">
              <w:rPr>
                <w:noProof/>
                <w:webHidden/>
              </w:rPr>
              <w:fldChar w:fldCharType="separate"/>
            </w:r>
            <w:r w:rsidR="00955EF8">
              <w:rPr>
                <w:noProof/>
                <w:webHidden/>
              </w:rPr>
              <w:t>12</w:t>
            </w:r>
            <w:r w:rsidR="00955EF8">
              <w:rPr>
                <w:noProof/>
                <w:webHidden/>
              </w:rPr>
              <w:fldChar w:fldCharType="end"/>
            </w:r>
          </w:hyperlink>
        </w:p>
        <w:p w14:paraId="2005BC21" w14:textId="4FF85DD7" w:rsidR="00955EF8" w:rsidRDefault="004B0648">
          <w:pPr>
            <w:pStyle w:val="TM2"/>
            <w:tabs>
              <w:tab w:val="left" w:pos="880"/>
              <w:tab w:val="right" w:leader="dot" w:pos="9350"/>
            </w:tabs>
            <w:rPr>
              <w:rFonts w:eastAsiaTheme="minorEastAsia"/>
              <w:noProof/>
            </w:rPr>
          </w:pPr>
          <w:hyperlink w:anchor="_Toc66377266" w:history="1">
            <w:r w:rsidR="00955EF8" w:rsidRPr="000A348E">
              <w:rPr>
                <w:rStyle w:val="Lienhypertexte"/>
                <w:noProof/>
              </w:rPr>
              <w:t>5.5.</w:t>
            </w:r>
            <w:r w:rsidR="00955EF8">
              <w:rPr>
                <w:rFonts w:eastAsiaTheme="minorEastAsia"/>
                <w:noProof/>
              </w:rPr>
              <w:tab/>
            </w:r>
            <w:r w:rsidR="00955EF8" w:rsidRPr="000A348E">
              <w:rPr>
                <w:rStyle w:val="Lienhypertexte"/>
                <w:noProof/>
              </w:rPr>
              <w:t>Mesures et rapports</w:t>
            </w:r>
            <w:r w:rsidR="00955EF8">
              <w:rPr>
                <w:noProof/>
                <w:webHidden/>
              </w:rPr>
              <w:tab/>
            </w:r>
            <w:r w:rsidR="00955EF8">
              <w:rPr>
                <w:noProof/>
                <w:webHidden/>
              </w:rPr>
              <w:fldChar w:fldCharType="begin"/>
            </w:r>
            <w:r w:rsidR="00955EF8">
              <w:rPr>
                <w:noProof/>
                <w:webHidden/>
              </w:rPr>
              <w:instrText xml:space="preserve"> PAGEREF _Toc66377266 \h </w:instrText>
            </w:r>
            <w:r w:rsidR="00955EF8">
              <w:rPr>
                <w:noProof/>
                <w:webHidden/>
              </w:rPr>
            </w:r>
            <w:r w:rsidR="00955EF8">
              <w:rPr>
                <w:noProof/>
                <w:webHidden/>
              </w:rPr>
              <w:fldChar w:fldCharType="separate"/>
            </w:r>
            <w:r w:rsidR="00955EF8">
              <w:rPr>
                <w:noProof/>
                <w:webHidden/>
              </w:rPr>
              <w:t>12</w:t>
            </w:r>
            <w:r w:rsidR="00955EF8">
              <w:rPr>
                <w:noProof/>
                <w:webHidden/>
              </w:rPr>
              <w:fldChar w:fldCharType="end"/>
            </w:r>
          </w:hyperlink>
        </w:p>
        <w:p w14:paraId="170EEF25" w14:textId="38805C64" w:rsidR="00955EF8" w:rsidRDefault="004B0648">
          <w:pPr>
            <w:pStyle w:val="TM3"/>
            <w:tabs>
              <w:tab w:val="left" w:pos="1320"/>
              <w:tab w:val="right" w:leader="dot" w:pos="9350"/>
            </w:tabs>
            <w:rPr>
              <w:rFonts w:eastAsiaTheme="minorEastAsia"/>
              <w:noProof/>
            </w:rPr>
          </w:pPr>
          <w:hyperlink w:anchor="_Toc66377267" w:history="1">
            <w:r w:rsidR="00955EF8" w:rsidRPr="000A348E">
              <w:rPr>
                <w:rStyle w:val="Lienhypertexte"/>
                <w:noProof/>
              </w:rPr>
              <w:t>5.5.1.</w:t>
            </w:r>
            <w:r w:rsidR="00955EF8">
              <w:rPr>
                <w:rFonts w:eastAsiaTheme="minorEastAsia"/>
                <w:noProof/>
              </w:rPr>
              <w:tab/>
            </w:r>
            <w:r w:rsidR="00955EF8" w:rsidRPr="000A348E">
              <w:rPr>
                <w:rStyle w:val="Lienhypertexte"/>
                <w:noProof/>
              </w:rPr>
              <w:t>Articles susceptibles d’être remplis</w:t>
            </w:r>
            <w:r w:rsidR="00955EF8">
              <w:rPr>
                <w:noProof/>
                <w:webHidden/>
              </w:rPr>
              <w:tab/>
            </w:r>
            <w:r w:rsidR="00955EF8">
              <w:rPr>
                <w:noProof/>
                <w:webHidden/>
              </w:rPr>
              <w:fldChar w:fldCharType="begin"/>
            </w:r>
            <w:r w:rsidR="00955EF8">
              <w:rPr>
                <w:noProof/>
                <w:webHidden/>
              </w:rPr>
              <w:instrText xml:space="preserve"> PAGEREF _Toc66377267 \h </w:instrText>
            </w:r>
            <w:r w:rsidR="00955EF8">
              <w:rPr>
                <w:noProof/>
                <w:webHidden/>
              </w:rPr>
            </w:r>
            <w:r w:rsidR="00955EF8">
              <w:rPr>
                <w:noProof/>
                <w:webHidden/>
              </w:rPr>
              <w:fldChar w:fldCharType="separate"/>
            </w:r>
            <w:r w:rsidR="00955EF8">
              <w:rPr>
                <w:noProof/>
                <w:webHidden/>
              </w:rPr>
              <w:t>12</w:t>
            </w:r>
            <w:r w:rsidR="00955EF8">
              <w:rPr>
                <w:noProof/>
                <w:webHidden/>
              </w:rPr>
              <w:fldChar w:fldCharType="end"/>
            </w:r>
          </w:hyperlink>
        </w:p>
        <w:p w14:paraId="32F917EA" w14:textId="5B49360D" w:rsidR="00955EF8" w:rsidRDefault="004B0648">
          <w:pPr>
            <w:pStyle w:val="TM3"/>
            <w:tabs>
              <w:tab w:val="left" w:pos="1320"/>
              <w:tab w:val="right" w:leader="dot" w:pos="9350"/>
            </w:tabs>
            <w:rPr>
              <w:rFonts w:eastAsiaTheme="minorEastAsia"/>
              <w:noProof/>
            </w:rPr>
          </w:pPr>
          <w:hyperlink w:anchor="_Toc66377268" w:history="1">
            <w:r w:rsidR="00955EF8" w:rsidRPr="000A348E">
              <w:rPr>
                <w:rStyle w:val="Lienhypertexte"/>
                <w:noProof/>
                <w:lang w:val="fr-BE"/>
              </w:rPr>
              <w:t>5.5.2.</w:t>
            </w:r>
            <w:r w:rsidR="00955EF8">
              <w:rPr>
                <w:rFonts w:eastAsiaTheme="minorEastAsia"/>
                <w:noProof/>
              </w:rPr>
              <w:tab/>
            </w:r>
            <w:r w:rsidR="00955EF8" w:rsidRPr="000A348E">
              <w:rPr>
                <w:rStyle w:val="Lienhypertexte"/>
                <w:noProof/>
                <w:lang w:val="fr-BE"/>
              </w:rPr>
              <w:t>Articles qui ne peuvent être remplis</w:t>
            </w:r>
            <w:r w:rsidR="00955EF8">
              <w:rPr>
                <w:noProof/>
                <w:webHidden/>
              </w:rPr>
              <w:tab/>
            </w:r>
            <w:r w:rsidR="00955EF8">
              <w:rPr>
                <w:noProof/>
                <w:webHidden/>
              </w:rPr>
              <w:fldChar w:fldCharType="begin"/>
            </w:r>
            <w:r w:rsidR="00955EF8">
              <w:rPr>
                <w:noProof/>
                <w:webHidden/>
              </w:rPr>
              <w:instrText xml:space="preserve"> PAGEREF _Toc66377268 \h </w:instrText>
            </w:r>
            <w:r w:rsidR="00955EF8">
              <w:rPr>
                <w:noProof/>
                <w:webHidden/>
              </w:rPr>
            </w:r>
            <w:r w:rsidR="00955EF8">
              <w:rPr>
                <w:noProof/>
                <w:webHidden/>
              </w:rPr>
              <w:fldChar w:fldCharType="separate"/>
            </w:r>
            <w:r w:rsidR="00955EF8">
              <w:rPr>
                <w:noProof/>
                <w:webHidden/>
              </w:rPr>
              <w:t>13</w:t>
            </w:r>
            <w:r w:rsidR="00955EF8">
              <w:rPr>
                <w:noProof/>
                <w:webHidden/>
              </w:rPr>
              <w:fldChar w:fldCharType="end"/>
            </w:r>
          </w:hyperlink>
        </w:p>
        <w:p w14:paraId="19172BB3" w14:textId="24FBA9CC" w:rsidR="00955EF8" w:rsidRDefault="004B0648">
          <w:pPr>
            <w:pStyle w:val="TM4"/>
            <w:tabs>
              <w:tab w:val="left" w:pos="1760"/>
              <w:tab w:val="right" w:leader="dot" w:pos="9350"/>
            </w:tabs>
            <w:rPr>
              <w:rFonts w:eastAsiaTheme="minorEastAsia"/>
              <w:noProof/>
            </w:rPr>
          </w:pPr>
          <w:hyperlink w:anchor="_Toc66377269" w:history="1">
            <w:r w:rsidR="00955EF8" w:rsidRPr="000A348E">
              <w:rPr>
                <w:rStyle w:val="Lienhypertexte"/>
                <w:noProof/>
                <w:lang w:val="fr-BE"/>
              </w:rPr>
              <w:t>5.5.2.1.</w:t>
            </w:r>
            <w:r w:rsidR="00955EF8">
              <w:rPr>
                <w:rFonts w:eastAsiaTheme="minorEastAsia"/>
                <w:noProof/>
              </w:rPr>
              <w:tab/>
            </w:r>
            <w:r w:rsidR="00955EF8" w:rsidRPr="000A348E">
              <w:rPr>
                <w:rStyle w:val="Lienhypertexte"/>
                <w:noProof/>
                <w:lang w:val="fr-BE"/>
              </w:rPr>
              <w:t>Mesures pour le calcul de l’enveloppe de l’article</w:t>
            </w:r>
            <w:r w:rsidR="00955EF8">
              <w:rPr>
                <w:noProof/>
                <w:webHidden/>
              </w:rPr>
              <w:tab/>
            </w:r>
            <w:r w:rsidR="00955EF8">
              <w:rPr>
                <w:noProof/>
                <w:webHidden/>
              </w:rPr>
              <w:fldChar w:fldCharType="begin"/>
            </w:r>
            <w:r w:rsidR="00955EF8">
              <w:rPr>
                <w:noProof/>
                <w:webHidden/>
              </w:rPr>
              <w:instrText xml:space="preserve"> PAGEREF _Toc66377269 \h </w:instrText>
            </w:r>
            <w:r w:rsidR="00955EF8">
              <w:rPr>
                <w:noProof/>
                <w:webHidden/>
              </w:rPr>
            </w:r>
            <w:r w:rsidR="00955EF8">
              <w:rPr>
                <w:noProof/>
                <w:webHidden/>
              </w:rPr>
              <w:fldChar w:fldCharType="separate"/>
            </w:r>
            <w:r w:rsidR="00955EF8">
              <w:rPr>
                <w:noProof/>
                <w:webHidden/>
              </w:rPr>
              <w:t>13</w:t>
            </w:r>
            <w:r w:rsidR="00955EF8">
              <w:rPr>
                <w:noProof/>
                <w:webHidden/>
              </w:rPr>
              <w:fldChar w:fldCharType="end"/>
            </w:r>
          </w:hyperlink>
        </w:p>
        <w:p w14:paraId="28F434A4" w14:textId="554A6D93" w:rsidR="00955EF8" w:rsidRDefault="004B0648">
          <w:pPr>
            <w:pStyle w:val="TM4"/>
            <w:tabs>
              <w:tab w:val="left" w:pos="1760"/>
              <w:tab w:val="right" w:leader="dot" w:pos="9350"/>
            </w:tabs>
            <w:rPr>
              <w:rFonts w:eastAsiaTheme="minorEastAsia"/>
              <w:noProof/>
            </w:rPr>
          </w:pPr>
          <w:hyperlink w:anchor="_Toc66377270" w:history="1">
            <w:r w:rsidR="00955EF8" w:rsidRPr="000A348E">
              <w:rPr>
                <w:rStyle w:val="Lienhypertexte"/>
                <w:noProof/>
                <w:lang w:val="fr-BE"/>
              </w:rPr>
              <w:t>5.5.2.2.</w:t>
            </w:r>
            <w:r w:rsidR="00955EF8">
              <w:rPr>
                <w:rFonts w:eastAsiaTheme="minorEastAsia"/>
                <w:noProof/>
              </w:rPr>
              <w:tab/>
            </w:r>
            <w:r w:rsidR="00955EF8" w:rsidRPr="000A348E">
              <w:rPr>
                <w:rStyle w:val="Lienhypertexte"/>
                <w:noProof/>
                <w:lang w:val="fr-BE"/>
              </w:rPr>
              <w:t>Détermination du poids de référence (RW)</w:t>
            </w:r>
            <w:r w:rsidR="00955EF8">
              <w:rPr>
                <w:noProof/>
                <w:webHidden/>
              </w:rPr>
              <w:tab/>
            </w:r>
            <w:r w:rsidR="00955EF8">
              <w:rPr>
                <w:noProof/>
                <w:webHidden/>
              </w:rPr>
              <w:fldChar w:fldCharType="begin"/>
            </w:r>
            <w:r w:rsidR="00955EF8">
              <w:rPr>
                <w:noProof/>
                <w:webHidden/>
              </w:rPr>
              <w:instrText xml:space="preserve"> PAGEREF _Toc66377270 \h </w:instrText>
            </w:r>
            <w:r w:rsidR="00955EF8">
              <w:rPr>
                <w:noProof/>
                <w:webHidden/>
              </w:rPr>
            </w:r>
            <w:r w:rsidR="00955EF8">
              <w:rPr>
                <w:noProof/>
                <w:webHidden/>
              </w:rPr>
              <w:fldChar w:fldCharType="separate"/>
            </w:r>
            <w:r w:rsidR="00955EF8">
              <w:rPr>
                <w:noProof/>
                <w:webHidden/>
              </w:rPr>
              <w:t>16</w:t>
            </w:r>
            <w:r w:rsidR="00955EF8">
              <w:rPr>
                <w:noProof/>
                <w:webHidden/>
              </w:rPr>
              <w:fldChar w:fldCharType="end"/>
            </w:r>
          </w:hyperlink>
        </w:p>
        <w:p w14:paraId="3B943D69" w14:textId="6097B3A0" w:rsidR="00955EF8" w:rsidRDefault="004B0648">
          <w:pPr>
            <w:pStyle w:val="TM4"/>
            <w:tabs>
              <w:tab w:val="left" w:pos="1760"/>
              <w:tab w:val="right" w:leader="dot" w:pos="9350"/>
            </w:tabs>
            <w:rPr>
              <w:rFonts w:eastAsiaTheme="minorEastAsia"/>
              <w:noProof/>
            </w:rPr>
          </w:pPr>
          <w:hyperlink w:anchor="_Toc66377271" w:history="1">
            <w:r w:rsidR="00955EF8" w:rsidRPr="000A348E">
              <w:rPr>
                <w:rStyle w:val="Lienhypertexte"/>
                <w:noProof/>
                <w:lang w:val="fr-BE"/>
              </w:rPr>
              <w:t>5.5.2.3.</w:t>
            </w:r>
            <w:r w:rsidR="00955EF8">
              <w:rPr>
                <w:rFonts w:eastAsiaTheme="minorEastAsia"/>
                <w:noProof/>
              </w:rPr>
              <w:tab/>
            </w:r>
            <w:r w:rsidR="00955EF8" w:rsidRPr="000A348E">
              <w:rPr>
                <w:rStyle w:val="Lienhypertexte"/>
                <w:noProof/>
                <w:lang w:val="fr-BE"/>
              </w:rPr>
              <w:t>Détermination de la libération d’un élément spécifique</w:t>
            </w:r>
            <w:r w:rsidR="00955EF8">
              <w:rPr>
                <w:noProof/>
                <w:webHidden/>
              </w:rPr>
              <w:tab/>
            </w:r>
            <w:r w:rsidR="00955EF8">
              <w:rPr>
                <w:noProof/>
                <w:webHidden/>
              </w:rPr>
              <w:fldChar w:fldCharType="begin"/>
            </w:r>
            <w:r w:rsidR="00955EF8">
              <w:rPr>
                <w:noProof/>
                <w:webHidden/>
              </w:rPr>
              <w:instrText xml:space="preserve"> PAGEREF _Toc66377271 \h </w:instrText>
            </w:r>
            <w:r w:rsidR="00955EF8">
              <w:rPr>
                <w:noProof/>
                <w:webHidden/>
              </w:rPr>
            </w:r>
            <w:r w:rsidR="00955EF8">
              <w:rPr>
                <w:noProof/>
                <w:webHidden/>
              </w:rPr>
              <w:fldChar w:fldCharType="separate"/>
            </w:r>
            <w:r w:rsidR="00955EF8">
              <w:rPr>
                <w:noProof/>
                <w:webHidden/>
              </w:rPr>
              <w:t>17</w:t>
            </w:r>
            <w:r w:rsidR="00955EF8">
              <w:rPr>
                <w:noProof/>
                <w:webHidden/>
              </w:rPr>
              <w:fldChar w:fldCharType="end"/>
            </w:r>
          </w:hyperlink>
        </w:p>
        <w:p w14:paraId="4104CA13" w14:textId="5506E64B" w:rsidR="00955EF8" w:rsidRDefault="004B0648">
          <w:pPr>
            <w:pStyle w:val="TM4"/>
            <w:tabs>
              <w:tab w:val="left" w:pos="1760"/>
              <w:tab w:val="right" w:leader="dot" w:pos="9350"/>
            </w:tabs>
            <w:rPr>
              <w:rFonts w:eastAsiaTheme="minorEastAsia"/>
              <w:noProof/>
            </w:rPr>
          </w:pPr>
          <w:hyperlink w:anchor="_Toc66377272" w:history="1">
            <w:r w:rsidR="00955EF8" w:rsidRPr="000A348E">
              <w:rPr>
                <w:rStyle w:val="Lienhypertexte"/>
                <w:noProof/>
                <w:lang w:val="fr-BE"/>
              </w:rPr>
              <w:t>5.5.2.4.</w:t>
            </w:r>
            <w:r w:rsidR="00955EF8">
              <w:rPr>
                <w:rFonts w:eastAsiaTheme="minorEastAsia"/>
                <w:noProof/>
              </w:rPr>
              <w:tab/>
            </w:r>
            <w:r w:rsidR="00955EF8" w:rsidRPr="000A348E">
              <w:rPr>
                <w:rStyle w:val="Lienhypertexte"/>
                <w:noProof/>
                <w:lang w:val="fr-BE"/>
              </w:rPr>
              <w:t>Détermination de la libération spécifique</w:t>
            </w:r>
            <w:r w:rsidR="00955EF8">
              <w:rPr>
                <w:noProof/>
                <w:webHidden/>
              </w:rPr>
              <w:tab/>
            </w:r>
            <w:r w:rsidR="00955EF8">
              <w:rPr>
                <w:noProof/>
                <w:webHidden/>
              </w:rPr>
              <w:fldChar w:fldCharType="begin"/>
            </w:r>
            <w:r w:rsidR="00955EF8">
              <w:rPr>
                <w:noProof/>
                <w:webHidden/>
              </w:rPr>
              <w:instrText xml:space="preserve"> PAGEREF _Toc66377272 \h </w:instrText>
            </w:r>
            <w:r w:rsidR="00955EF8">
              <w:rPr>
                <w:noProof/>
                <w:webHidden/>
              </w:rPr>
            </w:r>
            <w:r w:rsidR="00955EF8">
              <w:rPr>
                <w:noProof/>
                <w:webHidden/>
              </w:rPr>
              <w:fldChar w:fldCharType="separate"/>
            </w:r>
            <w:r w:rsidR="00955EF8">
              <w:rPr>
                <w:noProof/>
                <w:webHidden/>
              </w:rPr>
              <w:t>17</w:t>
            </w:r>
            <w:r w:rsidR="00955EF8">
              <w:rPr>
                <w:noProof/>
                <w:webHidden/>
              </w:rPr>
              <w:fldChar w:fldCharType="end"/>
            </w:r>
          </w:hyperlink>
        </w:p>
        <w:p w14:paraId="6FC90813" w14:textId="7D41AE54" w:rsidR="00955EF8" w:rsidRDefault="004B0648">
          <w:pPr>
            <w:pStyle w:val="TM3"/>
            <w:tabs>
              <w:tab w:val="left" w:pos="1320"/>
              <w:tab w:val="right" w:leader="dot" w:pos="9350"/>
            </w:tabs>
            <w:rPr>
              <w:rFonts w:eastAsiaTheme="minorEastAsia"/>
              <w:noProof/>
            </w:rPr>
          </w:pPr>
          <w:hyperlink w:anchor="_Toc66377273" w:history="1">
            <w:r w:rsidR="00955EF8" w:rsidRPr="000A348E">
              <w:rPr>
                <w:rStyle w:val="Lienhypertexte"/>
                <w:noProof/>
                <w:lang w:val="fr-BE"/>
              </w:rPr>
              <w:t>5.5.3.</w:t>
            </w:r>
            <w:r w:rsidR="00955EF8">
              <w:rPr>
                <w:rFonts w:eastAsiaTheme="minorEastAsia"/>
                <w:noProof/>
              </w:rPr>
              <w:tab/>
            </w:r>
            <w:r w:rsidR="00955EF8" w:rsidRPr="000A348E">
              <w:rPr>
                <w:rStyle w:val="Lienhypertexte"/>
                <w:noProof/>
                <w:lang w:val="fr-BE"/>
              </w:rPr>
              <w:t>Matériaux et/ou articles plats pouvant être découpés</w:t>
            </w:r>
            <w:r w:rsidR="00955EF8">
              <w:rPr>
                <w:noProof/>
                <w:webHidden/>
              </w:rPr>
              <w:tab/>
            </w:r>
            <w:r w:rsidR="00955EF8">
              <w:rPr>
                <w:noProof/>
                <w:webHidden/>
              </w:rPr>
              <w:fldChar w:fldCharType="begin"/>
            </w:r>
            <w:r w:rsidR="00955EF8">
              <w:rPr>
                <w:noProof/>
                <w:webHidden/>
              </w:rPr>
              <w:instrText xml:space="preserve"> PAGEREF _Toc66377273 \h </w:instrText>
            </w:r>
            <w:r w:rsidR="00955EF8">
              <w:rPr>
                <w:noProof/>
                <w:webHidden/>
              </w:rPr>
            </w:r>
            <w:r w:rsidR="00955EF8">
              <w:rPr>
                <w:noProof/>
                <w:webHidden/>
              </w:rPr>
              <w:fldChar w:fldCharType="separate"/>
            </w:r>
            <w:r w:rsidR="00955EF8">
              <w:rPr>
                <w:noProof/>
                <w:webHidden/>
              </w:rPr>
              <w:t>17</w:t>
            </w:r>
            <w:r w:rsidR="00955EF8">
              <w:rPr>
                <w:noProof/>
                <w:webHidden/>
              </w:rPr>
              <w:fldChar w:fldCharType="end"/>
            </w:r>
          </w:hyperlink>
        </w:p>
        <w:p w14:paraId="0E47C48E" w14:textId="6882F7CB" w:rsidR="00955EF8" w:rsidRDefault="004B0648">
          <w:pPr>
            <w:pStyle w:val="TM1"/>
            <w:rPr>
              <w:rFonts w:eastAsiaTheme="minorEastAsia"/>
              <w:noProof/>
            </w:rPr>
          </w:pPr>
          <w:hyperlink w:anchor="_Toc66377274" w:history="1">
            <w:r w:rsidR="00955EF8" w:rsidRPr="000A348E">
              <w:rPr>
                <w:rStyle w:val="Lienhypertexte"/>
                <w:noProof/>
                <w:lang w:val="fr-BE"/>
              </w:rPr>
              <w:t>6.</w:t>
            </w:r>
            <w:r w:rsidR="00955EF8">
              <w:rPr>
                <w:rFonts w:eastAsiaTheme="minorEastAsia"/>
                <w:noProof/>
              </w:rPr>
              <w:tab/>
            </w:r>
            <w:r w:rsidR="00955EF8" w:rsidRPr="000A348E">
              <w:rPr>
                <w:rStyle w:val="Lienhypertexte"/>
                <w:noProof/>
                <w:lang w:val="fr-BE"/>
              </w:rPr>
              <w:t>Évaluation des risques liés aux applications industrielles</w:t>
            </w:r>
            <w:r w:rsidR="00955EF8">
              <w:rPr>
                <w:noProof/>
                <w:webHidden/>
              </w:rPr>
              <w:tab/>
            </w:r>
            <w:r w:rsidR="00955EF8">
              <w:rPr>
                <w:noProof/>
                <w:webHidden/>
              </w:rPr>
              <w:fldChar w:fldCharType="begin"/>
            </w:r>
            <w:r w:rsidR="00955EF8">
              <w:rPr>
                <w:noProof/>
                <w:webHidden/>
              </w:rPr>
              <w:instrText xml:space="preserve"> PAGEREF _Toc66377274 \h </w:instrText>
            </w:r>
            <w:r w:rsidR="00955EF8">
              <w:rPr>
                <w:noProof/>
                <w:webHidden/>
              </w:rPr>
            </w:r>
            <w:r w:rsidR="00955EF8">
              <w:rPr>
                <w:noProof/>
                <w:webHidden/>
              </w:rPr>
              <w:fldChar w:fldCharType="separate"/>
            </w:r>
            <w:r w:rsidR="00955EF8">
              <w:rPr>
                <w:noProof/>
                <w:webHidden/>
              </w:rPr>
              <w:t>18</w:t>
            </w:r>
            <w:r w:rsidR="00955EF8">
              <w:rPr>
                <w:noProof/>
                <w:webHidden/>
              </w:rPr>
              <w:fldChar w:fldCharType="end"/>
            </w:r>
          </w:hyperlink>
        </w:p>
        <w:p w14:paraId="724C349B" w14:textId="7341B2DF" w:rsidR="00955EF8" w:rsidRDefault="004B0648">
          <w:pPr>
            <w:pStyle w:val="TM1"/>
            <w:rPr>
              <w:rFonts w:eastAsiaTheme="minorEastAsia"/>
              <w:noProof/>
            </w:rPr>
          </w:pPr>
          <w:hyperlink w:anchor="_Toc66377275" w:history="1">
            <w:r w:rsidR="00955EF8" w:rsidRPr="000A348E">
              <w:rPr>
                <w:rStyle w:val="Lienhypertexte"/>
                <w:noProof/>
                <w:lang w:val="fr-BE"/>
              </w:rPr>
              <w:t>7.</w:t>
            </w:r>
            <w:r w:rsidR="00955EF8">
              <w:rPr>
                <w:rFonts w:eastAsiaTheme="minorEastAsia"/>
                <w:noProof/>
              </w:rPr>
              <w:tab/>
            </w:r>
            <w:r w:rsidR="00955EF8" w:rsidRPr="000A348E">
              <w:rPr>
                <w:rStyle w:val="Lienhypertexte"/>
                <w:noProof/>
              </w:rPr>
              <w:t>Normes &amp; références</w:t>
            </w:r>
            <w:r w:rsidR="00955EF8">
              <w:rPr>
                <w:noProof/>
                <w:webHidden/>
              </w:rPr>
              <w:tab/>
            </w:r>
            <w:r w:rsidR="00955EF8">
              <w:rPr>
                <w:noProof/>
                <w:webHidden/>
              </w:rPr>
              <w:fldChar w:fldCharType="begin"/>
            </w:r>
            <w:r w:rsidR="00955EF8">
              <w:rPr>
                <w:noProof/>
                <w:webHidden/>
              </w:rPr>
              <w:instrText xml:space="preserve"> PAGEREF _Toc66377275 \h </w:instrText>
            </w:r>
            <w:r w:rsidR="00955EF8">
              <w:rPr>
                <w:noProof/>
                <w:webHidden/>
              </w:rPr>
            </w:r>
            <w:r w:rsidR="00955EF8">
              <w:rPr>
                <w:noProof/>
                <w:webHidden/>
              </w:rPr>
              <w:fldChar w:fldCharType="separate"/>
            </w:r>
            <w:r w:rsidR="00955EF8">
              <w:rPr>
                <w:noProof/>
                <w:webHidden/>
              </w:rPr>
              <w:t>18</w:t>
            </w:r>
            <w:r w:rsidR="00955EF8">
              <w:rPr>
                <w:noProof/>
                <w:webHidden/>
              </w:rPr>
              <w:fldChar w:fldCharType="end"/>
            </w:r>
          </w:hyperlink>
        </w:p>
        <w:p w14:paraId="17FA6BDD" w14:textId="708B00E9" w:rsidR="0019264E" w:rsidRPr="007A2892" w:rsidRDefault="0019264E" w:rsidP="00992D47">
          <w:pPr>
            <w:jc w:val="both"/>
          </w:pPr>
          <w:r w:rsidRPr="001657C0">
            <w:fldChar w:fldCharType="end"/>
          </w:r>
        </w:p>
      </w:sdtContent>
    </w:sdt>
    <w:p w14:paraId="2C45D053" w14:textId="77777777" w:rsidR="00C24361" w:rsidRPr="007A2892" w:rsidRDefault="00C24361">
      <w:pPr>
        <w:jc w:val="both"/>
      </w:pPr>
    </w:p>
    <w:p w14:paraId="1A4929F6" w14:textId="02736D6D" w:rsidR="00C24361" w:rsidRPr="007A2892" w:rsidRDefault="00966D37">
      <w:pPr>
        <w:pStyle w:val="Titre1"/>
        <w:numPr>
          <w:ilvl w:val="0"/>
          <w:numId w:val="6"/>
        </w:numPr>
        <w:jc w:val="both"/>
      </w:pPr>
      <w:bookmarkStart w:id="1" w:name="_Toc66377238"/>
      <w:r w:rsidRPr="007A2892">
        <w:t>Introduction</w:t>
      </w:r>
      <w:bookmarkEnd w:id="1"/>
    </w:p>
    <w:p w14:paraId="08C05E0E" w14:textId="29A4C2EE" w:rsidR="00EC2203" w:rsidRPr="007A2892" w:rsidRDefault="00EC2203" w:rsidP="00EC2203">
      <w:pPr>
        <w:rPr>
          <w:lang w:val="fr-BE"/>
        </w:rPr>
      </w:pPr>
      <w:r w:rsidRPr="007A2892">
        <w:rPr>
          <w:lang w:val="fr-BE"/>
        </w:rPr>
        <w:t>Cette ligne directrice sert de support à l'interprétation et à l'application de l'arrêté royal concernant les matériaux et objets en métal et alliage destinés à entrer en contact avec les denrées alimentaires.</w:t>
      </w:r>
    </w:p>
    <w:p w14:paraId="56E4FD46" w14:textId="3D6B7598" w:rsidR="00EC2203" w:rsidRPr="007A2892" w:rsidRDefault="00EC2203" w:rsidP="00EC2203">
      <w:pPr>
        <w:rPr>
          <w:lang w:val="fr-BE"/>
        </w:rPr>
      </w:pPr>
      <w:r w:rsidRPr="007A2892">
        <w:rPr>
          <w:lang w:val="fr-BE"/>
        </w:rPr>
        <w:t xml:space="preserve">Le guide contient </w:t>
      </w:r>
      <w:r w:rsidR="00074277">
        <w:rPr>
          <w:lang w:val="fr-BE"/>
        </w:rPr>
        <w:t>davantage</w:t>
      </w:r>
      <w:r w:rsidRPr="007A2892">
        <w:rPr>
          <w:lang w:val="fr-BE"/>
        </w:rPr>
        <w:t xml:space="preserve"> d'informations sur le champ d'application, clarifie certains termes et définitions et décrit les tests de libération à utiliser et l'analyse des risques possibles dans l'industrie alimentaire.</w:t>
      </w:r>
    </w:p>
    <w:p w14:paraId="2139ABF7" w14:textId="29D55D7E" w:rsidR="00EC2203" w:rsidRPr="007A2892" w:rsidRDefault="00EC2203" w:rsidP="00EC2203">
      <w:pPr>
        <w:rPr>
          <w:lang w:val="fr-BE"/>
        </w:rPr>
      </w:pPr>
      <w:r w:rsidRPr="007A2892">
        <w:rPr>
          <w:lang w:val="fr-BE"/>
        </w:rPr>
        <w:lastRenderedPageBreak/>
        <w:t>La dernière version de cette directive est toujours disponible sur le site du SPF Santé, sécurité de la chaîne alimentaire et environnement via www.health.belgium.be. Pour toute question concernant ce document et l'arrêté royal, vous pouvez toujours contacter apf.food@health.fgov.be.</w:t>
      </w:r>
    </w:p>
    <w:p w14:paraId="0DB6C054" w14:textId="3383B7B2" w:rsidR="00C24361" w:rsidRPr="007A2892" w:rsidRDefault="00EC2203" w:rsidP="000926BF">
      <w:pPr>
        <w:pStyle w:val="Titre1"/>
        <w:numPr>
          <w:ilvl w:val="0"/>
          <w:numId w:val="6"/>
        </w:numPr>
        <w:jc w:val="both"/>
      </w:pPr>
      <w:bookmarkStart w:id="2" w:name="_Toc66377239"/>
      <w:r w:rsidRPr="007A2892">
        <w:t xml:space="preserve">Champs </w:t>
      </w:r>
      <w:r w:rsidR="007A2892" w:rsidRPr="007A2892">
        <w:t>d ’application</w:t>
      </w:r>
      <w:bookmarkEnd w:id="2"/>
    </w:p>
    <w:p w14:paraId="28A1B504" w14:textId="6F174E7F" w:rsidR="00C24361" w:rsidRPr="007A2892" w:rsidRDefault="00262477">
      <w:pPr>
        <w:pStyle w:val="Titre2"/>
      </w:pPr>
      <w:bookmarkStart w:id="3" w:name="_Toc66377240"/>
      <w:proofErr w:type="spellStart"/>
      <w:r w:rsidRPr="007A2892">
        <w:t>L’arrêté</w:t>
      </w:r>
      <w:proofErr w:type="spellEnd"/>
      <w:r w:rsidRPr="007A2892">
        <w:t xml:space="preserve"> royal </w:t>
      </w:r>
      <w:proofErr w:type="spellStart"/>
      <w:r w:rsidRPr="007A2892">
        <w:t>s’applique</w:t>
      </w:r>
      <w:proofErr w:type="spellEnd"/>
      <w:r w:rsidRPr="007A2892">
        <w:t>:</w:t>
      </w:r>
      <w:bookmarkEnd w:id="3"/>
    </w:p>
    <w:p w14:paraId="6C2B6036" w14:textId="77777777" w:rsidR="00EC2203" w:rsidRPr="007A2892" w:rsidRDefault="00EC2203" w:rsidP="00EC2203"/>
    <w:p w14:paraId="50CDA2D4" w14:textId="339FF3E1" w:rsidR="00EC2203" w:rsidRPr="007A2892" w:rsidRDefault="00EC2203" w:rsidP="00EC2203">
      <w:pPr>
        <w:autoSpaceDE w:val="0"/>
        <w:autoSpaceDN w:val="0"/>
        <w:adjustRightInd w:val="0"/>
        <w:spacing w:before="20" w:after="100" w:line="221" w:lineRule="atLeast"/>
        <w:rPr>
          <w:lang w:val="fr-BE"/>
        </w:rPr>
      </w:pPr>
      <w:r w:rsidRPr="007A2892">
        <w:rPr>
          <w:lang w:val="fr-BE"/>
        </w:rPr>
        <w:t>L’AR s’appliquent à la libération non intentionnelle de certains ions métalliques par des matériaux et objets constitués totalement ou partiellement de métaux ou d’alliages</w:t>
      </w:r>
      <w:r w:rsidR="00BE7EEC" w:rsidRPr="007A2892">
        <w:rPr>
          <w:lang w:val="fr-BE"/>
        </w:rPr>
        <w:t xml:space="preserve"> </w:t>
      </w:r>
      <w:r w:rsidRPr="007A2892">
        <w:rPr>
          <w:lang w:val="fr-BE"/>
        </w:rPr>
        <w:t xml:space="preserve">à l’état de produits finis : </w:t>
      </w:r>
    </w:p>
    <w:p w14:paraId="7BEC8E6E" w14:textId="77777777" w:rsidR="00EC2203" w:rsidRPr="007A2892" w:rsidRDefault="00EC2203" w:rsidP="005A458B">
      <w:pPr>
        <w:pStyle w:val="Paragraphedeliste"/>
        <w:numPr>
          <w:ilvl w:val="0"/>
          <w:numId w:val="39"/>
        </w:numPr>
        <w:autoSpaceDE w:val="0"/>
        <w:autoSpaceDN w:val="0"/>
        <w:adjustRightInd w:val="0"/>
        <w:spacing w:after="6"/>
        <w:rPr>
          <w:rFonts w:asciiTheme="minorHAnsi" w:eastAsiaTheme="minorHAnsi" w:hAnsiTheme="minorHAnsi" w:cstheme="minorBidi"/>
          <w:sz w:val="22"/>
          <w:szCs w:val="22"/>
          <w:lang w:val="fr-BE" w:eastAsia="en-US"/>
        </w:rPr>
      </w:pPr>
      <w:r w:rsidRPr="007A2892">
        <w:rPr>
          <w:rFonts w:asciiTheme="minorHAnsi" w:eastAsiaTheme="minorHAnsi" w:hAnsiTheme="minorHAnsi" w:cstheme="minorBidi"/>
          <w:sz w:val="22"/>
          <w:szCs w:val="22"/>
          <w:lang w:val="fr-BE" w:eastAsia="en-US"/>
        </w:rPr>
        <w:t xml:space="preserve">ils sont destinés à être mis au contact de denrées alimentaires ; ou </w:t>
      </w:r>
    </w:p>
    <w:p w14:paraId="3D2115FC" w14:textId="77777777" w:rsidR="00EC2203" w:rsidRPr="007A2892" w:rsidRDefault="00EC2203" w:rsidP="005A458B">
      <w:pPr>
        <w:pStyle w:val="Paragraphedeliste"/>
        <w:numPr>
          <w:ilvl w:val="0"/>
          <w:numId w:val="39"/>
        </w:numPr>
        <w:autoSpaceDE w:val="0"/>
        <w:autoSpaceDN w:val="0"/>
        <w:adjustRightInd w:val="0"/>
        <w:rPr>
          <w:rFonts w:asciiTheme="minorHAnsi" w:eastAsiaTheme="minorHAnsi" w:hAnsiTheme="minorHAnsi" w:cstheme="minorBidi"/>
          <w:sz w:val="22"/>
          <w:szCs w:val="22"/>
          <w:lang w:val="fr-BE" w:eastAsia="en-US"/>
        </w:rPr>
      </w:pPr>
      <w:r w:rsidRPr="007A2892">
        <w:rPr>
          <w:rFonts w:asciiTheme="minorHAnsi" w:eastAsiaTheme="minorHAnsi" w:hAnsiTheme="minorHAnsi" w:cstheme="minorBidi"/>
          <w:sz w:val="22"/>
          <w:szCs w:val="22"/>
          <w:lang w:val="fr-BE" w:eastAsia="en-US"/>
        </w:rPr>
        <w:t>ils sont déjà au contact de denrées alimentaires et étaient destinés à cet effet ; ou</w:t>
      </w:r>
    </w:p>
    <w:p w14:paraId="3955407C" w14:textId="77777777" w:rsidR="00EC2203" w:rsidRPr="007A2892" w:rsidRDefault="00EC2203" w:rsidP="005A458B">
      <w:pPr>
        <w:pStyle w:val="Paragraphedeliste"/>
        <w:numPr>
          <w:ilvl w:val="0"/>
          <w:numId w:val="39"/>
        </w:numPr>
        <w:autoSpaceDE w:val="0"/>
        <w:autoSpaceDN w:val="0"/>
        <w:adjustRightInd w:val="0"/>
        <w:rPr>
          <w:rFonts w:asciiTheme="minorHAnsi" w:eastAsiaTheme="minorHAnsi" w:hAnsiTheme="minorHAnsi" w:cstheme="minorBidi"/>
          <w:sz w:val="22"/>
          <w:szCs w:val="22"/>
          <w:lang w:val="fr-BE" w:eastAsia="en-US"/>
        </w:rPr>
      </w:pPr>
      <w:r w:rsidRPr="007A2892">
        <w:rPr>
          <w:rFonts w:asciiTheme="minorHAnsi" w:eastAsiaTheme="minorHAnsi" w:hAnsiTheme="minorHAnsi" w:cstheme="minorBidi"/>
          <w:sz w:val="22"/>
          <w:szCs w:val="22"/>
          <w:lang w:val="fr-BE" w:eastAsia="en-US"/>
        </w:rPr>
        <w:t xml:space="preserve">on peut raisonnablement s’attendre à ce qu’ils soient mis au contact de denrées alimentaires ou qu’ils transfèrent leurs constituants à des denrées alimentaires dans les conditions normales ou prévisibles d’emploi. </w:t>
      </w:r>
    </w:p>
    <w:p w14:paraId="1697AA05" w14:textId="77777777" w:rsidR="00EC2203" w:rsidRPr="007A2892" w:rsidRDefault="00EC2203" w:rsidP="00BE7EEC">
      <w:pPr>
        <w:pStyle w:val="Paragraphedeliste"/>
        <w:autoSpaceDE w:val="0"/>
        <w:autoSpaceDN w:val="0"/>
        <w:adjustRightInd w:val="0"/>
        <w:rPr>
          <w:rFonts w:asciiTheme="minorHAnsi" w:eastAsiaTheme="minorHAnsi" w:hAnsiTheme="minorHAnsi" w:cstheme="minorBidi"/>
          <w:sz w:val="22"/>
          <w:szCs w:val="22"/>
          <w:lang w:val="fr-BE" w:eastAsia="en-US"/>
        </w:rPr>
      </w:pPr>
    </w:p>
    <w:p w14:paraId="5362348B" w14:textId="13A17BDD" w:rsidR="00EC2203" w:rsidRPr="007A2892" w:rsidRDefault="00EC2203" w:rsidP="00EC2203">
      <w:pPr>
        <w:autoSpaceDE w:val="0"/>
        <w:autoSpaceDN w:val="0"/>
        <w:adjustRightInd w:val="0"/>
        <w:spacing w:after="0" w:line="240" w:lineRule="auto"/>
        <w:rPr>
          <w:lang w:val="fr-BE"/>
        </w:rPr>
      </w:pPr>
      <w:r w:rsidRPr="007A2892">
        <w:rPr>
          <w:lang w:val="fr-BE"/>
        </w:rPr>
        <w:t>Exemples : ustensiles ménagers et équipement de transformation des aliments tels que robots de cuisine, feuille</w:t>
      </w:r>
      <w:r w:rsidR="004B0648">
        <w:rPr>
          <w:lang w:val="fr-BE"/>
        </w:rPr>
        <w:t>s</w:t>
      </w:r>
      <w:r w:rsidRPr="007A2892">
        <w:rPr>
          <w:lang w:val="fr-BE"/>
        </w:rPr>
        <w:t xml:space="preserve"> d’emballage alimentaire, récipients, casseroles, mixeurs, couteaux, fourchettes, cuillères, </w:t>
      </w:r>
      <w:r w:rsidR="00D93242" w:rsidRPr="007A2892">
        <w:rPr>
          <w:lang w:val="fr-BE"/>
        </w:rPr>
        <w:t xml:space="preserve">fûts et conteneurs de transport, </w:t>
      </w:r>
      <w:r w:rsidR="004F67E9" w:rsidRPr="00EC107A">
        <w:rPr>
          <w:rFonts w:cstheme="minorHAnsi"/>
          <w:lang w:val="fr-BE"/>
        </w:rPr>
        <w:t>processus de production</w:t>
      </w:r>
      <w:r w:rsidR="004F67E9" w:rsidRPr="007A2892">
        <w:rPr>
          <w:lang w:val="fr-BE"/>
        </w:rPr>
        <w:t xml:space="preserve"> </w:t>
      </w:r>
      <w:r w:rsidR="00D93242" w:rsidRPr="007A2892">
        <w:rPr>
          <w:lang w:val="fr-BE"/>
        </w:rPr>
        <w:t xml:space="preserve">dans l'industrie alimentaire </w:t>
      </w:r>
      <w:r w:rsidRPr="007A2892">
        <w:rPr>
          <w:lang w:val="fr-BE"/>
        </w:rPr>
        <w:t>etc.</w:t>
      </w:r>
    </w:p>
    <w:p w14:paraId="507891D3" w14:textId="77777777" w:rsidR="00C24361" w:rsidRPr="007A2892" w:rsidRDefault="00C24361">
      <w:pPr>
        <w:jc w:val="both"/>
        <w:rPr>
          <w:lang w:val="fr-BE"/>
        </w:rPr>
      </w:pPr>
    </w:p>
    <w:p w14:paraId="04C03AE6" w14:textId="297B470B" w:rsidR="00C24361" w:rsidRPr="007A2892" w:rsidRDefault="00262477">
      <w:pPr>
        <w:pStyle w:val="Titre2"/>
        <w:rPr>
          <w:lang w:val="fr-BE"/>
        </w:rPr>
      </w:pPr>
      <w:bookmarkStart w:id="4" w:name="_Toc66377241"/>
      <w:r w:rsidRPr="007A2892">
        <w:rPr>
          <w:lang w:val="fr-BE"/>
        </w:rPr>
        <w:t>L’arrêté royal ne s’applique pas:</w:t>
      </w:r>
      <w:bookmarkEnd w:id="4"/>
    </w:p>
    <w:p w14:paraId="796147E9" w14:textId="77777777" w:rsidR="005A458B" w:rsidRPr="007A2892" w:rsidRDefault="005A458B" w:rsidP="005A458B">
      <w:pPr>
        <w:rPr>
          <w:lang w:val="fr-BE"/>
        </w:rPr>
      </w:pPr>
    </w:p>
    <w:p w14:paraId="449B09F3" w14:textId="05AEC1B6" w:rsidR="002D5EC3" w:rsidRPr="007A2892" w:rsidRDefault="003B7122" w:rsidP="004F67E9">
      <w:pPr>
        <w:pStyle w:val="Paragraphedeliste"/>
        <w:numPr>
          <w:ilvl w:val="0"/>
          <w:numId w:val="43"/>
        </w:numPr>
        <w:autoSpaceDE w:val="0"/>
        <w:autoSpaceDN w:val="0"/>
        <w:adjustRightInd w:val="0"/>
        <w:rPr>
          <w:rFonts w:asciiTheme="minorHAnsi" w:eastAsiaTheme="minorHAnsi" w:hAnsiTheme="minorHAnsi" w:cstheme="minorBidi"/>
          <w:sz w:val="22"/>
          <w:szCs w:val="22"/>
          <w:lang w:val="fr-BE" w:eastAsia="en-US"/>
        </w:rPr>
      </w:pPr>
      <w:r>
        <w:rPr>
          <w:rFonts w:asciiTheme="minorHAnsi" w:eastAsiaTheme="minorHAnsi" w:hAnsiTheme="minorHAnsi" w:cstheme="minorBidi"/>
          <w:sz w:val="22"/>
          <w:szCs w:val="22"/>
          <w:lang w:val="fr-BE" w:eastAsia="en-US"/>
        </w:rPr>
        <w:t>M</w:t>
      </w:r>
      <w:r w:rsidR="002D5EC3" w:rsidRPr="007A2892">
        <w:rPr>
          <w:rFonts w:asciiTheme="minorHAnsi" w:eastAsiaTheme="minorHAnsi" w:hAnsiTheme="minorHAnsi" w:cstheme="minorBidi"/>
          <w:sz w:val="22"/>
          <w:szCs w:val="22"/>
          <w:lang w:val="fr-BE" w:eastAsia="en-US"/>
        </w:rPr>
        <w:t xml:space="preserve">étaux et alliages utilisés dans les matériaux et objets recouverts d’un revêtement de surface organique qui s’est avéré limiter la libération d’ions métalliques à une valeur inférieure à la limite de libération spécifique applicable (LLS) ; </w:t>
      </w:r>
    </w:p>
    <w:p w14:paraId="593135C1" w14:textId="76E2183B" w:rsidR="002D5EC3" w:rsidRPr="007A2892" w:rsidRDefault="005A458B" w:rsidP="004F67E9">
      <w:pPr>
        <w:pStyle w:val="Paragraphedeliste"/>
        <w:numPr>
          <w:ilvl w:val="0"/>
          <w:numId w:val="43"/>
        </w:numPr>
        <w:autoSpaceDE w:val="0"/>
        <w:autoSpaceDN w:val="0"/>
        <w:adjustRightInd w:val="0"/>
        <w:rPr>
          <w:rFonts w:asciiTheme="minorHAnsi" w:eastAsiaTheme="minorHAnsi" w:hAnsiTheme="minorHAnsi" w:cstheme="minorBidi"/>
          <w:sz w:val="22"/>
          <w:szCs w:val="22"/>
          <w:lang w:val="fr-BE" w:eastAsia="en-US"/>
        </w:rPr>
      </w:pPr>
      <w:r w:rsidRPr="007A2892">
        <w:rPr>
          <w:rFonts w:asciiTheme="minorHAnsi" w:eastAsiaTheme="minorHAnsi" w:hAnsiTheme="minorHAnsi" w:cstheme="minorBidi"/>
          <w:sz w:val="22"/>
          <w:szCs w:val="22"/>
          <w:lang w:val="fr-BE" w:eastAsia="en-US"/>
        </w:rPr>
        <w:t>C</w:t>
      </w:r>
      <w:r w:rsidR="002D5EC3" w:rsidRPr="007A2892">
        <w:rPr>
          <w:rFonts w:asciiTheme="minorHAnsi" w:eastAsiaTheme="minorHAnsi" w:hAnsiTheme="minorHAnsi" w:cstheme="minorBidi"/>
          <w:sz w:val="22"/>
          <w:szCs w:val="22"/>
          <w:lang w:val="fr-BE" w:eastAsia="en-US"/>
        </w:rPr>
        <w:t xml:space="preserve">éramiques, cristal, encres d’impression, auxiliaires de polymérisation et autres types de matériaux pour contact alimentaire, qui sont couverts par une législation spécifique au niveau de l’UE ou au niveau national ou par les résolutions du Conseil de l’Europe ; </w:t>
      </w:r>
    </w:p>
    <w:p w14:paraId="4FE81C88" w14:textId="04DA7A8C" w:rsidR="002D5EC3" w:rsidRPr="007A2892" w:rsidRDefault="005A458B" w:rsidP="004F67E9">
      <w:pPr>
        <w:pStyle w:val="Paragraphedeliste"/>
        <w:numPr>
          <w:ilvl w:val="0"/>
          <w:numId w:val="43"/>
        </w:numPr>
        <w:autoSpaceDE w:val="0"/>
        <w:autoSpaceDN w:val="0"/>
        <w:adjustRightInd w:val="0"/>
        <w:rPr>
          <w:rFonts w:asciiTheme="minorHAnsi" w:eastAsiaTheme="minorHAnsi" w:hAnsiTheme="minorHAnsi" w:cstheme="minorBidi"/>
          <w:sz w:val="22"/>
          <w:szCs w:val="22"/>
          <w:lang w:val="fr-BE" w:eastAsia="en-US"/>
        </w:rPr>
      </w:pPr>
      <w:r w:rsidRPr="007A2892">
        <w:rPr>
          <w:rFonts w:asciiTheme="minorHAnsi" w:eastAsiaTheme="minorHAnsi" w:hAnsiTheme="minorHAnsi" w:cstheme="minorBidi"/>
          <w:sz w:val="22"/>
          <w:szCs w:val="22"/>
          <w:lang w:val="fr-BE" w:eastAsia="en-US"/>
        </w:rPr>
        <w:t>M</w:t>
      </w:r>
      <w:r w:rsidR="002D5EC3" w:rsidRPr="007A2892">
        <w:rPr>
          <w:rFonts w:asciiTheme="minorHAnsi" w:eastAsiaTheme="minorHAnsi" w:hAnsiTheme="minorHAnsi" w:cstheme="minorBidi"/>
          <w:sz w:val="22"/>
          <w:szCs w:val="22"/>
          <w:lang w:val="fr-BE" w:eastAsia="en-US"/>
        </w:rPr>
        <w:t xml:space="preserve">atériaux conçus pour libérer certaines substances dans les denrées alimentaires (matériaux et objets dits « actifs ») ; ces matériaux sont couverts par la législation de l’UE sur les matériaux actifs destinés à entrer en contact avec des denrées alimentaires (règlement (CE) n° 1935/2004 et règlement (CE) n° 450/2009) ; </w:t>
      </w:r>
    </w:p>
    <w:p w14:paraId="636746F6" w14:textId="3158821B" w:rsidR="002D5EC3" w:rsidRPr="007A2892" w:rsidRDefault="005A458B" w:rsidP="004F67E9">
      <w:pPr>
        <w:pStyle w:val="Paragraphedeliste"/>
        <w:numPr>
          <w:ilvl w:val="0"/>
          <w:numId w:val="43"/>
        </w:numPr>
        <w:autoSpaceDE w:val="0"/>
        <w:autoSpaceDN w:val="0"/>
        <w:adjustRightInd w:val="0"/>
        <w:rPr>
          <w:rFonts w:asciiTheme="minorHAnsi" w:eastAsiaTheme="minorHAnsi" w:hAnsiTheme="minorHAnsi" w:cstheme="minorBidi"/>
          <w:sz w:val="22"/>
          <w:szCs w:val="22"/>
          <w:lang w:val="fr-BE" w:eastAsia="en-US"/>
        </w:rPr>
      </w:pPr>
      <w:r w:rsidRPr="007A2892">
        <w:rPr>
          <w:rFonts w:asciiTheme="minorHAnsi" w:eastAsiaTheme="minorHAnsi" w:hAnsiTheme="minorHAnsi" w:cstheme="minorBidi"/>
          <w:sz w:val="22"/>
          <w:szCs w:val="22"/>
          <w:lang w:val="fr-BE" w:eastAsia="en-US"/>
        </w:rPr>
        <w:t>J</w:t>
      </w:r>
      <w:r w:rsidR="002D5EC3" w:rsidRPr="007A2892">
        <w:rPr>
          <w:rFonts w:asciiTheme="minorHAnsi" w:eastAsiaTheme="minorHAnsi" w:hAnsiTheme="minorHAnsi" w:cstheme="minorBidi"/>
          <w:sz w:val="22"/>
          <w:szCs w:val="22"/>
          <w:lang w:val="fr-BE" w:eastAsia="en-US"/>
        </w:rPr>
        <w:t>ouets, même s’ils sont souvent en contact direct avec des aliments (p. ex. céréales)</w:t>
      </w:r>
      <w:r w:rsidR="003B7122">
        <w:rPr>
          <w:rFonts w:asciiTheme="minorHAnsi" w:eastAsiaTheme="minorHAnsi" w:hAnsiTheme="minorHAnsi" w:cstheme="minorBidi"/>
          <w:sz w:val="22"/>
          <w:szCs w:val="22"/>
          <w:lang w:val="fr-BE" w:eastAsia="en-US"/>
        </w:rPr>
        <w:t> ;</w:t>
      </w:r>
      <w:r w:rsidR="002D5EC3" w:rsidRPr="007A2892">
        <w:rPr>
          <w:rFonts w:asciiTheme="minorHAnsi" w:eastAsiaTheme="minorHAnsi" w:hAnsiTheme="minorHAnsi" w:cstheme="minorBidi"/>
          <w:sz w:val="22"/>
          <w:szCs w:val="22"/>
          <w:lang w:val="fr-BE" w:eastAsia="en-US"/>
        </w:rPr>
        <w:t xml:space="preserve"> </w:t>
      </w:r>
    </w:p>
    <w:p w14:paraId="1DEB85A8" w14:textId="1C4A2582" w:rsidR="002D5EC3" w:rsidRPr="007A2892" w:rsidRDefault="002D5EC3" w:rsidP="004F67E9">
      <w:pPr>
        <w:pStyle w:val="Paragraphedeliste"/>
        <w:numPr>
          <w:ilvl w:val="0"/>
          <w:numId w:val="43"/>
        </w:numPr>
        <w:autoSpaceDE w:val="0"/>
        <w:autoSpaceDN w:val="0"/>
        <w:adjustRightInd w:val="0"/>
        <w:rPr>
          <w:rFonts w:asciiTheme="minorHAnsi" w:eastAsiaTheme="minorHAnsi" w:hAnsiTheme="minorHAnsi" w:cstheme="minorBidi"/>
          <w:sz w:val="22"/>
          <w:szCs w:val="22"/>
          <w:lang w:val="fr-BE" w:eastAsia="en-US"/>
        </w:rPr>
      </w:pPr>
      <w:r w:rsidRPr="007A2892">
        <w:rPr>
          <w:rFonts w:asciiTheme="minorHAnsi" w:eastAsiaTheme="minorHAnsi" w:hAnsiTheme="minorHAnsi" w:cstheme="minorBidi"/>
          <w:sz w:val="22"/>
          <w:szCs w:val="22"/>
          <w:lang w:val="fr-BE" w:eastAsia="en-US"/>
        </w:rPr>
        <w:t>Produits déjà sur le marché avant l'entrée en vigueur de l'arrêté royal</w:t>
      </w:r>
      <w:r w:rsidR="003B7122">
        <w:rPr>
          <w:rFonts w:asciiTheme="minorHAnsi" w:eastAsiaTheme="minorHAnsi" w:hAnsiTheme="minorHAnsi" w:cstheme="minorBidi"/>
          <w:sz w:val="22"/>
          <w:szCs w:val="22"/>
          <w:lang w:val="fr-BE" w:eastAsia="en-US"/>
        </w:rPr>
        <w:t>.</w:t>
      </w:r>
    </w:p>
    <w:p w14:paraId="4BD9E7DB" w14:textId="77777777" w:rsidR="002D5EC3" w:rsidRPr="007A2892" w:rsidRDefault="002D5EC3" w:rsidP="002D5EC3">
      <w:pPr>
        <w:rPr>
          <w:lang w:val="fr-BE"/>
        </w:rPr>
      </w:pPr>
    </w:p>
    <w:p w14:paraId="0AF9C746" w14:textId="5F2AF836" w:rsidR="00C24361" w:rsidRDefault="00C01E19">
      <w:pPr>
        <w:pStyle w:val="Titre2"/>
      </w:pPr>
      <w:bookmarkStart w:id="5" w:name="_Toc66377242"/>
      <w:proofErr w:type="spellStart"/>
      <w:r>
        <w:t>P</w:t>
      </w:r>
      <w:r w:rsidR="00262477" w:rsidRPr="007A2892">
        <w:t>roduits</w:t>
      </w:r>
      <w:proofErr w:type="spellEnd"/>
      <w:r w:rsidR="00262477" w:rsidRPr="007A2892">
        <w:t xml:space="preserve"> </w:t>
      </w:r>
      <w:proofErr w:type="spellStart"/>
      <w:r w:rsidR="002B2738" w:rsidRPr="007A2892">
        <w:t>seconde</w:t>
      </w:r>
      <w:proofErr w:type="spellEnd"/>
      <w:r w:rsidR="002B2738" w:rsidRPr="007A2892">
        <w:t xml:space="preserve"> main</w:t>
      </w:r>
      <w:bookmarkEnd w:id="5"/>
    </w:p>
    <w:p w14:paraId="0E811393" w14:textId="77777777" w:rsidR="00955EF8" w:rsidRPr="00955EF8" w:rsidRDefault="00955EF8" w:rsidP="00955EF8"/>
    <w:p w14:paraId="0642F6C8" w14:textId="1CC0CD3E" w:rsidR="005A458B" w:rsidRPr="007A2892" w:rsidRDefault="004F67E9" w:rsidP="005A458B">
      <w:pPr>
        <w:rPr>
          <w:lang w:val="fr-BE"/>
        </w:rPr>
      </w:pPr>
      <w:r w:rsidRPr="007A2892">
        <w:rPr>
          <w:lang w:val="fr-BE"/>
        </w:rPr>
        <w:t>Les produits d'occasion qui sont remis sur le marché après l'entrée en vigueur de l'arrêté royal du 17 février 2021 doivent être conformes à cet arrêté royal.</w:t>
      </w:r>
    </w:p>
    <w:p w14:paraId="2EBAE7BD" w14:textId="00C9BB61" w:rsidR="00C24361" w:rsidRDefault="00262477">
      <w:pPr>
        <w:pStyle w:val="Titre1"/>
        <w:numPr>
          <w:ilvl w:val="0"/>
          <w:numId w:val="6"/>
        </w:numPr>
        <w:jc w:val="both"/>
      </w:pPr>
      <w:bookmarkStart w:id="6" w:name="_Toc66377243"/>
      <w:proofErr w:type="spellStart"/>
      <w:r w:rsidRPr="007A2892">
        <w:lastRenderedPageBreak/>
        <w:t>Définitions</w:t>
      </w:r>
      <w:bookmarkEnd w:id="6"/>
      <w:proofErr w:type="spellEnd"/>
    </w:p>
    <w:p w14:paraId="562621E6" w14:textId="77777777" w:rsidR="007A2892" w:rsidRPr="007A2892" w:rsidRDefault="007A2892" w:rsidP="007A2892"/>
    <w:p w14:paraId="108000BC" w14:textId="281739F6" w:rsidR="005A458B" w:rsidRPr="007A2892" w:rsidRDefault="005A458B" w:rsidP="007A2892">
      <w:pPr>
        <w:pStyle w:val="Paragraphedeliste"/>
        <w:numPr>
          <w:ilvl w:val="0"/>
          <w:numId w:val="49"/>
        </w:numPr>
        <w:rPr>
          <w:rFonts w:asciiTheme="minorHAnsi" w:eastAsiaTheme="minorHAnsi" w:hAnsiTheme="minorHAnsi" w:cstheme="minorBidi"/>
          <w:sz w:val="22"/>
          <w:szCs w:val="22"/>
          <w:lang w:val="fr-BE" w:eastAsia="en-US"/>
        </w:rPr>
      </w:pPr>
      <w:r w:rsidRPr="007A2892">
        <w:rPr>
          <w:rFonts w:asciiTheme="minorHAnsi" w:eastAsiaTheme="minorHAnsi" w:hAnsiTheme="minorHAnsi" w:cstheme="minorBidi"/>
          <w:b/>
          <w:bCs/>
          <w:sz w:val="22"/>
          <w:szCs w:val="22"/>
          <w:lang w:val="fr-BE" w:eastAsia="en-US"/>
        </w:rPr>
        <w:t>Métaux</w:t>
      </w:r>
      <w:r w:rsidRPr="007A2892">
        <w:rPr>
          <w:rFonts w:asciiTheme="minorHAnsi" w:eastAsiaTheme="minorHAnsi" w:hAnsiTheme="minorHAnsi" w:cstheme="minorBidi"/>
          <w:sz w:val="22"/>
          <w:szCs w:val="22"/>
          <w:lang w:val="fr-BE" w:eastAsia="en-US"/>
        </w:rPr>
        <w:t>: les métaux se caractérisent par leurs propriétés physico-chimiques à l’état solide :</w:t>
      </w:r>
    </w:p>
    <w:p w14:paraId="19A8EE29" w14:textId="77777777" w:rsidR="005A458B" w:rsidRPr="007A2892" w:rsidRDefault="005A458B" w:rsidP="00955EF8">
      <w:pPr>
        <w:pStyle w:val="Paragraphedeliste"/>
        <w:numPr>
          <w:ilvl w:val="1"/>
          <w:numId w:val="49"/>
        </w:numPr>
        <w:rPr>
          <w:rFonts w:asciiTheme="minorHAnsi" w:eastAsiaTheme="minorHAnsi" w:hAnsiTheme="minorHAnsi" w:cstheme="minorBidi"/>
          <w:sz w:val="22"/>
          <w:szCs w:val="22"/>
          <w:lang w:val="fr-BE" w:eastAsia="en-US"/>
        </w:rPr>
      </w:pPr>
      <w:r w:rsidRPr="007A2892">
        <w:rPr>
          <w:rFonts w:asciiTheme="minorHAnsi" w:eastAsiaTheme="minorHAnsi" w:hAnsiTheme="minorHAnsi" w:cstheme="minorBidi"/>
          <w:sz w:val="22"/>
          <w:szCs w:val="22"/>
          <w:lang w:val="fr-BE" w:eastAsia="en-US"/>
        </w:rPr>
        <w:t>Pouvoir réfléchissant responsable de l’éclat métallique caractéristique,</w:t>
      </w:r>
    </w:p>
    <w:p w14:paraId="00C567C6" w14:textId="66BDC714" w:rsidR="005A458B" w:rsidRPr="007A2892" w:rsidRDefault="005A458B" w:rsidP="00955EF8">
      <w:pPr>
        <w:pStyle w:val="Paragraphedeliste"/>
        <w:numPr>
          <w:ilvl w:val="1"/>
          <w:numId w:val="49"/>
        </w:numPr>
        <w:rPr>
          <w:rFonts w:asciiTheme="minorHAnsi" w:eastAsiaTheme="minorHAnsi" w:hAnsiTheme="minorHAnsi" w:cstheme="minorBidi"/>
          <w:sz w:val="22"/>
          <w:szCs w:val="22"/>
          <w:lang w:val="fr-BE" w:eastAsia="en-US"/>
        </w:rPr>
      </w:pPr>
      <w:r w:rsidRPr="007A2892">
        <w:rPr>
          <w:rFonts w:asciiTheme="minorHAnsi" w:eastAsiaTheme="minorHAnsi" w:hAnsiTheme="minorHAnsi" w:cstheme="minorBidi"/>
          <w:sz w:val="22"/>
          <w:szCs w:val="22"/>
          <w:lang w:val="fr-BE" w:eastAsia="en-US"/>
        </w:rPr>
        <w:t>Conductivité électrique,</w:t>
      </w:r>
    </w:p>
    <w:p w14:paraId="302AD858" w14:textId="2286F4F0" w:rsidR="005A458B" w:rsidRPr="007A2892" w:rsidRDefault="005A458B" w:rsidP="00955EF8">
      <w:pPr>
        <w:pStyle w:val="Paragraphedeliste"/>
        <w:numPr>
          <w:ilvl w:val="1"/>
          <w:numId w:val="49"/>
        </w:numPr>
        <w:rPr>
          <w:rFonts w:asciiTheme="minorHAnsi" w:eastAsiaTheme="minorHAnsi" w:hAnsiTheme="minorHAnsi" w:cstheme="minorBidi"/>
          <w:sz w:val="22"/>
          <w:szCs w:val="22"/>
          <w:lang w:val="fr-BE" w:eastAsia="en-US"/>
        </w:rPr>
      </w:pPr>
      <w:r w:rsidRPr="007A2892">
        <w:rPr>
          <w:rFonts w:asciiTheme="minorHAnsi" w:eastAsiaTheme="minorHAnsi" w:hAnsiTheme="minorHAnsi" w:cstheme="minorBidi"/>
          <w:sz w:val="22"/>
          <w:szCs w:val="22"/>
          <w:lang w:val="fr-BE" w:eastAsia="en-US"/>
        </w:rPr>
        <w:t>Conductivité thermique,</w:t>
      </w:r>
    </w:p>
    <w:p w14:paraId="76BA7166" w14:textId="77777777" w:rsidR="005A458B" w:rsidRPr="007A2892" w:rsidRDefault="005A458B" w:rsidP="00955EF8">
      <w:pPr>
        <w:pStyle w:val="Paragraphedeliste"/>
        <w:numPr>
          <w:ilvl w:val="1"/>
          <w:numId w:val="49"/>
        </w:numPr>
        <w:rPr>
          <w:rFonts w:asciiTheme="minorHAnsi" w:eastAsiaTheme="minorHAnsi" w:hAnsiTheme="minorHAnsi" w:cstheme="minorBidi"/>
          <w:sz w:val="22"/>
          <w:szCs w:val="22"/>
          <w:lang w:val="fr-BE" w:eastAsia="en-US"/>
        </w:rPr>
      </w:pPr>
      <w:r w:rsidRPr="007A2892">
        <w:rPr>
          <w:rFonts w:asciiTheme="minorHAnsi" w:eastAsiaTheme="minorHAnsi" w:hAnsiTheme="minorHAnsi" w:cstheme="minorBidi"/>
          <w:sz w:val="22"/>
          <w:szCs w:val="22"/>
          <w:lang w:val="fr-BE" w:eastAsia="en-US"/>
        </w:rPr>
        <w:t>Propriétés mécaniques telles que solidité et ductilité.</w:t>
      </w:r>
    </w:p>
    <w:p w14:paraId="5007F19B" w14:textId="0F87DE80" w:rsidR="005A458B" w:rsidRDefault="005A458B" w:rsidP="00955EF8">
      <w:pPr>
        <w:pStyle w:val="Paragraphedeliste"/>
        <w:rPr>
          <w:rFonts w:asciiTheme="minorHAnsi" w:eastAsiaTheme="minorHAnsi" w:hAnsiTheme="minorHAnsi" w:cstheme="minorBidi"/>
          <w:sz w:val="22"/>
          <w:szCs w:val="22"/>
          <w:lang w:val="fr-BE" w:eastAsia="en-US"/>
        </w:rPr>
      </w:pPr>
      <w:r w:rsidRPr="007A2892">
        <w:rPr>
          <w:rFonts w:asciiTheme="minorHAnsi" w:eastAsiaTheme="minorHAnsi" w:hAnsiTheme="minorHAnsi" w:cstheme="minorBidi"/>
          <w:sz w:val="22"/>
          <w:szCs w:val="22"/>
          <w:lang w:val="fr-BE" w:eastAsia="en-US"/>
        </w:rPr>
        <w:t>Les métaux correspondent à une catégorie de matériaux dont la cohésion est assurée, à l’échelle de l’atome, par des liaisons métalliques. Ils peuvent être assimilés à un ensemble d’ions métalliques positifs formant des réseaux cristallins étendus dans lesquels des électrons de valence sont partagés par l’ensemble de la structure ;</w:t>
      </w:r>
    </w:p>
    <w:p w14:paraId="6A6F8B92" w14:textId="77777777" w:rsidR="00955EF8" w:rsidRPr="007A2892" w:rsidRDefault="00955EF8" w:rsidP="00955EF8">
      <w:pPr>
        <w:pStyle w:val="Paragraphedeliste"/>
        <w:rPr>
          <w:lang w:val="fr-BE"/>
        </w:rPr>
      </w:pPr>
    </w:p>
    <w:p w14:paraId="564609D8" w14:textId="322D9F51" w:rsidR="005A458B" w:rsidRPr="00955EF8" w:rsidRDefault="005A458B" w:rsidP="00F20F80">
      <w:pPr>
        <w:pStyle w:val="Paragraphedeliste"/>
        <w:numPr>
          <w:ilvl w:val="0"/>
          <w:numId w:val="49"/>
        </w:numPr>
        <w:rPr>
          <w:lang w:val="fr-BE"/>
        </w:rPr>
      </w:pPr>
      <w:r w:rsidRPr="00955EF8">
        <w:rPr>
          <w:rFonts w:asciiTheme="minorHAnsi" w:eastAsiaTheme="minorHAnsi" w:hAnsiTheme="minorHAnsi" w:cstheme="minorBidi"/>
          <w:b/>
          <w:bCs/>
          <w:sz w:val="22"/>
          <w:szCs w:val="22"/>
          <w:lang w:val="fr-BE" w:eastAsia="en-US"/>
        </w:rPr>
        <w:t>Alliage:</w:t>
      </w:r>
      <w:r w:rsidRPr="00955EF8">
        <w:rPr>
          <w:rFonts w:asciiTheme="minorHAnsi" w:eastAsiaTheme="minorHAnsi" w:hAnsiTheme="minorHAnsi" w:cstheme="minorBidi"/>
          <w:sz w:val="22"/>
          <w:szCs w:val="22"/>
          <w:lang w:val="fr-BE" w:eastAsia="en-US"/>
        </w:rPr>
        <w:t xml:space="preserve"> un matériau métallique, homogène à un niveau macroscopique, constitué de deux éléments ou plus</w:t>
      </w:r>
      <w:r w:rsidR="00AA4048" w:rsidRPr="00955EF8">
        <w:rPr>
          <w:rFonts w:asciiTheme="minorHAnsi" w:eastAsiaTheme="minorHAnsi" w:hAnsiTheme="minorHAnsi" w:cstheme="minorBidi"/>
          <w:sz w:val="22"/>
          <w:szCs w:val="22"/>
          <w:lang w:val="fr-BE" w:eastAsia="en-US"/>
        </w:rPr>
        <w:t>,</w:t>
      </w:r>
      <w:r w:rsidRPr="00955EF8">
        <w:rPr>
          <w:rFonts w:asciiTheme="minorHAnsi" w:eastAsiaTheme="minorHAnsi" w:hAnsiTheme="minorHAnsi" w:cstheme="minorBidi"/>
          <w:sz w:val="22"/>
          <w:szCs w:val="22"/>
          <w:lang w:val="fr-BE" w:eastAsia="en-US"/>
        </w:rPr>
        <w:t xml:space="preserve"> combinés de telle manière qu’ils ne peuvent pas être facilement séparés par des moyens mécaniques;</w:t>
      </w:r>
    </w:p>
    <w:p w14:paraId="0345BFBD" w14:textId="77777777" w:rsidR="00955EF8" w:rsidRPr="00955EF8" w:rsidRDefault="00955EF8" w:rsidP="00955EF8">
      <w:pPr>
        <w:pStyle w:val="Paragraphedeliste"/>
        <w:rPr>
          <w:lang w:val="fr-BE"/>
        </w:rPr>
      </w:pPr>
    </w:p>
    <w:p w14:paraId="2BB42A40" w14:textId="1588D4E0" w:rsidR="005449F7" w:rsidRPr="00955EF8" w:rsidRDefault="005A458B" w:rsidP="003A0108">
      <w:pPr>
        <w:pStyle w:val="Paragraphedeliste"/>
        <w:numPr>
          <w:ilvl w:val="0"/>
          <w:numId w:val="49"/>
        </w:numPr>
        <w:rPr>
          <w:rFonts w:asciiTheme="minorHAnsi" w:eastAsiaTheme="minorHAnsi" w:hAnsiTheme="minorHAnsi" w:cstheme="minorBidi"/>
          <w:sz w:val="22"/>
          <w:szCs w:val="22"/>
          <w:lang w:val="fr-BE" w:eastAsia="en-US"/>
        </w:rPr>
      </w:pPr>
      <w:r w:rsidRPr="00955EF8">
        <w:rPr>
          <w:rFonts w:asciiTheme="minorHAnsi" w:eastAsiaTheme="minorHAnsi" w:hAnsiTheme="minorHAnsi" w:cstheme="minorBidi"/>
          <w:b/>
          <w:bCs/>
          <w:sz w:val="22"/>
          <w:szCs w:val="22"/>
          <w:lang w:val="fr-BE" w:eastAsia="en-US"/>
        </w:rPr>
        <w:t>Libération:</w:t>
      </w:r>
      <w:r w:rsidRPr="00955EF8">
        <w:rPr>
          <w:rFonts w:asciiTheme="minorHAnsi" w:eastAsiaTheme="minorHAnsi" w:hAnsiTheme="minorHAnsi" w:cstheme="minorBidi"/>
          <w:sz w:val="22"/>
          <w:szCs w:val="22"/>
          <w:lang w:val="fr-BE" w:eastAsia="en-US"/>
        </w:rPr>
        <w:t xml:space="preserve"> le transfert non intentionnel des métaux vers des aliments à partir de matériaux ou objets constitués de métaux ou alliages;</w:t>
      </w:r>
    </w:p>
    <w:p w14:paraId="4A72A86D" w14:textId="77777777" w:rsidR="005449F7" w:rsidRPr="007A2892" w:rsidRDefault="005449F7" w:rsidP="005449F7">
      <w:pPr>
        <w:pStyle w:val="Paragraphedeliste"/>
        <w:ind w:left="360"/>
        <w:rPr>
          <w:rFonts w:asciiTheme="minorHAnsi" w:eastAsiaTheme="minorHAnsi" w:hAnsiTheme="minorHAnsi" w:cstheme="minorBidi"/>
          <w:sz w:val="22"/>
          <w:szCs w:val="22"/>
          <w:lang w:val="fr-BE" w:eastAsia="en-US"/>
        </w:rPr>
      </w:pPr>
    </w:p>
    <w:p w14:paraId="39E008E1" w14:textId="0E71826C" w:rsidR="004F67E9" w:rsidRPr="007A2892" w:rsidRDefault="005A458B" w:rsidP="007A2892">
      <w:pPr>
        <w:pStyle w:val="Paragraphedeliste"/>
        <w:numPr>
          <w:ilvl w:val="0"/>
          <w:numId w:val="49"/>
        </w:numPr>
        <w:rPr>
          <w:rFonts w:asciiTheme="minorHAnsi" w:eastAsiaTheme="minorHAnsi" w:hAnsiTheme="minorHAnsi" w:cstheme="minorBidi"/>
          <w:sz w:val="22"/>
          <w:szCs w:val="22"/>
          <w:lang w:val="fr-BE" w:eastAsia="en-US"/>
        </w:rPr>
      </w:pPr>
      <w:r w:rsidRPr="007A2892">
        <w:rPr>
          <w:rFonts w:asciiTheme="minorHAnsi" w:eastAsiaTheme="minorHAnsi" w:hAnsiTheme="minorHAnsi" w:cstheme="minorBidi"/>
          <w:b/>
          <w:bCs/>
          <w:sz w:val="22"/>
          <w:szCs w:val="22"/>
          <w:lang w:val="fr-BE" w:eastAsia="en-US"/>
        </w:rPr>
        <w:t>Limite de libération spécifique « LLS »:</w:t>
      </w:r>
      <w:r w:rsidRPr="007A2892">
        <w:rPr>
          <w:rFonts w:asciiTheme="minorHAnsi" w:eastAsiaTheme="minorHAnsi" w:hAnsiTheme="minorHAnsi" w:cstheme="minorBidi"/>
          <w:sz w:val="22"/>
          <w:szCs w:val="22"/>
          <w:lang w:val="fr-BE" w:eastAsia="en-US"/>
        </w:rPr>
        <w:t xml:space="preserve"> la quantité maximale autorisée d’ion</w:t>
      </w:r>
      <w:r w:rsidR="004B0648">
        <w:rPr>
          <w:rFonts w:asciiTheme="minorHAnsi" w:eastAsiaTheme="minorHAnsi" w:hAnsiTheme="minorHAnsi" w:cstheme="minorBidi"/>
          <w:sz w:val="22"/>
          <w:szCs w:val="22"/>
          <w:lang w:val="fr-BE" w:eastAsia="en-US"/>
        </w:rPr>
        <w:t>s</w:t>
      </w:r>
      <w:r w:rsidRPr="007A2892">
        <w:rPr>
          <w:rFonts w:asciiTheme="minorHAnsi" w:eastAsiaTheme="minorHAnsi" w:hAnsiTheme="minorHAnsi" w:cstheme="minorBidi"/>
          <w:sz w:val="22"/>
          <w:szCs w:val="22"/>
          <w:lang w:val="fr-BE" w:eastAsia="en-US"/>
        </w:rPr>
        <w:t xml:space="preserve"> métallique</w:t>
      </w:r>
      <w:r w:rsidR="004B0648">
        <w:rPr>
          <w:rFonts w:asciiTheme="minorHAnsi" w:eastAsiaTheme="minorHAnsi" w:hAnsiTheme="minorHAnsi" w:cstheme="minorBidi"/>
          <w:sz w:val="22"/>
          <w:szCs w:val="22"/>
          <w:lang w:val="fr-BE" w:eastAsia="en-US"/>
        </w:rPr>
        <w:t>s</w:t>
      </w:r>
      <w:r w:rsidRPr="007A2892">
        <w:rPr>
          <w:rFonts w:asciiTheme="minorHAnsi" w:eastAsiaTheme="minorHAnsi" w:hAnsiTheme="minorHAnsi" w:cstheme="minorBidi"/>
          <w:sz w:val="22"/>
          <w:szCs w:val="22"/>
          <w:lang w:val="fr-BE" w:eastAsia="en-US"/>
        </w:rPr>
        <w:t xml:space="preserve"> ou métalloïde</w:t>
      </w:r>
      <w:r w:rsidR="004B0648">
        <w:rPr>
          <w:rFonts w:asciiTheme="minorHAnsi" w:eastAsiaTheme="minorHAnsi" w:hAnsiTheme="minorHAnsi" w:cstheme="minorBidi"/>
          <w:sz w:val="22"/>
          <w:szCs w:val="22"/>
          <w:lang w:val="fr-BE" w:eastAsia="en-US"/>
        </w:rPr>
        <w:t>s</w:t>
      </w:r>
      <w:r w:rsidRPr="007A2892">
        <w:rPr>
          <w:rFonts w:asciiTheme="minorHAnsi" w:eastAsiaTheme="minorHAnsi" w:hAnsiTheme="minorHAnsi" w:cstheme="minorBidi"/>
          <w:sz w:val="22"/>
          <w:szCs w:val="22"/>
          <w:lang w:val="fr-BE" w:eastAsia="en-US"/>
        </w:rPr>
        <w:t xml:space="preserve"> (en milligrammes)  donné</w:t>
      </w:r>
      <w:r w:rsidR="004B0648">
        <w:rPr>
          <w:rFonts w:asciiTheme="minorHAnsi" w:eastAsiaTheme="minorHAnsi" w:hAnsiTheme="minorHAnsi" w:cstheme="minorBidi"/>
          <w:sz w:val="22"/>
          <w:szCs w:val="22"/>
          <w:lang w:val="fr-BE" w:eastAsia="en-US"/>
        </w:rPr>
        <w:t>s</w:t>
      </w:r>
      <w:r w:rsidRPr="007A2892">
        <w:rPr>
          <w:rFonts w:asciiTheme="minorHAnsi" w:eastAsiaTheme="minorHAnsi" w:hAnsiTheme="minorHAnsi" w:cstheme="minorBidi"/>
          <w:sz w:val="22"/>
          <w:szCs w:val="22"/>
          <w:lang w:val="fr-BE" w:eastAsia="en-US"/>
        </w:rPr>
        <w:t xml:space="preserve"> cédé</w:t>
      </w:r>
      <w:r w:rsidR="004B0648">
        <w:rPr>
          <w:rFonts w:asciiTheme="minorHAnsi" w:eastAsiaTheme="minorHAnsi" w:hAnsiTheme="minorHAnsi" w:cstheme="minorBidi"/>
          <w:sz w:val="22"/>
          <w:szCs w:val="22"/>
          <w:lang w:val="fr-BE" w:eastAsia="en-US"/>
        </w:rPr>
        <w:t>s</w:t>
      </w:r>
      <w:r w:rsidRPr="007A2892">
        <w:rPr>
          <w:rFonts w:asciiTheme="minorHAnsi" w:eastAsiaTheme="minorHAnsi" w:hAnsiTheme="minorHAnsi" w:cstheme="minorBidi"/>
          <w:sz w:val="22"/>
          <w:szCs w:val="22"/>
          <w:lang w:val="fr-BE" w:eastAsia="en-US"/>
        </w:rPr>
        <w:t xml:space="preserve"> par un matériau ou objet aux denrées alimentaires ou aux </w:t>
      </w:r>
      <w:r w:rsidR="005449F7" w:rsidRPr="007A2892">
        <w:rPr>
          <w:rFonts w:asciiTheme="minorHAnsi" w:eastAsiaTheme="minorHAnsi" w:hAnsiTheme="minorHAnsi" w:cstheme="minorBidi"/>
          <w:sz w:val="22"/>
          <w:szCs w:val="22"/>
          <w:lang w:val="fr-BE" w:eastAsia="en-US"/>
        </w:rPr>
        <w:t>stimulants</w:t>
      </w:r>
      <w:r w:rsidRPr="007A2892">
        <w:rPr>
          <w:rFonts w:asciiTheme="minorHAnsi" w:eastAsiaTheme="minorHAnsi" w:hAnsiTheme="minorHAnsi" w:cstheme="minorBidi"/>
          <w:sz w:val="22"/>
          <w:szCs w:val="22"/>
          <w:lang w:val="fr-BE" w:eastAsia="en-US"/>
        </w:rPr>
        <w:t xml:space="preserve"> de denrées alimentaires (en kilogrammes)</w:t>
      </w:r>
      <w:r w:rsidR="003D450F" w:rsidRPr="007A2892">
        <w:rPr>
          <w:rFonts w:asciiTheme="minorHAnsi" w:eastAsiaTheme="minorHAnsi" w:hAnsiTheme="minorHAnsi" w:cstheme="minorBidi"/>
          <w:sz w:val="22"/>
          <w:szCs w:val="22"/>
          <w:lang w:val="fr-BE" w:eastAsia="en-US"/>
        </w:rPr>
        <w:t> ;</w:t>
      </w:r>
    </w:p>
    <w:p w14:paraId="6C011C40" w14:textId="081A10D9" w:rsidR="004F67E9" w:rsidRPr="007A2892" w:rsidRDefault="004F67E9" w:rsidP="004F67E9">
      <w:pPr>
        <w:pStyle w:val="Paragraphedeliste"/>
        <w:ind w:left="360"/>
        <w:rPr>
          <w:rFonts w:asciiTheme="minorHAnsi" w:eastAsiaTheme="minorHAnsi" w:hAnsiTheme="minorHAnsi" w:cstheme="minorBidi"/>
          <w:sz w:val="22"/>
          <w:szCs w:val="22"/>
          <w:lang w:val="fr-BE" w:eastAsia="en-US"/>
        </w:rPr>
      </w:pPr>
    </w:p>
    <w:p w14:paraId="3ECA72C9" w14:textId="3644F567" w:rsidR="00C24361" w:rsidRPr="007A2892" w:rsidRDefault="003D450F" w:rsidP="007A2892">
      <w:pPr>
        <w:pStyle w:val="Paragraphedeliste"/>
        <w:numPr>
          <w:ilvl w:val="0"/>
          <w:numId w:val="49"/>
        </w:numPr>
        <w:rPr>
          <w:rFonts w:asciiTheme="minorHAnsi" w:eastAsiaTheme="minorHAnsi" w:hAnsiTheme="minorHAnsi" w:cstheme="minorBidi"/>
          <w:sz w:val="22"/>
          <w:szCs w:val="22"/>
          <w:lang w:val="fr-BE" w:eastAsia="en-US"/>
        </w:rPr>
      </w:pPr>
      <w:r w:rsidRPr="007A2892">
        <w:rPr>
          <w:rFonts w:asciiTheme="minorHAnsi" w:eastAsiaTheme="minorHAnsi" w:hAnsiTheme="minorHAnsi" w:cstheme="minorBidi"/>
          <w:b/>
          <w:bCs/>
          <w:sz w:val="22"/>
          <w:szCs w:val="22"/>
          <w:lang w:val="fr-BE" w:eastAsia="en-US"/>
        </w:rPr>
        <w:t>P</w:t>
      </w:r>
      <w:r w:rsidR="004F67E9" w:rsidRPr="007A2892">
        <w:rPr>
          <w:rFonts w:asciiTheme="minorHAnsi" w:eastAsiaTheme="minorHAnsi" w:hAnsiTheme="minorHAnsi" w:cstheme="minorBidi"/>
          <w:b/>
          <w:bCs/>
          <w:sz w:val="22"/>
          <w:szCs w:val="22"/>
          <w:lang w:val="fr-BE" w:eastAsia="en-US"/>
        </w:rPr>
        <w:t>rocessus de production complet</w:t>
      </w:r>
      <w:r w:rsidRPr="007A2892">
        <w:rPr>
          <w:rFonts w:asciiTheme="minorHAnsi" w:eastAsiaTheme="minorHAnsi" w:hAnsiTheme="minorHAnsi" w:cstheme="minorBidi"/>
          <w:sz w:val="22"/>
          <w:szCs w:val="22"/>
          <w:lang w:val="fr-BE" w:eastAsia="en-US"/>
        </w:rPr>
        <w:t> : l'ensemble des différents processus de production nécessaires pour mener à bien une étape de la production. Ceux-ci doivent être situés sur un seul site d'une entreprise alimentaire, à l'exclusion des commerces de détail ;</w:t>
      </w:r>
    </w:p>
    <w:p w14:paraId="068B21F0" w14:textId="20E7F6EA" w:rsidR="004F67E9" w:rsidRPr="007A2892" w:rsidRDefault="004F67E9" w:rsidP="004F67E9">
      <w:pPr>
        <w:pStyle w:val="Paragraphedeliste"/>
        <w:ind w:left="360"/>
        <w:rPr>
          <w:rFonts w:asciiTheme="minorHAnsi" w:eastAsiaTheme="minorHAnsi" w:hAnsiTheme="minorHAnsi" w:cstheme="minorBidi"/>
          <w:sz w:val="22"/>
          <w:szCs w:val="22"/>
          <w:lang w:val="fr-BE" w:eastAsia="en-US"/>
        </w:rPr>
      </w:pPr>
    </w:p>
    <w:p w14:paraId="27F2884E" w14:textId="6C364983" w:rsidR="004F67E9" w:rsidRPr="007A2892" w:rsidRDefault="00AA4048" w:rsidP="007A2892">
      <w:pPr>
        <w:pStyle w:val="Paragraphedeliste"/>
        <w:numPr>
          <w:ilvl w:val="0"/>
          <w:numId w:val="49"/>
        </w:numPr>
        <w:rPr>
          <w:rFonts w:asciiTheme="minorHAnsi" w:eastAsiaTheme="minorHAnsi" w:hAnsiTheme="minorHAnsi" w:cstheme="minorBidi"/>
          <w:sz w:val="22"/>
          <w:szCs w:val="22"/>
          <w:lang w:val="fr-BE" w:eastAsia="en-US"/>
        </w:rPr>
      </w:pPr>
      <w:r>
        <w:rPr>
          <w:rFonts w:asciiTheme="minorHAnsi" w:eastAsiaTheme="minorHAnsi" w:hAnsiTheme="minorHAnsi" w:cstheme="minorBidi"/>
          <w:b/>
          <w:bCs/>
          <w:sz w:val="22"/>
          <w:szCs w:val="22"/>
          <w:lang w:val="fr-BE" w:eastAsia="en-US"/>
        </w:rPr>
        <w:t>E</w:t>
      </w:r>
      <w:r w:rsidR="004F67E9" w:rsidRPr="007A2892">
        <w:rPr>
          <w:rFonts w:asciiTheme="minorHAnsi" w:eastAsiaTheme="minorHAnsi" w:hAnsiTheme="minorHAnsi" w:cstheme="minorBidi"/>
          <w:b/>
          <w:bCs/>
          <w:sz w:val="22"/>
          <w:szCs w:val="22"/>
          <w:lang w:val="fr-BE" w:eastAsia="en-US"/>
        </w:rPr>
        <w:t>valuation des risques</w:t>
      </w:r>
      <w:r w:rsidR="004F67E9" w:rsidRPr="007A2892">
        <w:rPr>
          <w:rFonts w:asciiTheme="minorHAnsi" w:eastAsiaTheme="minorHAnsi" w:hAnsiTheme="minorHAnsi" w:cstheme="minorBidi"/>
          <w:sz w:val="22"/>
          <w:szCs w:val="22"/>
          <w:lang w:val="fr-BE" w:eastAsia="en-US"/>
        </w:rPr>
        <w:t> : un processus reposant sur des bases scientifiques et comprenant quatre étapes: l'identification des dangers, leur caractérisation, l'évaluation de l'exposition et la caractérisation des risques</w:t>
      </w:r>
      <w:r>
        <w:rPr>
          <w:rFonts w:asciiTheme="minorHAnsi" w:eastAsiaTheme="minorHAnsi" w:hAnsiTheme="minorHAnsi" w:cstheme="minorBidi"/>
          <w:sz w:val="22"/>
          <w:szCs w:val="22"/>
          <w:lang w:val="fr-BE" w:eastAsia="en-US"/>
        </w:rPr>
        <w:t xml:space="preserve"> </w:t>
      </w:r>
      <w:r w:rsidR="004F67E9" w:rsidRPr="007A2892">
        <w:rPr>
          <w:rFonts w:asciiTheme="minorHAnsi" w:eastAsiaTheme="minorHAnsi" w:hAnsiTheme="minorHAnsi" w:cstheme="minorBidi"/>
          <w:sz w:val="22"/>
          <w:szCs w:val="22"/>
          <w:lang w:val="fr-BE" w:eastAsia="en-US"/>
        </w:rPr>
        <w:t>;</w:t>
      </w:r>
    </w:p>
    <w:p w14:paraId="15E4F0BE" w14:textId="3D9BE1E7" w:rsidR="004F67E9" w:rsidRPr="007A2892" w:rsidRDefault="004F67E9" w:rsidP="004F67E9">
      <w:pPr>
        <w:pStyle w:val="Paragraphedeliste"/>
        <w:ind w:left="360"/>
        <w:rPr>
          <w:rFonts w:asciiTheme="minorHAnsi" w:eastAsiaTheme="minorHAnsi" w:hAnsiTheme="minorHAnsi" w:cstheme="minorBidi"/>
          <w:sz w:val="22"/>
          <w:szCs w:val="22"/>
          <w:lang w:val="fr-BE" w:eastAsia="en-US"/>
        </w:rPr>
      </w:pPr>
    </w:p>
    <w:p w14:paraId="62FF6036" w14:textId="77777777" w:rsidR="004F67E9" w:rsidRPr="007A2892" w:rsidRDefault="004F67E9" w:rsidP="004F67E9">
      <w:pPr>
        <w:pStyle w:val="Paragraphedeliste"/>
        <w:ind w:left="360"/>
        <w:rPr>
          <w:rFonts w:asciiTheme="minorHAnsi" w:eastAsiaTheme="minorHAnsi" w:hAnsiTheme="minorHAnsi" w:cstheme="minorBidi"/>
          <w:sz w:val="22"/>
          <w:szCs w:val="22"/>
          <w:lang w:val="fr-BE" w:eastAsia="en-US"/>
        </w:rPr>
      </w:pPr>
    </w:p>
    <w:p w14:paraId="38410AB5" w14:textId="50262BEB" w:rsidR="00C24361" w:rsidRPr="007A2892" w:rsidRDefault="00262477">
      <w:pPr>
        <w:pStyle w:val="Titre1"/>
        <w:numPr>
          <w:ilvl w:val="0"/>
          <w:numId w:val="6"/>
        </w:numPr>
        <w:jc w:val="both"/>
      </w:pPr>
      <w:bookmarkStart w:id="7" w:name="_Toc66377244"/>
      <w:proofErr w:type="spellStart"/>
      <w:r w:rsidRPr="007A2892">
        <w:t>Abréviations</w:t>
      </w:r>
      <w:bookmarkEnd w:id="7"/>
      <w:proofErr w:type="spellEnd"/>
    </w:p>
    <w:p w14:paraId="636FBCA5" w14:textId="50A503D2" w:rsidR="003D450F" w:rsidRPr="007A2892" w:rsidRDefault="003D450F" w:rsidP="003D450F"/>
    <w:p w14:paraId="65906F1F" w14:textId="7E7C0FA1" w:rsidR="003D450F" w:rsidRPr="007A2892" w:rsidRDefault="003D450F" w:rsidP="003D450F">
      <w:pPr>
        <w:rPr>
          <w:lang w:val="fr-BE"/>
        </w:rPr>
      </w:pPr>
      <w:r w:rsidRPr="007A2892">
        <w:rPr>
          <w:lang w:val="fr-BE"/>
        </w:rPr>
        <w:t>FCM: des matériaux en contact avec l’alimentation (</w:t>
      </w:r>
      <w:proofErr w:type="spellStart"/>
      <w:r w:rsidRPr="007A2892">
        <w:rPr>
          <w:lang w:val="fr-BE"/>
        </w:rPr>
        <w:t>food</w:t>
      </w:r>
      <w:proofErr w:type="spellEnd"/>
      <w:r w:rsidRPr="007A2892">
        <w:rPr>
          <w:lang w:val="fr-BE"/>
        </w:rPr>
        <w:t xml:space="preserve"> contact </w:t>
      </w:r>
      <w:proofErr w:type="spellStart"/>
      <w:r w:rsidRPr="007A2892">
        <w:rPr>
          <w:lang w:val="fr-BE"/>
        </w:rPr>
        <w:t>material</w:t>
      </w:r>
      <w:proofErr w:type="spellEnd"/>
      <w:r w:rsidRPr="007A2892">
        <w:rPr>
          <w:lang w:val="fr-BE"/>
        </w:rPr>
        <w:t>)</w:t>
      </w:r>
    </w:p>
    <w:p w14:paraId="54EAD6F6" w14:textId="3FEDCE4E" w:rsidR="003D450F" w:rsidRPr="007A2892" w:rsidRDefault="003D450F" w:rsidP="003D450F">
      <w:pPr>
        <w:rPr>
          <w:lang w:val="fr-BE"/>
        </w:rPr>
      </w:pPr>
      <w:r w:rsidRPr="007A2892">
        <w:rPr>
          <w:lang w:val="fr-BE"/>
        </w:rPr>
        <w:t xml:space="preserve">LS: libération spécifique  </w:t>
      </w:r>
    </w:p>
    <w:p w14:paraId="69FCE7F9" w14:textId="1FE12AA6" w:rsidR="003D450F" w:rsidRPr="007A2892" w:rsidRDefault="003D450F" w:rsidP="003D450F">
      <w:pPr>
        <w:rPr>
          <w:lang w:val="fr-BE"/>
        </w:rPr>
      </w:pPr>
      <w:r w:rsidRPr="007A2892">
        <w:rPr>
          <w:lang w:val="fr-BE"/>
        </w:rPr>
        <w:t>LLS: limite de libération spécifique</w:t>
      </w:r>
    </w:p>
    <w:p w14:paraId="098CFA73" w14:textId="795EDDC8" w:rsidR="003D450F" w:rsidRPr="007A2892" w:rsidRDefault="003D450F" w:rsidP="003D450F">
      <w:pPr>
        <w:rPr>
          <w:lang w:val="fr-BE"/>
        </w:rPr>
      </w:pPr>
      <w:r w:rsidRPr="007A2892">
        <w:rPr>
          <w:lang w:val="fr-BE"/>
        </w:rPr>
        <w:t xml:space="preserve">DDC (ou </w:t>
      </w:r>
      <w:proofErr w:type="spellStart"/>
      <w:r w:rsidRPr="007A2892">
        <w:rPr>
          <w:lang w:val="fr-BE"/>
        </w:rPr>
        <w:t>DoC</w:t>
      </w:r>
      <w:proofErr w:type="spellEnd"/>
      <w:r w:rsidRPr="007A2892">
        <w:rPr>
          <w:lang w:val="fr-BE"/>
        </w:rPr>
        <w:t xml:space="preserve">): </w:t>
      </w:r>
      <w:r w:rsidR="00647604">
        <w:rPr>
          <w:lang w:val="fr-BE"/>
        </w:rPr>
        <w:t>d</w:t>
      </w:r>
      <w:r w:rsidRPr="007A2892">
        <w:rPr>
          <w:lang w:val="fr-BE"/>
        </w:rPr>
        <w:t xml:space="preserve">éclaration de conformité </w:t>
      </w:r>
    </w:p>
    <w:p w14:paraId="29754250" w14:textId="77777777" w:rsidR="00C24361" w:rsidRPr="007A2892" w:rsidRDefault="00C24361">
      <w:pPr>
        <w:jc w:val="both"/>
        <w:rPr>
          <w:lang w:val="fr-BE"/>
        </w:rPr>
      </w:pPr>
    </w:p>
    <w:p w14:paraId="10CEFFCA" w14:textId="4FE05BF1" w:rsidR="00C24361" w:rsidRPr="007A2892" w:rsidRDefault="003D450F">
      <w:pPr>
        <w:pStyle w:val="Titre1"/>
        <w:numPr>
          <w:ilvl w:val="0"/>
          <w:numId w:val="6"/>
        </w:numPr>
        <w:jc w:val="both"/>
        <w:rPr>
          <w:lang w:val="fr-BE"/>
        </w:rPr>
      </w:pPr>
      <w:bookmarkStart w:id="8" w:name="_Toc66377245"/>
      <w:r w:rsidRPr="007A2892">
        <w:rPr>
          <w:lang w:val="fr-BE"/>
        </w:rPr>
        <w:lastRenderedPageBreak/>
        <w:t>Essais</w:t>
      </w:r>
      <w:r w:rsidR="009A1786" w:rsidRPr="007A2892">
        <w:rPr>
          <w:lang w:val="fr-BE"/>
        </w:rPr>
        <w:t xml:space="preserve"> de libération</w:t>
      </w:r>
      <w:bookmarkEnd w:id="8"/>
    </w:p>
    <w:p w14:paraId="2300DA76" w14:textId="4AFD48D5" w:rsidR="00C24361" w:rsidRPr="007A2892" w:rsidRDefault="00262477">
      <w:pPr>
        <w:pStyle w:val="Titre2"/>
      </w:pPr>
      <w:bookmarkStart w:id="9" w:name="_Toc66377246"/>
      <w:proofErr w:type="spellStart"/>
      <w:r w:rsidRPr="007A2892">
        <w:t>Échantillonnage</w:t>
      </w:r>
      <w:proofErr w:type="spellEnd"/>
      <w:r w:rsidRPr="007A2892">
        <w:t xml:space="preserve"> des </w:t>
      </w:r>
      <w:proofErr w:type="spellStart"/>
      <w:r w:rsidRPr="007A2892">
        <w:t>matériaux</w:t>
      </w:r>
      <w:proofErr w:type="spellEnd"/>
      <w:r w:rsidRPr="007A2892">
        <w:t xml:space="preserve"> et </w:t>
      </w:r>
      <w:proofErr w:type="spellStart"/>
      <w:r w:rsidRPr="007A2892">
        <w:t>objets</w:t>
      </w:r>
      <w:bookmarkEnd w:id="9"/>
      <w:proofErr w:type="spellEnd"/>
    </w:p>
    <w:p w14:paraId="71DFE6D9" w14:textId="35A7FA02" w:rsidR="00C24361" w:rsidRPr="007A2892" w:rsidRDefault="00C24361">
      <w:pPr>
        <w:jc w:val="both"/>
      </w:pPr>
    </w:p>
    <w:p w14:paraId="0276CF87" w14:textId="27AB4562" w:rsidR="00C24361" w:rsidRPr="007A2892" w:rsidRDefault="00262477">
      <w:pPr>
        <w:jc w:val="both"/>
        <w:rPr>
          <w:lang w:val="fr-BE"/>
        </w:rPr>
      </w:pPr>
      <w:r w:rsidRPr="007A2892">
        <w:rPr>
          <w:lang w:val="fr-BE"/>
        </w:rPr>
        <w:t xml:space="preserve">Le prélèvement d’échantillons </w:t>
      </w:r>
      <w:r w:rsidR="000A4D70" w:rsidRPr="007A2892">
        <w:rPr>
          <w:lang w:val="fr-BE"/>
        </w:rPr>
        <w:t xml:space="preserve">pour </w:t>
      </w:r>
      <w:r w:rsidRPr="007A2892">
        <w:rPr>
          <w:lang w:val="fr-BE"/>
        </w:rPr>
        <w:t xml:space="preserve">analyse signifie qu’un </w:t>
      </w:r>
      <w:r w:rsidR="000A4D70" w:rsidRPr="007A2892">
        <w:rPr>
          <w:lang w:val="fr-BE"/>
        </w:rPr>
        <w:t>objet</w:t>
      </w:r>
      <w:r w:rsidRPr="007A2892">
        <w:rPr>
          <w:lang w:val="fr-BE"/>
        </w:rPr>
        <w:t>, un matériau</w:t>
      </w:r>
      <w:r w:rsidR="00825662">
        <w:rPr>
          <w:lang w:val="fr-BE"/>
        </w:rPr>
        <w:t>,</w:t>
      </w:r>
      <w:r w:rsidRPr="007A2892">
        <w:rPr>
          <w:lang w:val="fr-BE"/>
        </w:rPr>
        <w:t xml:space="preserve"> </w:t>
      </w:r>
      <w:r w:rsidR="000A4D70" w:rsidRPr="007A2892">
        <w:rPr>
          <w:lang w:val="fr-BE"/>
        </w:rPr>
        <w:t xml:space="preserve">un article alimentaire déjà emballé </w:t>
      </w:r>
      <w:r w:rsidRPr="007A2892">
        <w:rPr>
          <w:lang w:val="fr-BE"/>
        </w:rPr>
        <w:t xml:space="preserve">sert à vérifier </w:t>
      </w:r>
      <w:r w:rsidR="000A4D70" w:rsidRPr="007A2892">
        <w:rPr>
          <w:lang w:val="fr-BE"/>
        </w:rPr>
        <w:t>la conformité aux</w:t>
      </w:r>
      <w:r w:rsidRPr="007A2892">
        <w:rPr>
          <w:lang w:val="fr-BE"/>
        </w:rPr>
        <w:t xml:space="preserve"> exigences établies, telles que les </w:t>
      </w:r>
      <w:r w:rsidR="000A4D70" w:rsidRPr="007A2892">
        <w:rPr>
          <w:lang w:val="fr-BE"/>
        </w:rPr>
        <w:t>LLS</w:t>
      </w:r>
      <w:r w:rsidRPr="007A2892">
        <w:rPr>
          <w:lang w:val="fr-BE"/>
        </w:rPr>
        <w:t xml:space="preserve"> </w:t>
      </w:r>
      <w:r w:rsidR="000A4D70" w:rsidRPr="007A2892">
        <w:rPr>
          <w:lang w:val="fr-BE"/>
        </w:rPr>
        <w:t>pertinentes</w:t>
      </w:r>
      <w:r w:rsidRPr="007A2892">
        <w:rPr>
          <w:lang w:val="fr-BE"/>
        </w:rPr>
        <w:t>.</w:t>
      </w:r>
    </w:p>
    <w:p w14:paraId="38D08DF7" w14:textId="0FD1094E" w:rsidR="00C24361" w:rsidRPr="007A2892" w:rsidRDefault="00262477" w:rsidP="000A4D70">
      <w:pPr>
        <w:jc w:val="both"/>
        <w:rPr>
          <w:lang w:val="fr-BE"/>
        </w:rPr>
      </w:pPr>
      <w:r w:rsidRPr="007A2892">
        <w:rPr>
          <w:lang w:val="fr-BE"/>
        </w:rPr>
        <w:t xml:space="preserve">Il convient d’établir une stratégie d’échantillonnage </w:t>
      </w:r>
      <w:r w:rsidR="000A4D70" w:rsidRPr="007A2892">
        <w:rPr>
          <w:lang w:val="fr-BE"/>
        </w:rPr>
        <w:t xml:space="preserve">de manière </w:t>
      </w:r>
      <w:r w:rsidR="003B7ED7">
        <w:rPr>
          <w:lang w:val="fr-BE"/>
        </w:rPr>
        <w:t xml:space="preserve">à </w:t>
      </w:r>
      <w:r w:rsidR="000A4D70" w:rsidRPr="007A2892">
        <w:rPr>
          <w:lang w:val="fr-BE"/>
        </w:rPr>
        <w:t>permett</w:t>
      </w:r>
      <w:r w:rsidR="003B7ED7">
        <w:rPr>
          <w:lang w:val="fr-BE"/>
        </w:rPr>
        <w:t>re</w:t>
      </w:r>
      <w:r w:rsidR="000A4D70" w:rsidRPr="007A2892">
        <w:rPr>
          <w:lang w:val="fr-BE"/>
        </w:rPr>
        <w:t xml:space="preserve"> le prélèvement d’un échantillon approprié et représentatif du lot de production.</w:t>
      </w:r>
      <w:r w:rsidRPr="007A2892">
        <w:rPr>
          <w:lang w:val="fr-BE"/>
        </w:rPr>
        <w:t xml:space="preserve"> Le type, le nombre, la taille et les propriétés caractéristiques de l’échantillon sont au minimum spécifiés.</w:t>
      </w:r>
    </w:p>
    <w:p w14:paraId="2941D816" w14:textId="0681EF67" w:rsidR="00C24361" w:rsidRPr="007A2892" w:rsidRDefault="005D1890" w:rsidP="005D1890">
      <w:pPr>
        <w:jc w:val="both"/>
        <w:rPr>
          <w:lang w:val="fr-BE"/>
        </w:rPr>
      </w:pPr>
      <w:r w:rsidRPr="007A2892">
        <w:rPr>
          <w:lang w:val="fr-BE"/>
        </w:rPr>
        <w:t xml:space="preserve">Le nombre et la taille des échantillons prélevés doivent être suffisants pour la réalisation des répétitions de l’analyse et des essais de confirmation des résultats en cas de doute. </w:t>
      </w:r>
      <w:r w:rsidR="003D450F" w:rsidRPr="007A2892">
        <w:rPr>
          <w:lang w:val="fr-BE"/>
        </w:rPr>
        <w:t>Cela signifie que deux fois plus d'échantillons doivent être prélevés à chaque fois.</w:t>
      </w:r>
    </w:p>
    <w:p w14:paraId="7996E0E4" w14:textId="451BE174" w:rsidR="00C24361" w:rsidRDefault="00262477">
      <w:pPr>
        <w:jc w:val="both"/>
        <w:rPr>
          <w:lang w:val="fr-BE"/>
        </w:rPr>
      </w:pPr>
      <w:r w:rsidRPr="007A2892">
        <w:rPr>
          <w:lang w:val="fr-BE"/>
        </w:rPr>
        <w:t>Un modèle approprié de collecte d’échantillons doit être établi pour chaque échantillonnage, qui doit être complété au moment de l’échantillonnage.</w:t>
      </w:r>
    </w:p>
    <w:p w14:paraId="59A4FD19" w14:textId="77777777" w:rsidR="006058CF" w:rsidRPr="007A2892" w:rsidRDefault="006058CF">
      <w:pPr>
        <w:jc w:val="both"/>
        <w:rPr>
          <w:lang w:val="fr-BE"/>
        </w:rPr>
      </w:pPr>
    </w:p>
    <w:p w14:paraId="2720B146" w14:textId="6F9845CF" w:rsidR="00C24361" w:rsidRPr="007A2892" w:rsidRDefault="005D1890">
      <w:pPr>
        <w:pStyle w:val="Titre3"/>
        <w:jc w:val="both"/>
        <w:rPr>
          <w:lang w:val="fr-BE"/>
        </w:rPr>
      </w:pPr>
      <w:bookmarkStart w:id="10" w:name="_Toc31362548"/>
      <w:bookmarkStart w:id="11" w:name="_Toc66377247"/>
      <w:bookmarkEnd w:id="10"/>
      <w:r w:rsidRPr="007A2892">
        <w:rPr>
          <w:lang w:val="fr-BE"/>
        </w:rPr>
        <w:t xml:space="preserve">Matériaux d’emballage </w:t>
      </w:r>
      <w:r w:rsidR="00262477" w:rsidRPr="007A2892">
        <w:rPr>
          <w:lang w:val="fr-BE"/>
        </w:rPr>
        <w:t>(par exemple en conserve)</w:t>
      </w:r>
      <w:bookmarkEnd w:id="11"/>
    </w:p>
    <w:p w14:paraId="2C3D9296" w14:textId="77777777" w:rsidR="00C24361" w:rsidRPr="007A2892" w:rsidRDefault="00C24361">
      <w:pPr>
        <w:jc w:val="both"/>
        <w:rPr>
          <w:lang w:val="fr-BE"/>
        </w:rPr>
      </w:pPr>
    </w:p>
    <w:p w14:paraId="512D5B42" w14:textId="7193AA0A" w:rsidR="00C24361" w:rsidRPr="007A2892" w:rsidRDefault="00262477">
      <w:pPr>
        <w:jc w:val="both"/>
        <w:rPr>
          <w:lang w:val="fr-BE"/>
        </w:rPr>
      </w:pPr>
      <w:r w:rsidRPr="007A2892">
        <w:rPr>
          <w:lang w:val="fr-BE"/>
        </w:rPr>
        <w:t xml:space="preserve">Pour les matériaux </w:t>
      </w:r>
      <w:r w:rsidR="005D1890" w:rsidRPr="007A2892">
        <w:rPr>
          <w:lang w:val="fr-BE"/>
        </w:rPr>
        <w:t xml:space="preserve">d’emballage </w:t>
      </w:r>
      <w:r w:rsidRPr="007A2892">
        <w:rPr>
          <w:lang w:val="fr-BE"/>
        </w:rPr>
        <w:t>un plan d’échantillonnage approprié est présenté dans le tableau.</w:t>
      </w:r>
    </w:p>
    <w:p w14:paraId="04B0070B" w14:textId="45115009" w:rsidR="00C24361" w:rsidRPr="007A2892" w:rsidRDefault="00262477">
      <w:pPr>
        <w:jc w:val="both"/>
        <w:rPr>
          <w:lang w:val="fr-BE"/>
        </w:rPr>
      </w:pPr>
      <w:r w:rsidRPr="007A2892">
        <w:rPr>
          <w:i/>
          <w:lang w:val="fr-BE"/>
        </w:rPr>
        <w:t>Nombre de paquets ou d’unités à échantillonner en fonction de la taille du lot.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24361" w:rsidRPr="00EA0FBE" w14:paraId="480EC3CF" w14:textId="77777777">
        <w:tc>
          <w:tcPr>
            <w:tcW w:w="4680" w:type="dxa"/>
            <w:tcBorders>
              <w:top w:val="single" w:sz="4" w:space="0" w:color="auto"/>
              <w:left w:val="single" w:sz="4" w:space="0" w:color="auto"/>
              <w:bottom w:val="single" w:sz="4" w:space="0" w:color="auto"/>
              <w:right w:val="single" w:sz="4" w:space="0" w:color="auto"/>
            </w:tcBorders>
          </w:tcPr>
          <w:p w14:paraId="700ADE66" w14:textId="609DF9EA" w:rsidR="00C24361" w:rsidRPr="007A2892" w:rsidRDefault="00262477" w:rsidP="0035457B">
            <w:r w:rsidRPr="007A2892">
              <w:rPr>
                <w:b/>
              </w:rPr>
              <w:t>Nombre</w:t>
            </w:r>
            <w:r w:rsidR="00AB0B27" w:rsidRPr="007A2892">
              <w:rPr>
                <w:b/>
              </w:rPr>
              <w:t xml:space="preserve"> </w:t>
            </w:r>
            <w:r w:rsidRPr="007A2892">
              <w:rPr>
                <w:b/>
              </w:rPr>
              <w:t>de colis ou</w:t>
            </w:r>
            <w:r w:rsidR="00AB0B27" w:rsidRPr="007A2892">
              <w:rPr>
                <w:b/>
              </w:rPr>
              <w:t xml:space="preserve"> </w:t>
            </w:r>
            <w:r w:rsidRPr="007A2892">
              <w:rPr>
                <w:b/>
              </w:rPr>
              <w:t>d’unités du lot</w:t>
            </w:r>
          </w:p>
        </w:tc>
        <w:tc>
          <w:tcPr>
            <w:tcW w:w="4680" w:type="dxa"/>
            <w:tcBorders>
              <w:top w:val="single" w:sz="4" w:space="0" w:color="auto"/>
              <w:left w:val="single" w:sz="4" w:space="0" w:color="auto"/>
              <w:bottom w:val="single" w:sz="4" w:space="0" w:color="auto"/>
              <w:right w:val="single" w:sz="4" w:space="0" w:color="auto"/>
            </w:tcBorders>
          </w:tcPr>
          <w:p w14:paraId="6C02F21A" w14:textId="77777777" w:rsidR="00C24361" w:rsidRPr="007A2892" w:rsidRDefault="00262477" w:rsidP="0035457B">
            <w:r w:rsidRPr="007A2892">
              <w:rPr>
                <w:b/>
              </w:rPr>
              <w:t xml:space="preserve">Nombre d’emballages ou d’unités à prélever </w:t>
            </w:r>
            <w:r w:rsidRPr="007A2892">
              <w:rPr>
                <w:b/>
              </w:rPr>
              <w:br/>
            </w:r>
          </w:p>
        </w:tc>
      </w:tr>
      <w:tr w:rsidR="00C24361" w:rsidRPr="007A2892" w14:paraId="23AFE3B3" w14:textId="77777777">
        <w:tc>
          <w:tcPr>
            <w:tcW w:w="4680" w:type="dxa"/>
            <w:tcBorders>
              <w:top w:val="single" w:sz="4" w:space="0" w:color="auto"/>
              <w:left w:val="single" w:sz="4" w:space="0" w:color="auto"/>
              <w:bottom w:val="single" w:sz="4" w:space="0" w:color="auto"/>
              <w:right w:val="single" w:sz="4" w:space="0" w:color="auto"/>
            </w:tcBorders>
          </w:tcPr>
          <w:p w14:paraId="797AB97B" w14:textId="55DD1DEB" w:rsidR="00C24361" w:rsidRPr="007A2892" w:rsidRDefault="00262477">
            <w:pPr>
              <w:jc w:val="both"/>
            </w:pPr>
            <w:r w:rsidRPr="007A2892">
              <w:t>1-59</w:t>
            </w:r>
          </w:p>
        </w:tc>
        <w:tc>
          <w:tcPr>
            <w:tcW w:w="4680" w:type="dxa"/>
            <w:tcBorders>
              <w:top w:val="single" w:sz="4" w:space="0" w:color="auto"/>
              <w:left w:val="single" w:sz="4" w:space="0" w:color="auto"/>
              <w:bottom w:val="single" w:sz="4" w:space="0" w:color="auto"/>
              <w:right w:val="single" w:sz="4" w:space="0" w:color="auto"/>
            </w:tcBorders>
          </w:tcPr>
          <w:p w14:paraId="742AA95A" w14:textId="77777777" w:rsidR="00C24361" w:rsidRPr="007A2892" w:rsidRDefault="00262477">
            <w:pPr>
              <w:jc w:val="both"/>
            </w:pPr>
            <w:r w:rsidRPr="007A2892">
              <w:t>au moins 3</w:t>
            </w:r>
          </w:p>
        </w:tc>
      </w:tr>
      <w:tr w:rsidR="00C24361" w:rsidRPr="007A2892" w14:paraId="271843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tcPr>
          <w:p w14:paraId="2DBF0333" w14:textId="70A8F05C" w:rsidR="00C24361" w:rsidRPr="007A2892" w:rsidRDefault="00262477">
            <w:pPr>
              <w:jc w:val="both"/>
            </w:pPr>
            <w:r w:rsidRPr="007A2892">
              <w:t>60-200</w:t>
            </w:r>
          </w:p>
        </w:tc>
        <w:tc>
          <w:tcPr>
            <w:tcW w:w="4680" w:type="dxa"/>
          </w:tcPr>
          <w:p w14:paraId="13EA85B6" w14:textId="739AF5C7" w:rsidR="00C24361" w:rsidRPr="007A2892" w:rsidRDefault="00262477">
            <w:pPr>
              <w:jc w:val="both"/>
            </w:pPr>
            <w:r w:rsidRPr="007A2892">
              <w:t>au moins 5</w:t>
            </w:r>
          </w:p>
        </w:tc>
      </w:tr>
      <w:tr w:rsidR="00C24361" w:rsidRPr="007A2892" w14:paraId="14871E1C" w14:textId="77777777">
        <w:tc>
          <w:tcPr>
            <w:tcW w:w="4680" w:type="dxa"/>
            <w:tcBorders>
              <w:top w:val="single" w:sz="4" w:space="0" w:color="auto"/>
              <w:left w:val="single" w:sz="4" w:space="0" w:color="auto"/>
              <w:bottom w:val="single" w:sz="4" w:space="0" w:color="auto"/>
              <w:right w:val="single" w:sz="4" w:space="0" w:color="auto"/>
            </w:tcBorders>
          </w:tcPr>
          <w:p w14:paraId="4E7068CB" w14:textId="77777777" w:rsidR="00C24361" w:rsidRPr="007A2892" w:rsidRDefault="00262477">
            <w:pPr>
              <w:jc w:val="both"/>
            </w:pPr>
            <w:r w:rsidRPr="007A2892">
              <w:t>&gt; 200</w:t>
            </w:r>
          </w:p>
        </w:tc>
        <w:tc>
          <w:tcPr>
            <w:tcW w:w="4680" w:type="dxa"/>
            <w:tcBorders>
              <w:top w:val="single" w:sz="4" w:space="0" w:color="auto"/>
              <w:left w:val="single" w:sz="4" w:space="0" w:color="auto"/>
              <w:bottom w:val="single" w:sz="4" w:space="0" w:color="auto"/>
              <w:right w:val="single" w:sz="4" w:space="0" w:color="auto"/>
            </w:tcBorders>
          </w:tcPr>
          <w:p w14:paraId="49712437" w14:textId="77777777" w:rsidR="00C24361" w:rsidRPr="007A2892" w:rsidRDefault="00262477">
            <w:pPr>
              <w:jc w:val="both"/>
            </w:pPr>
            <w:r w:rsidRPr="007A2892">
              <w:t>10</w:t>
            </w:r>
          </w:p>
        </w:tc>
      </w:tr>
    </w:tbl>
    <w:p w14:paraId="36A84CC4" w14:textId="443854CB" w:rsidR="00C24361" w:rsidRPr="00955EF8" w:rsidRDefault="00262477">
      <w:pPr>
        <w:jc w:val="both"/>
        <w:rPr>
          <w:b/>
        </w:rPr>
      </w:pPr>
      <w:r w:rsidRPr="007A2892">
        <w:tab/>
      </w:r>
    </w:p>
    <w:p w14:paraId="7195D198" w14:textId="3BCB9658" w:rsidR="00C24361" w:rsidRPr="007A2892" w:rsidRDefault="00262477">
      <w:pPr>
        <w:pStyle w:val="Titre3"/>
        <w:jc w:val="both"/>
        <w:rPr>
          <w:lang w:val="fr-BE"/>
        </w:rPr>
      </w:pPr>
      <w:bookmarkStart w:id="12" w:name="_Toc66377248"/>
      <w:r w:rsidRPr="007A2892">
        <w:rPr>
          <w:lang w:val="fr-BE"/>
        </w:rPr>
        <w:t>Autres matériaux et objets, à l’exclusion des emballages (p. ex. ustensiles de cuisine)</w:t>
      </w:r>
      <w:bookmarkEnd w:id="12"/>
    </w:p>
    <w:p w14:paraId="1B969E9F" w14:textId="77777777" w:rsidR="00C24361" w:rsidRPr="007A2892" w:rsidRDefault="00C24361">
      <w:pPr>
        <w:jc w:val="both"/>
        <w:rPr>
          <w:lang w:val="fr-BE"/>
        </w:rPr>
      </w:pPr>
    </w:p>
    <w:p w14:paraId="7C4FEA89" w14:textId="0F0292CC" w:rsidR="00C24361" w:rsidRPr="007A2892" w:rsidRDefault="005D1890">
      <w:pPr>
        <w:jc w:val="both"/>
        <w:rPr>
          <w:lang w:val="fr-BE"/>
        </w:rPr>
      </w:pPr>
      <w:r w:rsidRPr="007A2892">
        <w:rPr>
          <w:rFonts w:cs="Minion Pro"/>
          <w:color w:val="000000"/>
          <w:lang w:val="fr-BE"/>
        </w:rPr>
        <w:t>Au moins trois échantillons doivent être prélevés dans le cas de matériaux ou objets autres que des matériaux d’emballage</w:t>
      </w:r>
      <w:r w:rsidR="00262477" w:rsidRPr="007A2892">
        <w:rPr>
          <w:lang w:val="fr-BE"/>
        </w:rPr>
        <w:t>.</w:t>
      </w:r>
    </w:p>
    <w:p w14:paraId="20E5937D" w14:textId="77777777" w:rsidR="00C24361" w:rsidRPr="007A2892" w:rsidRDefault="00C24361">
      <w:pPr>
        <w:jc w:val="both"/>
        <w:rPr>
          <w:lang w:val="fr-BE"/>
        </w:rPr>
      </w:pPr>
    </w:p>
    <w:p w14:paraId="72C9B934" w14:textId="54F51439" w:rsidR="00C24361" w:rsidRPr="007A2892" w:rsidRDefault="005D1890">
      <w:pPr>
        <w:pStyle w:val="Titre2"/>
        <w:rPr>
          <w:lang w:val="fr-BE"/>
        </w:rPr>
      </w:pPr>
      <w:bookmarkStart w:id="13" w:name="_Toc66377249"/>
      <w:r w:rsidRPr="007A2892">
        <w:rPr>
          <w:lang w:val="fr-BE"/>
        </w:rPr>
        <w:t xml:space="preserve">Traitement préalable </w:t>
      </w:r>
      <w:r w:rsidR="00262477" w:rsidRPr="007A2892">
        <w:rPr>
          <w:lang w:val="fr-BE"/>
        </w:rPr>
        <w:t>des matériaux et objets</w:t>
      </w:r>
      <w:bookmarkEnd w:id="13"/>
    </w:p>
    <w:p w14:paraId="5B6A6C61" w14:textId="1CCCAAFE" w:rsidR="00C24361" w:rsidRPr="007A2892" w:rsidRDefault="00C24361">
      <w:pPr>
        <w:jc w:val="both"/>
        <w:rPr>
          <w:lang w:val="fr-BE"/>
        </w:rPr>
      </w:pPr>
    </w:p>
    <w:p w14:paraId="5B45FE9E" w14:textId="101F18ED" w:rsidR="005D1890" w:rsidRPr="007A2892" w:rsidRDefault="005D1890" w:rsidP="005D1890">
      <w:pPr>
        <w:jc w:val="both"/>
        <w:rPr>
          <w:lang w:val="fr-BE"/>
        </w:rPr>
      </w:pPr>
      <w:r w:rsidRPr="007A2892">
        <w:rPr>
          <w:lang w:val="fr-BE"/>
        </w:rPr>
        <w:lastRenderedPageBreak/>
        <w:t>Toute instruction fournie par le fabricant concernant un traitement préalable des échantillons testés, p</w:t>
      </w:r>
      <w:r w:rsidR="00350CB6">
        <w:rPr>
          <w:lang w:val="fr-BE"/>
        </w:rPr>
        <w:t>.</w:t>
      </w:r>
      <w:r w:rsidRPr="007A2892">
        <w:rPr>
          <w:lang w:val="fr-BE"/>
        </w:rPr>
        <w:t xml:space="preserve"> ex</w:t>
      </w:r>
      <w:r w:rsidR="00350CB6">
        <w:rPr>
          <w:lang w:val="fr-BE"/>
        </w:rPr>
        <w:t>.</w:t>
      </w:r>
      <w:r w:rsidR="0030419E">
        <w:rPr>
          <w:lang w:val="fr-BE"/>
        </w:rPr>
        <w:t xml:space="preserve"> le</w:t>
      </w:r>
      <w:r w:rsidRPr="007A2892">
        <w:rPr>
          <w:lang w:val="fr-BE"/>
        </w:rPr>
        <w:t xml:space="preserve"> nettoyage, doit être respectée avant de réaliser l’essai de libération.</w:t>
      </w:r>
    </w:p>
    <w:p w14:paraId="65F851B5" w14:textId="77777777" w:rsidR="005D1890" w:rsidRPr="007A2892" w:rsidRDefault="005D1890" w:rsidP="005D1890">
      <w:pPr>
        <w:jc w:val="both"/>
        <w:rPr>
          <w:lang w:val="fr-BE"/>
        </w:rPr>
      </w:pPr>
      <w:r w:rsidRPr="007A2892">
        <w:rPr>
          <w:lang w:val="fr-BE"/>
        </w:rPr>
        <w:t>Lorsqu’aucune instruction détaillée n’est fournie, les échantillons à tester doivent être lavés avec de l’eau et un détergent ménager liquide (pH 6-8,5, température d’environ 40 °C) puis rincés à l’eau du robinet et enfin à l’eau distillée ou avec une eau de qualité similaire. Ils doivent être égouttés puis séchés. La surface à tester ne doit pas être manipulée après le nettoyage.</w:t>
      </w:r>
    </w:p>
    <w:p w14:paraId="1CC00920" w14:textId="2A0F521C" w:rsidR="00C24361" w:rsidRPr="007A2892" w:rsidRDefault="00262477" w:rsidP="005D1890">
      <w:pPr>
        <w:jc w:val="both"/>
        <w:rPr>
          <w:lang w:val="fr-BE"/>
        </w:rPr>
      </w:pPr>
      <w:r w:rsidRPr="007A2892">
        <w:rPr>
          <w:lang w:val="fr-BE"/>
        </w:rPr>
        <w:t>Il existe toutefois des exceptions telles que les matériaux destinés à entrer en contact avec des denrées alimentaires pour un usage unique (p</w:t>
      </w:r>
      <w:r w:rsidR="00531689">
        <w:rPr>
          <w:lang w:val="fr-BE"/>
        </w:rPr>
        <w:t>.</w:t>
      </w:r>
      <w:r w:rsidRPr="007A2892">
        <w:rPr>
          <w:lang w:val="fr-BE"/>
        </w:rPr>
        <w:t xml:space="preserve"> ex</w:t>
      </w:r>
      <w:r w:rsidR="00531689">
        <w:rPr>
          <w:lang w:val="fr-BE"/>
        </w:rPr>
        <w:t>.</w:t>
      </w:r>
      <w:r w:rsidRPr="007A2892">
        <w:rPr>
          <w:lang w:val="fr-BE"/>
        </w:rPr>
        <w:t xml:space="preserve"> </w:t>
      </w:r>
      <w:r w:rsidR="00B82A0E">
        <w:rPr>
          <w:lang w:val="fr-BE"/>
        </w:rPr>
        <w:t xml:space="preserve">le </w:t>
      </w:r>
      <w:r w:rsidRPr="007A2892">
        <w:rPr>
          <w:lang w:val="fr-BE"/>
        </w:rPr>
        <w:t>papier aluminium</w:t>
      </w:r>
      <w:r w:rsidR="005D1890" w:rsidRPr="007A2892">
        <w:rPr>
          <w:lang w:val="fr-BE"/>
        </w:rPr>
        <w:t>,</w:t>
      </w:r>
      <w:r w:rsidR="00F15831" w:rsidRPr="007A2892">
        <w:rPr>
          <w:lang w:val="fr-BE"/>
        </w:rPr>
        <w:t xml:space="preserve"> les boîtes</w:t>
      </w:r>
      <w:r w:rsidR="005D1890" w:rsidRPr="007A2892">
        <w:rPr>
          <w:lang w:val="fr-BE"/>
        </w:rPr>
        <w:t xml:space="preserve"> </w:t>
      </w:r>
      <w:r w:rsidR="004B0648">
        <w:rPr>
          <w:lang w:val="fr-BE"/>
        </w:rPr>
        <w:t xml:space="preserve">de </w:t>
      </w:r>
      <w:r w:rsidR="005D1890" w:rsidRPr="007A2892">
        <w:rPr>
          <w:lang w:val="fr-BE"/>
        </w:rPr>
        <w:t>conserve pour aliments et boissons, ...</w:t>
      </w:r>
      <w:r w:rsidRPr="007A2892">
        <w:rPr>
          <w:lang w:val="fr-BE"/>
        </w:rPr>
        <w:t>) pour lesquels le lavage n’est pas significatif, cela n</w:t>
      </w:r>
      <w:r w:rsidR="00B82A0E">
        <w:rPr>
          <w:lang w:val="fr-BE"/>
        </w:rPr>
        <w:t>’étant</w:t>
      </w:r>
      <w:r w:rsidRPr="007A2892">
        <w:rPr>
          <w:lang w:val="fr-BE"/>
        </w:rPr>
        <w:t xml:space="preserve"> jamais réalisé en utilisation réelle. Le prétraitement doit donc, dans la mesure du possible, imiter la réalité.</w:t>
      </w:r>
    </w:p>
    <w:p w14:paraId="72C89F5F" w14:textId="77777777" w:rsidR="00C24361" w:rsidRPr="007A2892" w:rsidRDefault="00C24361">
      <w:pPr>
        <w:jc w:val="both"/>
        <w:rPr>
          <w:lang w:val="fr-BE"/>
        </w:rPr>
      </w:pPr>
    </w:p>
    <w:p w14:paraId="3FD30603" w14:textId="4ACEA654" w:rsidR="00C24361" w:rsidRPr="007A2892" w:rsidRDefault="005D1890">
      <w:pPr>
        <w:pStyle w:val="Titre2"/>
      </w:pPr>
      <w:bookmarkStart w:id="14" w:name="_Toc66377250"/>
      <w:proofErr w:type="spellStart"/>
      <w:r w:rsidRPr="007A2892">
        <w:t>Essais</w:t>
      </w:r>
      <w:proofErr w:type="spellEnd"/>
      <w:r w:rsidR="00786164" w:rsidRPr="007A2892">
        <w:t xml:space="preserve"> de </w:t>
      </w:r>
      <w:proofErr w:type="spellStart"/>
      <w:r w:rsidR="00786164" w:rsidRPr="007A2892">
        <w:t>libération</w:t>
      </w:r>
      <w:bookmarkEnd w:id="14"/>
      <w:proofErr w:type="spellEnd"/>
    </w:p>
    <w:p w14:paraId="1D9A8053" w14:textId="20CE2EBF" w:rsidR="00C24361" w:rsidRPr="007A2892" w:rsidRDefault="00F15831">
      <w:pPr>
        <w:pStyle w:val="Titre3"/>
        <w:jc w:val="both"/>
        <w:rPr>
          <w:lang w:val="fr-BE"/>
        </w:rPr>
      </w:pPr>
      <w:bookmarkStart w:id="15" w:name="_Toc66377251"/>
      <w:r w:rsidRPr="007A2892">
        <w:rPr>
          <w:lang w:val="fr-BE"/>
        </w:rPr>
        <w:t>Essais</w:t>
      </w:r>
      <w:r w:rsidR="00262477" w:rsidRPr="007A2892">
        <w:rPr>
          <w:lang w:val="fr-BE"/>
        </w:rPr>
        <w:t xml:space="preserve"> de libération dans les denrées alimentaires</w:t>
      </w:r>
      <w:bookmarkEnd w:id="15"/>
    </w:p>
    <w:p w14:paraId="4B39C4D2" w14:textId="77777777" w:rsidR="00C24361" w:rsidRPr="007A2892" w:rsidRDefault="00C24361">
      <w:pPr>
        <w:jc w:val="both"/>
        <w:rPr>
          <w:lang w:val="fr-BE"/>
        </w:rPr>
      </w:pPr>
    </w:p>
    <w:p w14:paraId="01DC20DA" w14:textId="3827716B" w:rsidR="00C24361" w:rsidRPr="007A2892" w:rsidRDefault="00262477">
      <w:pPr>
        <w:jc w:val="both"/>
        <w:rPr>
          <w:rFonts w:ascii="Calibri" w:hAnsi="Calibri" w:cs="Calibri"/>
          <w:lang w:val="fr-BE"/>
        </w:rPr>
      </w:pPr>
      <w:r w:rsidRPr="007A2892">
        <w:rPr>
          <w:rFonts w:cs="Arial"/>
          <w:lang w:val="fr-BE"/>
        </w:rPr>
        <w:t xml:space="preserve">Si le </w:t>
      </w:r>
      <w:r w:rsidR="00F15831" w:rsidRPr="007A2892">
        <w:rPr>
          <w:rFonts w:cs="Arial"/>
          <w:lang w:val="fr-BE"/>
        </w:rPr>
        <w:t>FCM</w:t>
      </w:r>
      <w:r w:rsidRPr="007A2892">
        <w:rPr>
          <w:rFonts w:cs="Arial"/>
          <w:lang w:val="fr-BE"/>
        </w:rPr>
        <w:t xml:space="preserve">, qui fait l’objet de l’enquête, remplit l’une de ces conditions, </w:t>
      </w:r>
      <w:r w:rsidR="00F15831" w:rsidRPr="007A2892">
        <w:rPr>
          <w:rFonts w:cs="Arial"/>
          <w:lang w:val="fr-BE"/>
        </w:rPr>
        <w:t>l’essais</w:t>
      </w:r>
      <w:r w:rsidR="00786164" w:rsidRPr="007A2892">
        <w:rPr>
          <w:rFonts w:cs="Arial"/>
          <w:lang w:val="fr-BE"/>
        </w:rPr>
        <w:t xml:space="preserve"> de libération</w:t>
      </w:r>
      <w:r w:rsidRPr="007A2892">
        <w:rPr>
          <w:rFonts w:cs="Arial"/>
          <w:lang w:val="fr-BE"/>
        </w:rPr>
        <w:t xml:space="preserve"> est effectué avec des denrées alimentaires. </w:t>
      </w:r>
    </w:p>
    <w:p w14:paraId="0528D3BF" w14:textId="307EAEF2" w:rsidR="00F15831" w:rsidRPr="007A2892" w:rsidRDefault="00F15831" w:rsidP="00F15831">
      <w:pPr>
        <w:pStyle w:val="Paragraphedeliste"/>
        <w:numPr>
          <w:ilvl w:val="0"/>
          <w:numId w:val="46"/>
        </w:numPr>
        <w:rPr>
          <w:rFonts w:asciiTheme="minorHAnsi" w:eastAsiaTheme="minorHAnsi" w:hAnsiTheme="minorHAnsi" w:cs="Arial"/>
          <w:sz w:val="22"/>
          <w:szCs w:val="22"/>
          <w:lang w:val="fr-BE" w:eastAsia="en-US"/>
        </w:rPr>
      </w:pPr>
      <w:r w:rsidRPr="007A2892">
        <w:rPr>
          <w:rFonts w:asciiTheme="minorHAnsi" w:eastAsiaTheme="minorHAnsi" w:hAnsiTheme="minorHAnsi" w:cs="Arial"/>
          <w:sz w:val="22"/>
          <w:szCs w:val="22"/>
          <w:lang w:val="fr-BE" w:eastAsia="en-US"/>
        </w:rPr>
        <w:t>si le matériau ou objet, lorsqu’il est commercialisé, est déjà en contact avec l’aliment (p. ex. aliments en boîtes de conserve, tonnelets de bière, etc.) ou s’il est destiné à des applications d’emballage (p. ex. boîtes de conserve destinées à l’industrie alimentaire) ; dans la mesure du possible, l’essai doit être réalisé à la date de péremption des denrées ;</w:t>
      </w:r>
    </w:p>
    <w:p w14:paraId="2957BA15" w14:textId="67034137" w:rsidR="00F15831" w:rsidRPr="007A2892" w:rsidRDefault="00F15831" w:rsidP="00F15831">
      <w:pPr>
        <w:pStyle w:val="Paragraphedeliste"/>
        <w:numPr>
          <w:ilvl w:val="0"/>
          <w:numId w:val="46"/>
        </w:numPr>
        <w:rPr>
          <w:rFonts w:asciiTheme="minorHAnsi" w:eastAsiaTheme="minorHAnsi" w:hAnsiTheme="minorHAnsi" w:cs="Arial"/>
          <w:sz w:val="22"/>
          <w:szCs w:val="22"/>
          <w:lang w:val="fr-BE" w:eastAsia="en-US"/>
        </w:rPr>
      </w:pPr>
      <w:r w:rsidRPr="007A2892">
        <w:rPr>
          <w:rFonts w:asciiTheme="minorHAnsi" w:eastAsiaTheme="minorHAnsi" w:hAnsiTheme="minorHAnsi" w:cs="Arial"/>
          <w:sz w:val="22"/>
          <w:szCs w:val="22"/>
          <w:lang w:val="fr-BE" w:eastAsia="en-US"/>
        </w:rPr>
        <w:t>si le matériau ou objet, lorsqu’il est commercialisé, n’est pas en contact avec l’aliment mais que son usage</w:t>
      </w:r>
      <w:r w:rsidR="00DA4D82">
        <w:rPr>
          <w:rFonts w:asciiTheme="minorHAnsi" w:eastAsiaTheme="minorHAnsi" w:hAnsiTheme="minorHAnsi" w:cs="Arial"/>
          <w:sz w:val="22"/>
          <w:szCs w:val="22"/>
          <w:lang w:val="fr-BE" w:eastAsia="en-US"/>
        </w:rPr>
        <w:t xml:space="preserve"> est</w:t>
      </w:r>
      <w:r w:rsidRPr="007A2892">
        <w:rPr>
          <w:rFonts w:asciiTheme="minorHAnsi" w:eastAsiaTheme="minorHAnsi" w:hAnsiTheme="minorHAnsi" w:cs="Arial"/>
          <w:sz w:val="22"/>
          <w:szCs w:val="22"/>
          <w:lang w:val="fr-BE" w:eastAsia="en-US"/>
        </w:rPr>
        <w:t xml:space="preserve"> prévu pour des denrées ou des groupes de denrées alimentaires ou est clairement indiqué par le fabricant ou ne présente aucun doute (p. ex. presse-ail, infuseurs à thé, etc.) ;</w:t>
      </w:r>
    </w:p>
    <w:p w14:paraId="7265A0B3" w14:textId="7D7949FB" w:rsidR="00F15831" w:rsidRPr="007A2892" w:rsidRDefault="00F15831" w:rsidP="00F15831">
      <w:pPr>
        <w:pStyle w:val="Paragraphedeliste"/>
        <w:numPr>
          <w:ilvl w:val="0"/>
          <w:numId w:val="46"/>
        </w:numPr>
        <w:rPr>
          <w:rFonts w:asciiTheme="minorHAnsi" w:eastAsiaTheme="minorHAnsi" w:hAnsiTheme="minorHAnsi" w:cs="Arial"/>
          <w:sz w:val="22"/>
          <w:szCs w:val="22"/>
          <w:lang w:val="fr-BE" w:eastAsia="en-US"/>
        </w:rPr>
      </w:pPr>
      <w:r w:rsidRPr="007A2892">
        <w:rPr>
          <w:rFonts w:asciiTheme="minorHAnsi" w:eastAsiaTheme="minorHAnsi" w:hAnsiTheme="minorHAnsi" w:cs="Arial"/>
          <w:sz w:val="22"/>
          <w:szCs w:val="22"/>
          <w:lang w:val="fr-BE" w:eastAsia="en-US"/>
        </w:rPr>
        <w:t xml:space="preserve">si des conditions physiques extrêmes ou une abrasion sont attendues lors d’un usage normal, impossible à reproduire avec des </w:t>
      </w:r>
      <w:proofErr w:type="spellStart"/>
      <w:r w:rsidRPr="007A2892">
        <w:rPr>
          <w:rFonts w:asciiTheme="minorHAnsi" w:eastAsiaTheme="minorHAnsi" w:hAnsiTheme="minorHAnsi" w:cs="Arial"/>
          <w:sz w:val="22"/>
          <w:szCs w:val="22"/>
          <w:lang w:val="fr-BE" w:eastAsia="en-US"/>
        </w:rPr>
        <w:t>simulants</w:t>
      </w:r>
      <w:proofErr w:type="spellEnd"/>
      <w:r w:rsidRPr="007A2892">
        <w:rPr>
          <w:rFonts w:asciiTheme="minorHAnsi" w:eastAsiaTheme="minorHAnsi" w:hAnsiTheme="minorHAnsi" w:cs="Arial"/>
          <w:sz w:val="22"/>
          <w:szCs w:val="22"/>
          <w:lang w:val="fr-BE" w:eastAsia="en-US"/>
        </w:rPr>
        <w:t xml:space="preserve"> liquides (p. ex. moulins à poivre, moulins à café, etc.) ;</w:t>
      </w:r>
    </w:p>
    <w:p w14:paraId="3118187F" w14:textId="77777777" w:rsidR="00BC3E71" w:rsidRPr="007A2892" w:rsidRDefault="00BC3E71" w:rsidP="00BC3E71">
      <w:pPr>
        <w:pStyle w:val="Paragraphedeliste"/>
        <w:ind w:left="1080"/>
        <w:rPr>
          <w:rFonts w:asciiTheme="minorHAnsi" w:eastAsiaTheme="minorHAnsi" w:hAnsiTheme="minorHAnsi" w:cs="Arial"/>
          <w:sz w:val="22"/>
          <w:szCs w:val="22"/>
          <w:lang w:val="fr-BE" w:eastAsia="en-US"/>
        </w:rPr>
      </w:pPr>
    </w:p>
    <w:p w14:paraId="5146CE59" w14:textId="35579EF1" w:rsidR="00F15831" w:rsidRPr="007A2892" w:rsidRDefault="00BC3E71" w:rsidP="00BC3E71">
      <w:pPr>
        <w:rPr>
          <w:rFonts w:cs="Arial"/>
          <w:lang w:val="fr-BE"/>
        </w:rPr>
      </w:pPr>
      <w:r w:rsidRPr="007A2892">
        <w:rPr>
          <w:rFonts w:cs="Arial"/>
          <w:lang w:val="fr-BE"/>
        </w:rPr>
        <w:t>Si les denrées alimentaires possèdent une teneur naturelle en métal susceptible d’influencer  significativement le résultat de l’analyse. Dans ce cas, le choix d’autres denrées alimentaires représentatives doit être scientifiquement justifié.</w:t>
      </w:r>
    </w:p>
    <w:p w14:paraId="76B4ADBB" w14:textId="36425BCA" w:rsidR="00BC3E71" w:rsidRPr="007A2892" w:rsidRDefault="00BC3E71" w:rsidP="00BC3E71">
      <w:pPr>
        <w:jc w:val="both"/>
        <w:rPr>
          <w:rFonts w:cs="Arial"/>
          <w:lang w:val="fr-BE"/>
        </w:rPr>
      </w:pPr>
      <w:r w:rsidRPr="007A2892">
        <w:rPr>
          <w:rFonts w:cs="Arial"/>
          <w:lang w:val="fr-BE"/>
        </w:rPr>
        <w:t xml:space="preserve">Si aucune denrée alimentaire particulière n’a été indiquée, il convient de choisir un aliment représentatif, </w:t>
      </w:r>
      <w:r w:rsidR="00480380">
        <w:rPr>
          <w:rFonts w:cs="Arial"/>
          <w:lang w:val="fr-BE"/>
        </w:rPr>
        <w:t>possédant</w:t>
      </w:r>
      <w:r w:rsidRPr="007A2892">
        <w:rPr>
          <w:rFonts w:cs="Arial"/>
          <w:lang w:val="fr-BE"/>
        </w:rPr>
        <w:t xml:space="preserve"> des caractéristiques appropriées (p.e</w:t>
      </w:r>
      <w:r w:rsidR="00DA4D82">
        <w:rPr>
          <w:rFonts w:cs="Arial"/>
          <w:lang w:val="fr-BE"/>
        </w:rPr>
        <w:t>x</w:t>
      </w:r>
      <w:r w:rsidRPr="007A2892">
        <w:rPr>
          <w:rFonts w:cs="Arial"/>
          <w:lang w:val="fr-BE"/>
        </w:rPr>
        <w:t>. pH, acides, sels, graisses ou alcools). Le principe des conditions d’utilisation les plus défavorables doit être appliqué.</w:t>
      </w:r>
    </w:p>
    <w:p w14:paraId="3F107A70" w14:textId="6204E09F" w:rsidR="00C24361" w:rsidRPr="007A2892" w:rsidRDefault="00BC3E71" w:rsidP="00BC3E71">
      <w:pPr>
        <w:jc w:val="both"/>
        <w:rPr>
          <w:rFonts w:cs="Arial"/>
          <w:lang w:val="fr-BE"/>
        </w:rPr>
      </w:pPr>
      <w:r w:rsidRPr="007A2892">
        <w:rPr>
          <w:lang w:val="fr-BE"/>
        </w:rPr>
        <w:t>Dans les cas appropriés, la documentation présentée à l’appui de la déclaration de conformité spécifie la denrée alimentaire représentative.</w:t>
      </w:r>
    </w:p>
    <w:p w14:paraId="04CDBCC6" w14:textId="58EF6892" w:rsidR="00C24361" w:rsidRPr="007A2892" w:rsidRDefault="008F5A96">
      <w:pPr>
        <w:jc w:val="both"/>
        <w:rPr>
          <w:rFonts w:cs="Times New Roman"/>
          <w:color w:val="000000" w:themeColor="text1"/>
          <w:lang w:val="fr-BE"/>
        </w:rPr>
      </w:pPr>
      <w:r w:rsidRPr="007A2892">
        <w:rPr>
          <w:color w:val="000000" w:themeColor="text1"/>
          <w:lang w:val="fr-BE"/>
        </w:rPr>
        <w:lastRenderedPageBreak/>
        <w:t>L</w:t>
      </w:r>
      <w:r w:rsidR="00262477" w:rsidRPr="007A2892">
        <w:rPr>
          <w:color w:val="000000" w:themeColor="text1"/>
          <w:lang w:val="fr-BE"/>
        </w:rPr>
        <w:t xml:space="preserve">a </w:t>
      </w:r>
      <w:r w:rsidR="007B5424" w:rsidRPr="007A2892">
        <w:rPr>
          <w:color w:val="000000" w:themeColor="text1"/>
          <w:lang w:val="fr-BE"/>
        </w:rPr>
        <w:t>libération</w:t>
      </w:r>
      <w:r w:rsidRPr="007A2892">
        <w:rPr>
          <w:color w:val="000000" w:themeColor="text1"/>
          <w:lang w:val="fr-BE"/>
        </w:rPr>
        <w:t xml:space="preserve"> effectuée,</w:t>
      </w:r>
      <w:r w:rsidR="00262477" w:rsidRPr="007A2892">
        <w:rPr>
          <w:color w:val="000000" w:themeColor="text1"/>
          <w:lang w:val="fr-BE"/>
        </w:rPr>
        <w:t xml:space="preserve"> la denrée alimentaire utilisée dans </w:t>
      </w:r>
      <w:r w:rsidR="0027324F" w:rsidRPr="007A2892">
        <w:rPr>
          <w:color w:val="000000" w:themeColor="text1"/>
          <w:lang w:val="fr-BE"/>
        </w:rPr>
        <w:t>l‘essais</w:t>
      </w:r>
      <w:r w:rsidRPr="007A2892">
        <w:rPr>
          <w:color w:val="000000" w:themeColor="text1"/>
          <w:lang w:val="fr-BE"/>
        </w:rPr>
        <w:t xml:space="preserve"> de libération</w:t>
      </w:r>
      <w:r w:rsidR="00082AA1" w:rsidRPr="007A2892">
        <w:rPr>
          <w:rStyle w:val="Marquedecommentaire"/>
          <w:lang w:val="fr-BE"/>
        </w:rPr>
        <w:t xml:space="preserve"> </w:t>
      </w:r>
      <w:r w:rsidR="00082AA1" w:rsidRPr="007A2892">
        <w:rPr>
          <w:color w:val="000000" w:themeColor="text1"/>
          <w:lang w:val="fr-BE"/>
        </w:rPr>
        <w:t xml:space="preserve">doit </w:t>
      </w:r>
      <w:r w:rsidR="00262477" w:rsidRPr="007A2892">
        <w:rPr>
          <w:color w:val="000000" w:themeColor="text1"/>
          <w:lang w:val="fr-BE"/>
        </w:rPr>
        <w:t>être déterminée d’une manière appropriée, de sorte que la concentration d’éléments puisse être déterminée par FAAS, GF-AAS, ICP-AES/ICP-OES et ICP-MS.</w:t>
      </w:r>
      <w:r w:rsidR="00262477" w:rsidRPr="007A2892">
        <w:rPr>
          <w:lang w:val="fr-BE"/>
        </w:rPr>
        <w:t xml:space="preserve"> </w:t>
      </w:r>
      <w:r w:rsidR="0027324F" w:rsidRPr="007A2892">
        <w:rPr>
          <w:lang w:val="fr-BE"/>
        </w:rPr>
        <w:t>D</w:t>
      </w:r>
      <w:r w:rsidR="00262477" w:rsidRPr="007A2892">
        <w:rPr>
          <w:lang w:val="fr-BE"/>
        </w:rPr>
        <w:t>es conditions individuelles de digestion</w:t>
      </w:r>
      <w:r w:rsidR="00262477" w:rsidRPr="007A2892">
        <w:rPr>
          <w:rFonts w:cs="Arial"/>
          <w:lang w:val="fr-BE"/>
        </w:rPr>
        <w:t xml:space="preserve"> et des mesures spécifiques pour éviter l’interférence de la matrice peuvent être nécessaires pour déterminer les concentrations métalliques dans les denrées alimentaires.</w:t>
      </w:r>
    </w:p>
    <w:p w14:paraId="661AB4BF" w14:textId="77777777" w:rsidR="0027324F" w:rsidRPr="007A2892" w:rsidRDefault="0027324F" w:rsidP="0027324F">
      <w:pPr>
        <w:jc w:val="both"/>
        <w:rPr>
          <w:rFonts w:cs="Arial"/>
          <w:lang w:val="fr-BE"/>
        </w:rPr>
      </w:pPr>
      <w:r w:rsidRPr="007A2892">
        <w:rPr>
          <w:lang w:val="fr-BE"/>
        </w:rPr>
        <w:t>La concentration naturelle du métal (ou des métaux) dans la denrée alimentaire à tester doit être connue avant la réalisation de l’essai. A cet effet, il est nécessaire de mesurer la concentration de métal dans la denrée alimentaire avant et après contact avec le matériau ou objet métallique. Si elles sont disponibles, les informations sur la concentration naturelle de métal attendue et sa variabilité dans la denrée alimentaire doivent être mentionnées par le producteur de denrées dans la documentation présentée à l’appui de la déclaration de conformité.</w:t>
      </w:r>
      <w:r w:rsidRPr="007A2892">
        <w:rPr>
          <w:rFonts w:cs="Arial"/>
          <w:lang w:val="fr-BE"/>
        </w:rPr>
        <w:t xml:space="preserve"> </w:t>
      </w:r>
    </w:p>
    <w:p w14:paraId="0F7A5E6F" w14:textId="105D4B34" w:rsidR="00C24361" w:rsidRPr="007A2892" w:rsidRDefault="00262477" w:rsidP="0027324F">
      <w:pPr>
        <w:jc w:val="both"/>
        <w:rPr>
          <w:rFonts w:cs="Arial"/>
          <w:lang w:val="fr-BE"/>
        </w:rPr>
      </w:pPr>
      <w:r w:rsidRPr="007A2892">
        <w:rPr>
          <w:rFonts w:cs="Arial"/>
          <w:lang w:val="fr-BE"/>
        </w:rPr>
        <w:t>Dans le cas d’un traitement par échantillon spécial, une description détaillée des circonstances doit figurer dans le rapport d’essai.</w:t>
      </w:r>
    </w:p>
    <w:p w14:paraId="0B387429" w14:textId="4D5A22DD" w:rsidR="00C24361" w:rsidRDefault="0027324F">
      <w:pPr>
        <w:jc w:val="both"/>
        <w:rPr>
          <w:rFonts w:cs="Arial"/>
          <w:lang w:val="fr-BE"/>
        </w:rPr>
      </w:pPr>
      <w:r w:rsidRPr="007A2892">
        <w:rPr>
          <w:rFonts w:cs="Arial"/>
          <w:lang w:val="fr-BE"/>
        </w:rPr>
        <w:t>La libération</w:t>
      </w:r>
      <w:r w:rsidR="00262477" w:rsidRPr="007A2892">
        <w:rPr>
          <w:rFonts w:cs="Arial"/>
          <w:lang w:val="fr-BE"/>
        </w:rPr>
        <w:t xml:space="preserve"> de métaux à partir d’un matériau ou objet métallique dans des denrées alimentaires</w:t>
      </w:r>
      <w:r w:rsidR="0011214F" w:rsidRPr="007A2892">
        <w:rPr>
          <w:rFonts w:cs="Arial"/>
          <w:lang w:val="fr-BE"/>
        </w:rPr>
        <w:t>,</w:t>
      </w:r>
      <w:r w:rsidR="00262477" w:rsidRPr="007A2892">
        <w:rPr>
          <w:rFonts w:cs="Arial"/>
          <w:lang w:val="fr-BE"/>
        </w:rPr>
        <w:t xml:space="preserve"> peut être déterminé en soustrayant la teneur naturelle en métal de la denrée alimentaire de la concentration métallique totale dans la denrée alimentaire</w:t>
      </w:r>
      <w:r w:rsidR="0011214F" w:rsidRPr="007A2892">
        <w:rPr>
          <w:rFonts w:cs="Arial"/>
          <w:lang w:val="fr-BE"/>
        </w:rPr>
        <w:t>,</w:t>
      </w:r>
      <w:r w:rsidR="00262477" w:rsidRPr="007A2892">
        <w:rPr>
          <w:rFonts w:cs="Arial"/>
          <w:lang w:val="fr-BE"/>
        </w:rPr>
        <w:t xml:space="preserve"> après avoir été en contact avec le produit.</w:t>
      </w:r>
    </w:p>
    <w:p w14:paraId="15F858DF" w14:textId="77777777" w:rsidR="006051E0" w:rsidRPr="007A2892" w:rsidRDefault="006051E0">
      <w:pPr>
        <w:jc w:val="both"/>
        <w:rPr>
          <w:rFonts w:cs="Arial"/>
          <w:lang w:val="fr-BE"/>
        </w:rPr>
      </w:pPr>
    </w:p>
    <w:p w14:paraId="35714AB8" w14:textId="150FE229" w:rsidR="00C24361" w:rsidRPr="007A2892" w:rsidRDefault="0027324F" w:rsidP="0027324F">
      <w:pPr>
        <w:pStyle w:val="Titre3"/>
        <w:rPr>
          <w:lang w:val="fr-BE"/>
        </w:rPr>
      </w:pPr>
      <w:bookmarkStart w:id="16" w:name="_Toc66377252"/>
      <w:r w:rsidRPr="007A2892">
        <w:rPr>
          <w:lang w:val="fr-BE"/>
        </w:rPr>
        <w:t xml:space="preserve">Essai de libération dans </w:t>
      </w:r>
      <w:r w:rsidR="006051E0">
        <w:rPr>
          <w:lang w:val="fr-BE"/>
        </w:rPr>
        <w:t>l</w:t>
      </w:r>
      <w:r w:rsidRPr="007A2892">
        <w:rPr>
          <w:lang w:val="fr-BE"/>
        </w:rPr>
        <w:t xml:space="preserve">es </w:t>
      </w:r>
      <w:proofErr w:type="spellStart"/>
      <w:r w:rsidRPr="007A2892">
        <w:rPr>
          <w:lang w:val="fr-BE"/>
        </w:rPr>
        <w:t>simulants</w:t>
      </w:r>
      <w:proofErr w:type="spellEnd"/>
      <w:r w:rsidRPr="007A2892">
        <w:rPr>
          <w:lang w:val="fr-BE"/>
        </w:rPr>
        <w:t xml:space="preserve"> alimentaires</w:t>
      </w:r>
      <w:bookmarkEnd w:id="16"/>
    </w:p>
    <w:p w14:paraId="564C31E9" w14:textId="77777777" w:rsidR="00C24361" w:rsidRPr="007A2892" w:rsidRDefault="00C24361">
      <w:pPr>
        <w:jc w:val="both"/>
        <w:rPr>
          <w:lang w:val="fr-BE"/>
        </w:rPr>
      </w:pPr>
    </w:p>
    <w:p w14:paraId="442392E8" w14:textId="62CA6C7A" w:rsidR="00C24361" w:rsidRPr="00706724" w:rsidRDefault="0027324F" w:rsidP="0027324F">
      <w:pPr>
        <w:jc w:val="both"/>
        <w:rPr>
          <w:rFonts w:cs="Arial"/>
          <w:lang w:val="fr-BE"/>
        </w:rPr>
      </w:pPr>
      <w:r w:rsidRPr="00706724">
        <w:rPr>
          <w:rFonts w:cs="Arial"/>
          <w:lang w:val="fr-BE"/>
        </w:rPr>
        <w:t xml:space="preserve">Des </w:t>
      </w:r>
      <w:proofErr w:type="spellStart"/>
      <w:r w:rsidRPr="00706724">
        <w:rPr>
          <w:rFonts w:cs="Arial"/>
          <w:lang w:val="fr-BE"/>
        </w:rPr>
        <w:t>simulants</w:t>
      </w:r>
      <w:proofErr w:type="spellEnd"/>
      <w:r w:rsidRPr="00706724">
        <w:rPr>
          <w:rFonts w:cs="Arial"/>
          <w:lang w:val="fr-BE"/>
        </w:rPr>
        <w:t xml:space="preserve"> alimentaires sont utilisés pour les essais de libération dans les cas suivants :</w:t>
      </w:r>
    </w:p>
    <w:p w14:paraId="1FDEE205" w14:textId="77777777" w:rsidR="0027324F" w:rsidRPr="00706724" w:rsidRDefault="0027324F" w:rsidP="0027324F">
      <w:pPr>
        <w:pStyle w:val="Paragraphedeliste"/>
        <w:numPr>
          <w:ilvl w:val="0"/>
          <w:numId w:val="47"/>
        </w:numPr>
        <w:rPr>
          <w:rFonts w:asciiTheme="minorHAnsi" w:eastAsiaTheme="minorHAnsi" w:hAnsiTheme="minorHAnsi" w:cs="Arial"/>
          <w:sz w:val="22"/>
          <w:szCs w:val="22"/>
          <w:lang w:val="fr-BE" w:eastAsia="en-US"/>
        </w:rPr>
      </w:pPr>
      <w:r w:rsidRPr="00706724">
        <w:rPr>
          <w:rFonts w:asciiTheme="minorHAnsi" w:eastAsiaTheme="minorHAnsi" w:hAnsiTheme="minorHAnsi" w:cs="Arial"/>
          <w:sz w:val="22"/>
          <w:szCs w:val="22"/>
          <w:lang w:val="fr-BE" w:eastAsia="en-US"/>
        </w:rPr>
        <w:t>si le matériau ou objet est susceptible d’entrer en contact avec des denrées alimentaires très diverses, impossibles à classer dans une catégorie particulière d’aliments (p. ex. ustensiles de cuisine ou autres objets utilisés comme prévu),</w:t>
      </w:r>
    </w:p>
    <w:p w14:paraId="4ECE6CEF" w14:textId="28BBEC0B" w:rsidR="0027324F" w:rsidRPr="00706724" w:rsidRDefault="0027324F" w:rsidP="0027324F">
      <w:pPr>
        <w:pStyle w:val="Paragraphedeliste"/>
        <w:numPr>
          <w:ilvl w:val="0"/>
          <w:numId w:val="47"/>
        </w:numPr>
        <w:rPr>
          <w:rFonts w:asciiTheme="minorHAnsi" w:eastAsiaTheme="minorHAnsi" w:hAnsiTheme="minorHAnsi" w:cs="Arial"/>
          <w:sz w:val="22"/>
          <w:szCs w:val="22"/>
          <w:lang w:val="fr-BE" w:eastAsia="en-US"/>
        </w:rPr>
      </w:pPr>
      <w:r w:rsidRPr="00706724">
        <w:rPr>
          <w:rFonts w:asciiTheme="minorHAnsi" w:eastAsiaTheme="minorHAnsi" w:hAnsiTheme="minorHAnsi" w:cs="Arial"/>
          <w:sz w:val="22"/>
          <w:szCs w:val="22"/>
          <w:lang w:val="fr-BE" w:eastAsia="en-US"/>
        </w:rPr>
        <w:t>si son usage prévu pour des denrées ou des groupes de denrées alimentaires spécifiques n’est pas clairement indiqué ou connu,</w:t>
      </w:r>
    </w:p>
    <w:p w14:paraId="68372799" w14:textId="0F4AA2CC" w:rsidR="0027324F" w:rsidRPr="00706724" w:rsidRDefault="0027324F" w:rsidP="0027324F">
      <w:pPr>
        <w:pStyle w:val="Paragraphedeliste"/>
        <w:numPr>
          <w:ilvl w:val="0"/>
          <w:numId w:val="47"/>
        </w:numPr>
        <w:rPr>
          <w:rFonts w:asciiTheme="minorHAnsi" w:eastAsiaTheme="minorHAnsi" w:hAnsiTheme="minorHAnsi" w:cs="Arial"/>
          <w:sz w:val="22"/>
          <w:szCs w:val="22"/>
          <w:lang w:val="fr-BE" w:eastAsia="en-US"/>
        </w:rPr>
      </w:pPr>
      <w:r w:rsidRPr="00706724">
        <w:rPr>
          <w:rFonts w:asciiTheme="minorHAnsi" w:eastAsiaTheme="minorHAnsi" w:hAnsiTheme="minorHAnsi" w:cs="Arial"/>
          <w:sz w:val="22"/>
          <w:szCs w:val="22"/>
          <w:lang w:val="fr-BE" w:eastAsia="en-US"/>
        </w:rPr>
        <w:t>s’il n’est pas possible de tester directement la libération à partir du matériau ou objet dans les denrées alimentaires, pour des raisons soit techniques (p. ex. lorsque l’analyse est techniquement impossible dans les denrées ou le groupe de denrées alimentaires spécifiés) soit pratiques (p. ex. lorsque les denrées ou le groupe de denrées alimentaires spécifiés ne sont pas disponibles).</w:t>
      </w:r>
    </w:p>
    <w:p w14:paraId="4EFFAC2C" w14:textId="365A880E" w:rsidR="00C24361" w:rsidRDefault="00FE2872">
      <w:pPr>
        <w:jc w:val="both"/>
        <w:rPr>
          <w:rFonts w:cs="Arial"/>
          <w:lang w:val="fr-BE"/>
        </w:rPr>
      </w:pPr>
      <w:r w:rsidRPr="00706724">
        <w:rPr>
          <w:rFonts w:cs="Arial"/>
          <w:lang w:val="fr-BE"/>
        </w:rPr>
        <w:t xml:space="preserve">Les </w:t>
      </w:r>
      <w:proofErr w:type="spellStart"/>
      <w:r w:rsidR="00262477" w:rsidRPr="00706724">
        <w:rPr>
          <w:rFonts w:cs="Arial"/>
          <w:lang w:val="fr-BE"/>
        </w:rPr>
        <w:t>simulants</w:t>
      </w:r>
      <w:proofErr w:type="spellEnd"/>
      <w:r w:rsidR="00262477" w:rsidRPr="00706724">
        <w:rPr>
          <w:rFonts w:cs="Arial"/>
          <w:lang w:val="fr-BE"/>
        </w:rPr>
        <w:t xml:space="preserve"> suivants peuvent être utilisés. Le choix du simulant est déterminé par la denrée alimentaire </w:t>
      </w:r>
      <w:r w:rsidR="006148F9" w:rsidRPr="00706724">
        <w:rPr>
          <w:rFonts w:cs="Arial"/>
          <w:lang w:val="fr-BE"/>
        </w:rPr>
        <w:t>avec</w:t>
      </w:r>
      <w:r w:rsidR="00262477" w:rsidRPr="00706724">
        <w:rPr>
          <w:rFonts w:cs="Arial"/>
          <w:lang w:val="fr-BE"/>
        </w:rPr>
        <w:t xml:space="preserve"> laquelle le FCM entrera en contact.</w:t>
      </w:r>
      <w:r w:rsidR="00611DF1" w:rsidRPr="00706724">
        <w:rPr>
          <w:rFonts w:cs="Arial"/>
          <w:lang w:val="fr-BE"/>
        </w:rPr>
        <w:t xml:space="preserve"> </w:t>
      </w:r>
      <w:r w:rsidR="00262477" w:rsidRPr="00706724">
        <w:rPr>
          <w:rFonts w:cs="Arial"/>
          <w:lang w:val="fr-BE"/>
        </w:rPr>
        <w:t>Tous les produits chimiques utilisés doivent présenter un degré de pureté approprié.</w:t>
      </w:r>
    </w:p>
    <w:p w14:paraId="4A225B00" w14:textId="2309E7A4" w:rsidR="00955EF8" w:rsidRDefault="00955EF8">
      <w:pPr>
        <w:jc w:val="both"/>
        <w:rPr>
          <w:rFonts w:cs="Arial"/>
          <w:lang w:val="fr-BE"/>
        </w:rPr>
      </w:pPr>
    </w:p>
    <w:p w14:paraId="4E0853D9" w14:textId="30857A6F" w:rsidR="00955EF8" w:rsidRDefault="00955EF8">
      <w:pPr>
        <w:jc w:val="both"/>
        <w:rPr>
          <w:rFonts w:cs="Arial"/>
          <w:lang w:val="fr-BE"/>
        </w:rPr>
      </w:pPr>
    </w:p>
    <w:p w14:paraId="0BB6BC8F" w14:textId="77777777" w:rsidR="00955EF8" w:rsidRPr="00955EF8" w:rsidRDefault="00955EF8">
      <w:pPr>
        <w:jc w:val="both"/>
        <w:rPr>
          <w:rFonts w:cs="Arial"/>
          <w:lang w:val="fr-BE"/>
        </w:rPr>
      </w:pPr>
    </w:p>
    <w:tbl>
      <w:tblPr>
        <w:tblStyle w:val="Grilledutableau"/>
        <w:tblW w:w="0" w:type="auto"/>
        <w:tblLook w:val="04A0" w:firstRow="1" w:lastRow="0" w:firstColumn="1" w:lastColumn="0" w:noHBand="0" w:noVBand="1"/>
      </w:tblPr>
      <w:tblGrid>
        <w:gridCol w:w="4681"/>
        <w:gridCol w:w="4669"/>
      </w:tblGrid>
      <w:tr w:rsidR="00C24361" w:rsidRPr="007A2892" w14:paraId="51EE4F28" w14:textId="77777777">
        <w:tc>
          <w:tcPr>
            <w:tcW w:w="4686" w:type="dxa"/>
          </w:tcPr>
          <w:p w14:paraId="7008F07E" w14:textId="77777777" w:rsidR="00C24361" w:rsidRPr="007A2892" w:rsidRDefault="00262477">
            <w:pPr>
              <w:spacing w:before="120"/>
              <w:jc w:val="both"/>
            </w:pPr>
            <w:r w:rsidRPr="007A2892">
              <w:rPr>
                <w:b/>
              </w:rPr>
              <w:lastRenderedPageBreak/>
              <w:t>Type d’aliment</w:t>
            </w:r>
          </w:p>
        </w:tc>
        <w:tc>
          <w:tcPr>
            <w:tcW w:w="4674" w:type="dxa"/>
          </w:tcPr>
          <w:p w14:paraId="21FF15A6" w14:textId="77777777" w:rsidR="00C24361" w:rsidRPr="007A2892" w:rsidRDefault="00262477">
            <w:pPr>
              <w:spacing w:before="120"/>
              <w:jc w:val="both"/>
            </w:pPr>
            <w:r w:rsidRPr="007A2892">
              <w:rPr>
                <w:b/>
              </w:rPr>
              <w:t>Simulant</w:t>
            </w:r>
          </w:p>
        </w:tc>
      </w:tr>
      <w:tr w:rsidR="00C24361" w:rsidRPr="007A2892" w14:paraId="72D6CAE1" w14:textId="77777777">
        <w:tc>
          <w:tcPr>
            <w:tcW w:w="4686" w:type="dxa"/>
          </w:tcPr>
          <w:p w14:paraId="3E5F80CE" w14:textId="7FD47B2C" w:rsidR="00C24361" w:rsidRPr="007A2892" w:rsidRDefault="00FE2872">
            <w:pPr>
              <w:spacing w:before="120"/>
              <w:jc w:val="both"/>
              <w:rPr>
                <w:rFonts w:eastAsiaTheme="minorHAnsi" w:cs="Arial"/>
              </w:rPr>
            </w:pPr>
            <w:r w:rsidRPr="007A2892">
              <w:rPr>
                <w:rFonts w:eastAsiaTheme="minorHAnsi" w:cs="Arial"/>
              </w:rPr>
              <w:t>Aliment aqueux, alcoolique ou gras</w:t>
            </w:r>
          </w:p>
        </w:tc>
        <w:tc>
          <w:tcPr>
            <w:tcW w:w="4674" w:type="dxa"/>
          </w:tcPr>
          <w:p w14:paraId="70DD3F6A" w14:textId="77777777" w:rsidR="00C24361" w:rsidRPr="007A2892" w:rsidRDefault="00262477">
            <w:pPr>
              <w:spacing w:before="120"/>
              <w:jc w:val="both"/>
              <w:rPr>
                <w:rFonts w:eastAsiaTheme="minorHAnsi" w:cs="Arial"/>
              </w:rPr>
            </w:pPr>
            <w:r w:rsidRPr="007A2892">
              <w:rPr>
                <w:rFonts w:eastAsiaTheme="minorHAnsi" w:cs="Arial"/>
              </w:rPr>
              <w:t>Eau courante commune EN16899 *</w:t>
            </w:r>
          </w:p>
        </w:tc>
      </w:tr>
      <w:tr w:rsidR="00C24361" w:rsidRPr="007A2892" w14:paraId="3F6BC604" w14:textId="77777777">
        <w:tc>
          <w:tcPr>
            <w:tcW w:w="4686" w:type="dxa"/>
          </w:tcPr>
          <w:p w14:paraId="3531FFDE" w14:textId="76ACFB67" w:rsidR="00C24361" w:rsidRPr="007A2892" w:rsidRDefault="00FE2872">
            <w:pPr>
              <w:spacing w:before="120"/>
              <w:jc w:val="both"/>
              <w:rPr>
                <w:rFonts w:eastAsiaTheme="minorHAnsi" w:cs="Arial"/>
              </w:rPr>
            </w:pPr>
            <w:r w:rsidRPr="007A2892">
              <w:rPr>
                <w:rFonts w:eastAsiaTheme="minorHAnsi" w:cs="Arial"/>
              </w:rPr>
              <w:t>Aliment acide (pH ≤ 4,5)</w:t>
            </w:r>
          </w:p>
        </w:tc>
        <w:tc>
          <w:tcPr>
            <w:tcW w:w="4674" w:type="dxa"/>
          </w:tcPr>
          <w:p w14:paraId="5A31B14D" w14:textId="77777777" w:rsidR="00C24361" w:rsidRPr="007A2892" w:rsidRDefault="00262477">
            <w:pPr>
              <w:spacing w:before="120"/>
              <w:jc w:val="both"/>
              <w:rPr>
                <w:rFonts w:eastAsiaTheme="minorHAnsi" w:cs="Arial"/>
              </w:rPr>
            </w:pPr>
            <w:r w:rsidRPr="007A2892">
              <w:rPr>
                <w:rFonts w:eastAsiaTheme="minorHAnsi" w:cs="Arial"/>
              </w:rPr>
              <w:t>Acide citrique 5 g/l,</w:t>
            </w:r>
          </w:p>
        </w:tc>
      </w:tr>
    </w:tbl>
    <w:p w14:paraId="0854A992" w14:textId="3356AB18" w:rsidR="00C24361" w:rsidRPr="007A2892" w:rsidRDefault="00262477">
      <w:pPr>
        <w:pStyle w:val="Paragraphedeliste"/>
        <w:ind w:left="142"/>
        <w:rPr>
          <w:rFonts w:asciiTheme="minorHAnsi" w:eastAsiaTheme="minorHAnsi" w:hAnsiTheme="minorHAnsi" w:cs="Arial"/>
          <w:sz w:val="18"/>
          <w:szCs w:val="18"/>
          <w:lang w:val="fr-BE"/>
        </w:rPr>
      </w:pPr>
      <w:r w:rsidRPr="007A2892">
        <w:rPr>
          <w:rFonts w:asciiTheme="minorHAnsi" w:eastAsiaTheme="minorHAnsi" w:hAnsiTheme="minorHAnsi" w:cs="Arial"/>
          <w:sz w:val="18"/>
          <w:szCs w:val="18"/>
          <w:lang w:val="fr-BE"/>
        </w:rPr>
        <w:t>* EN 16899 Hygiène des denrées alimentaires — Production et prévention des boissons chaudes dans les boissons chaudes — Hygiène et mainlevée. Estimation des concentrations d’ions: calcium: 16,4 mg/l, magnésium 3,3 mg/l, sodium 16 mg/l, carbonate hydrogène 44 mg/l, chlorure de 28,4 mg/l, sulfate de 13 mg/l et pH ajusté à 7.5.</w:t>
      </w:r>
    </w:p>
    <w:p w14:paraId="669DC2A5" w14:textId="77777777" w:rsidR="00C24361" w:rsidRPr="007A2892" w:rsidRDefault="00C24361">
      <w:pPr>
        <w:pStyle w:val="Paragraphedeliste"/>
        <w:rPr>
          <w:rFonts w:cs="Arial"/>
          <w:lang w:val="fr-BE"/>
        </w:rPr>
      </w:pPr>
    </w:p>
    <w:p w14:paraId="38C391F9" w14:textId="0664962D" w:rsidR="00C24361" w:rsidRPr="007A2892" w:rsidRDefault="00262477">
      <w:pPr>
        <w:jc w:val="both"/>
        <w:rPr>
          <w:rFonts w:cs="Arial"/>
          <w:lang w:val="fr-BE"/>
        </w:rPr>
      </w:pPr>
      <w:r w:rsidRPr="007A2892">
        <w:rPr>
          <w:rFonts w:cs="Arial"/>
          <w:lang w:val="fr-BE"/>
        </w:rPr>
        <w:t>Un autre simulant peut être utilisé s’il est plus adapté à l’essai de libération et à condition que l’utilisation de ce simulant soit fondée sur des preuves scientifiques éprouvées et vérifiées.</w:t>
      </w:r>
    </w:p>
    <w:p w14:paraId="4DF10878" w14:textId="2E4D81C9" w:rsidR="00C24361" w:rsidRPr="007A2892" w:rsidRDefault="00262477">
      <w:pPr>
        <w:jc w:val="both"/>
        <w:rPr>
          <w:rFonts w:cs="Arial"/>
          <w:lang w:val="fr-BE"/>
        </w:rPr>
      </w:pPr>
      <w:r w:rsidRPr="007A2892">
        <w:rPr>
          <w:rFonts w:cs="Arial"/>
          <w:lang w:val="fr-BE"/>
        </w:rPr>
        <w:t xml:space="preserve">L’évaporation </w:t>
      </w:r>
      <w:r w:rsidR="006148F9" w:rsidRPr="007A2892">
        <w:rPr>
          <w:rFonts w:cs="Arial"/>
          <w:lang w:val="fr-BE"/>
        </w:rPr>
        <w:t>du simulant</w:t>
      </w:r>
      <w:r w:rsidR="006148F9" w:rsidRPr="007A2892">
        <w:rPr>
          <w:rStyle w:val="Marquedecommentaire"/>
          <w:lang w:val="fr-BE"/>
        </w:rPr>
        <w:t xml:space="preserve"> </w:t>
      </w:r>
      <w:r w:rsidR="006148F9" w:rsidRPr="007A2892">
        <w:rPr>
          <w:rFonts w:cs="Arial"/>
          <w:lang w:val="fr-BE"/>
        </w:rPr>
        <w:t>do</w:t>
      </w:r>
      <w:r w:rsidRPr="007A2892">
        <w:rPr>
          <w:rFonts w:cs="Arial"/>
          <w:lang w:val="fr-BE"/>
        </w:rPr>
        <w:t>it être évité</w:t>
      </w:r>
      <w:r w:rsidR="008D2DD6">
        <w:rPr>
          <w:rFonts w:cs="Arial"/>
          <w:lang w:val="fr-BE"/>
        </w:rPr>
        <w:t>e</w:t>
      </w:r>
      <w:r w:rsidRPr="007A2892">
        <w:rPr>
          <w:rFonts w:cs="Arial"/>
          <w:lang w:val="fr-BE"/>
        </w:rPr>
        <w:t xml:space="preserve"> autant que possible.</w:t>
      </w:r>
    </w:p>
    <w:p w14:paraId="2E0F3072" w14:textId="2F4F738C" w:rsidR="00C24361" w:rsidRDefault="00262477">
      <w:pPr>
        <w:jc w:val="both"/>
        <w:rPr>
          <w:rFonts w:cs="Arial"/>
          <w:lang w:val="fr-BE"/>
        </w:rPr>
      </w:pPr>
      <w:r w:rsidRPr="007A2892">
        <w:rPr>
          <w:rFonts w:cs="Arial"/>
          <w:lang w:val="fr-BE"/>
        </w:rPr>
        <w:t xml:space="preserve">Afin de couvrir un conteneur sans couvercle, une couverture appropriée peut être </w:t>
      </w:r>
      <w:r w:rsidR="006148F9" w:rsidRPr="007A2892">
        <w:rPr>
          <w:rFonts w:cs="Arial"/>
          <w:lang w:val="fr-BE"/>
        </w:rPr>
        <w:t>appliquée</w:t>
      </w:r>
      <w:r w:rsidRPr="007A2892">
        <w:rPr>
          <w:rFonts w:cs="Arial"/>
          <w:lang w:val="fr-BE"/>
        </w:rPr>
        <w:t xml:space="preserve"> (p</w:t>
      </w:r>
      <w:r w:rsidR="00790B3A">
        <w:rPr>
          <w:rFonts w:cs="Arial"/>
          <w:lang w:val="fr-BE"/>
        </w:rPr>
        <w:t>.</w:t>
      </w:r>
      <w:r w:rsidRPr="007A2892">
        <w:rPr>
          <w:rFonts w:cs="Arial"/>
          <w:lang w:val="fr-BE"/>
        </w:rPr>
        <w:t xml:space="preserve"> ex</w:t>
      </w:r>
      <w:r w:rsidR="00790B3A">
        <w:rPr>
          <w:rFonts w:cs="Arial"/>
          <w:lang w:val="fr-BE"/>
        </w:rPr>
        <w:t>.</w:t>
      </w:r>
      <w:r w:rsidRPr="007A2892">
        <w:rPr>
          <w:rFonts w:cs="Arial"/>
          <w:lang w:val="fr-BE"/>
        </w:rPr>
        <w:t xml:space="preserve"> le film de </w:t>
      </w:r>
      <w:proofErr w:type="spellStart"/>
      <w:r w:rsidRPr="007A2892">
        <w:rPr>
          <w:rFonts w:cs="Arial"/>
          <w:lang w:val="fr-BE"/>
        </w:rPr>
        <w:t>fluoroplastics</w:t>
      </w:r>
      <w:proofErr w:type="spellEnd"/>
      <w:r w:rsidRPr="007A2892">
        <w:rPr>
          <w:rFonts w:cs="Arial"/>
          <w:lang w:val="fr-BE"/>
        </w:rPr>
        <w:t>)</w:t>
      </w:r>
      <w:r w:rsidR="00FE2872" w:rsidRPr="007A2892">
        <w:rPr>
          <w:rFonts w:cs="Arial"/>
          <w:lang w:val="fr-BE"/>
        </w:rPr>
        <w:t>. Il est préférable d'éviter d'utiliser du verre car il peut également libérer des métaux.</w:t>
      </w:r>
      <w:r w:rsidR="007D388B" w:rsidRPr="007A2892">
        <w:rPr>
          <w:rFonts w:cs="Arial"/>
          <w:lang w:val="fr-BE"/>
        </w:rPr>
        <w:t xml:space="preserve"> </w:t>
      </w:r>
      <w:r w:rsidRPr="007A2892">
        <w:rPr>
          <w:rFonts w:cs="Arial"/>
          <w:lang w:val="fr-BE"/>
        </w:rPr>
        <w:t>Les conteneurs munis d’un couvercle doivent être fermés en conditions réelles.</w:t>
      </w:r>
    </w:p>
    <w:p w14:paraId="161097E1" w14:textId="77777777" w:rsidR="009A0BBA" w:rsidRPr="007A2892" w:rsidRDefault="009A0BBA">
      <w:pPr>
        <w:jc w:val="both"/>
        <w:rPr>
          <w:rFonts w:cs="Arial"/>
          <w:lang w:val="fr-BE"/>
        </w:rPr>
      </w:pPr>
    </w:p>
    <w:p w14:paraId="6FAC021D" w14:textId="7E7D1E64" w:rsidR="00C24361" w:rsidRDefault="00262477">
      <w:pPr>
        <w:pStyle w:val="Titre3"/>
        <w:jc w:val="both"/>
        <w:rPr>
          <w:lang w:val="fr-BE"/>
        </w:rPr>
      </w:pPr>
      <w:bookmarkStart w:id="17" w:name="_Toc66377253"/>
      <w:r w:rsidRPr="007A2892">
        <w:rPr>
          <w:lang w:val="fr-BE"/>
        </w:rPr>
        <w:t>Conditions de transformation et de conditionnement</w:t>
      </w:r>
      <w:bookmarkEnd w:id="17"/>
    </w:p>
    <w:p w14:paraId="2103F15E" w14:textId="77777777" w:rsidR="009A0BBA" w:rsidRPr="009A0BBA" w:rsidRDefault="009A0BBA" w:rsidP="009A0BBA">
      <w:pPr>
        <w:rPr>
          <w:lang w:val="fr-BE"/>
        </w:rPr>
      </w:pPr>
    </w:p>
    <w:p w14:paraId="49F422DB" w14:textId="353DD851" w:rsidR="00C24361" w:rsidRPr="007A2892" w:rsidRDefault="00262477">
      <w:pPr>
        <w:jc w:val="both"/>
        <w:rPr>
          <w:rFonts w:cs="Arial"/>
          <w:lang w:val="fr-BE"/>
        </w:rPr>
      </w:pPr>
      <w:r w:rsidRPr="007A2892">
        <w:rPr>
          <w:lang w:val="fr-BE"/>
        </w:rPr>
        <w:t>Lors de la</w:t>
      </w:r>
      <w:r w:rsidRPr="007A2892">
        <w:rPr>
          <w:rFonts w:cs="Arial"/>
          <w:lang w:val="fr-BE"/>
        </w:rPr>
        <w:t xml:space="preserve"> vérification de la conformité, les conditions d’essai doivent être aussi proches que possible des conditions réelles de transformation et de conditionnement afin d’éviter une surestimation ou sous-estimation de la libération des métaux. La présence d’oxygène pendant l’essai peut, par exemple, augmenter la libération du fer et de l’étain à partir de </w:t>
      </w:r>
      <w:r w:rsidR="0079743C" w:rsidRPr="007A2892">
        <w:rPr>
          <w:rFonts w:cs="Arial"/>
          <w:lang w:val="fr-BE"/>
        </w:rPr>
        <w:t>la conserve</w:t>
      </w:r>
      <w:r w:rsidRPr="007A2892">
        <w:rPr>
          <w:rFonts w:cs="Arial"/>
          <w:lang w:val="fr-BE"/>
        </w:rPr>
        <w:t>, ou de l’aluminium à partir d’emballages en aluminium. Les récipients métalliques doivent être hermétiquement fermés. Si un vide est créé dans le récipient après scellement dans les conditions réelles d’emballage, un vide équivalent doit également être créé dans le récipient expérimental.</w:t>
      </w:r>
    </w:p>
    <w:p w14:paraId="79F35483" w14:textId="159F5A4C" w:rsidR="00C24361" w:rsidRDefault="00262477">
      <w:pPr>
        <w:jc w:val="both"/>
        <w:rPr>
          <w:rFonts w:cs="Arial"/>
          <w:lang w:val="fr-BE"/>
        </w:rPr>
      </w:pPr>
      <w:r w:rsidRPr="007A2892">
        <w:rPr>
          <w:rFonts w:cs="Arial"/>
          <w:lang w:val="fr-BE"/>
        </w:rPr>
        <w:t xml:space="preserve">Si des denrées alimentaires chaudes sont conditionnées dans des récipients dans des conditions d’emballage industriel, cela doit également être </w:t>
      </w:r>
      <w:r w:rsidR="0079743C" w:rsidRPr="007A2892">
        <w:rPr>
          <w:rFonts w:cs="Arial"/>
          <w:lang w:val="fr-BE"/>
        </w:rPr>
        <w:t>réalisé lors des</w:t>
      </w:r>
      <w:r w:rsidRPr="007A2892">
        <w:rPr>
          <w:rFonts w:cs="Arial"/>
          <w:lang w:val="fr-BE"/>
        </w:rPr>
        <w:t xml:space="preserve"> essais.</w:t>
      </w:r>
    </w:p>
    <w:p w14:paraId="1D57DAFF" w14:textId="77777777" w:rsidR="009A0BBA" w:rsidRPr="007A2892" w:rsidRDefault="009A0BBA">
      <w:pPr>
        <w:jc w:val="both"/>
        <w:rPr>
          <w:rFonts w:cs="Arial"/>
          <w:lang w:val="fr-BE"/>
        </w:rPr>
      </w:pPr>
    </w:p>
    <w:p w14:paraId="5E33778B" w14:textId="575E397D" w:rsidR="00C24361" w:rsidRDefault="00262477">
      <w:pPr>
        <w:pStyle w:val="Titre3"/>
        <w:jc w:val="both"/>
      </w:pPr>
      <w:bookmarkStart w:id="18" w:name="_Toc66377254"/>
      <w:r w:rsidRPr="007A2892">
        <w:t>Conditions de stockage</w:t>
      </w:r>
      <w:bookmarkEnd w:id="18"/>
    </w:p>
    <w:p w14:paraId="54D064D9" w14:textId="77777777" w:rsidR="009A0BBA" w:rsidRPr="009A0BBA" w:rsidRDefault="009A0BBA" w:rsidP="009A0BBA"/>
    <w:p w14:paraId="777E03C8" w14:textId="5B44B416" w:rsidR="00C24361" w:rsidRPr="007A2892" w:rsidRDefault="00262477">
      <w:pPr>
        <w:jc w:val="both"/>
        <w:rPr>
          <w:rFonts w:cs="Arial"/>
          <w:lang w:val="fr-BE"/>
        </w:rPr>
      </w:pPr>
      <w:r w:rsidRPr="007A2892">
        <w:rPr>
          <w:rFonts w:cs="Arial"/>
          <w:lang w:val="fr-BE"/>
        </w:rPr>
        <w:t>La plupart des emballages de mesure hermétiquement fermés pour les denrées alimentaires sont utilisés pour les produits à longue durée de conservation</w:t>
      </w:r>
      <w:r w:rsidR="0027134F" w:rsidRPr="007A2892">
        <w:rPr>
          <w:rFonts w:cs="Arial"/>
          <w:lang w:val="fr-BE"/>
        </w:rPr>
        <w:t>, celles-ci</w:t>
      </w:r>
      <w:r w:rsidRPr="007A2892">
        <w:rPr>
          <w:rFonts w:cs="Arial"/>
          <w:lang w:val="fr-BE"/>
        </w:rPr>
        <w:t xml:space="preserve"> pouvant aller jusqu’à 5 ans dans certains cas.</w:t>
      </w:r>
    </w:p>
    <w:p w14:paraId="700D71B9" w14:textId="3E342764" w:rsidR="00C24361" w:rsidRPr="007A2892" w:rsidRDefault="00262477">
      <w:pPr>
        <w:jc w:val="both"/>
        <w:rPr>
          <w:rFonts w:cs="Arial"/>
          <w:lang w:val="fr-BE"/>
        </w:rPr>
      </w:pPr>
      <w:r w:rsidRPr="007A2892">
        <w:rPr>
          <w:lang w:val="fr-BE"/>
        </w:rPr>
        <w:t>Il</w:t>
      </w:r>
      <w:r w:rsidRPr="007A2892">
        <w:rPr>
          <w:rFonts w:cs="Arial"/>
          <w:lang w:val="fr-BE"/>
        </w:rPr>
        <w:t xml:space="preserve"> est probable que la libération des métaux résultant de l’interaction entre les denrées alimentaires et la surface destinée à entrer en contact avec des denrées alimentaires</w:t>
      </w:r>
      <w:r w:rsidR="0027134F" w:rsidRPr="007A2892">
        <w:rPr>
          <w:rFonts w:cs="Arial"/>
          <w:lang w:val="fr-BE"/>
        </w:rPr>
        <w:t>,</w:t>
      </w:r>
      <w:r w:rsidRPr="007A2892">
        <w:rPr>
          <w:rFonts w:cs="Arial"/>
          <w:lang w:val="fr-BE"/>
        </w:rPr>
        <w:t xml:space="preserve"> se poursuivra tout au long de la durée de conservation du produit. L’augmentation de la concentration de métaux dans les denrées alimentaires emballées</w:t>
      </w:r>
      <w:r w:rsidR="0027134F" w:rsidRPr="007A2892">
        <w:rPr>
          <w:rFonts w:cs="Arial"/>
          <w:lang w:val="fr-BE"/>
        </w:rPr>
        <w:t>,</w:t>
      </w:r>
      <w:r w:rsidRPr="007A2892">
        <w:rPr>
          <w:rFonts w:cs="Arial"/>
          <w:lang w:val="fr-BE"/>
        </w:rPr>
        <w:t xml:space="preserve"> n’est pas toujours linéaire. Il n’est donc pas possible de prévoir avec précision la concentration du métal à la fin de la durée de conservation</w:t>
      </w:r>
      <w:r w:rsidR="0027134F" w:rsidRPr="007A2892">
        <w:rPr>
          <w:rFonts w:cs="Arial"/>
          <w:lang w:val="fr-BE"/>
        </w:rPr>
        <w:t>,</w:t>
      </w:r>
      <w:r w:rsidRPr="007A2892">
        <w:rPr>
          <w:rFonts w:cs="Arial"/>
          <w:lang w:val="fr-BE"/>
        </w:rPr>
        <w:t xml:space="preserve"> sur la base de mesures à court terme.</w:t>
      </w:r>
    </w:p>
    <w:p w14:paraId="3B10739D" w14:textId="59B9BD03" w:rsidR="00C24361" w:rsidRDefault="00262477">
      <w:pPr>
        <w:jc w:val="both"/>
        <w:rPr>
          <w:rFonts w:cs="Arial"/>
          <w:lang w:val="fr-BE"/>
        </w:rPr>
      </w:pPr>
      <w:r w:rsidRPr="007A2892">
        <w:rPr>
          <w:rFonts w:cs="Arial"/>
          <w:lang w:val="fr-BE"/>
        </w:rPr>
        <w:lastRenderedPageBreak/>
        <w:t>Aux fins de la déclaration de conformité, il convient donc de stocker la portion d’essai pendant toute la durée de conservation</w:t>
      </w:r>
      <w:r w:rsidR="0027134F" w:rsidRPr="007A2892">
        <w:rPr>
          <w:rFonts w:cs="Arial"/>
          <w:lang w:val="fr-BE"/>
        </w:rPr>
        <w:t>,</w:t>
      </w:r>
      <w:r w:rsidRPr="007A2892">
        <w:rPr>
          <w:rFonts w:cs="Arial"/>
          <w:lang w:val="fr-BE"/>
        </w:rPr>
        <w:t xml:space="preserve"> dans des conditions réelles.</w:t>
      </w:r>
    </w:p>
    <w:p w14:paraId="4594F04F" w14:textId="77777777" w:rsidR="009A0BBA" w:rsidRPr="007A2892" w:rsidRDefault="009A0BBA">
      <w:pPr>
        <w:jc w:val="both"/>
        <w:rPr>
          <w:rFonts w:cs="Arial"/>
          <w:lang w:val="fr-BE"/>
        </w:rPr>
      </w:pPr>
    </w:p>
    <w:p w14:paraId="454B54F1" w14:textId="68B7DD4C" w:rsidR="009A0BBA" w:rsidRPr="009A0BBA" w:rsidRDefault="00262477" w:rsidP="009A0BBA">
      <w:pPr>
        <w:pStyle w:val="Titre3"/>
        <w:jc w:val="both"/>
        <w:rPr>
          <w:lang w:val="fr-BE"/>
        </w:rPr>
      </w:pPr>
      <w:bookmarkStart w:id="19" w:name="_Toc66377255"/>
      <w:r w:rsidRPr="007A2892">
        <w:rPr>
          <w:lang w:val="fr-BE"/>
        </w:rPr>
        <w:t>Nombre d</w:t>
      </w:r>
      <w:r w:rsidR="00CF025B">
        <w:rPr>
          <w:lang w:val="fr-BE"/>
        </w:rPr>
        <w:t>’</w:t>
      </w:r>
      <w:r w:rsidR="00667D79" w:rsidRPr="007A2892">
        <w:rPr>
          <w:lang w:val="fr-BE"/>
        </w:rPr>
        <w:t xml:space="preserve">essais de libération </w:t>
      </w:r>
      <w:r w:rsidRPr="007A2892">
        <w:rPr>
          <w:lang w:val="fr-BE"/>
        </w:rPr>
        <w:t>à effectuer</w:t>
      </w:r>
      <w:bookmarkEnd w:id="19"/>
    </w:p>
    <w:p w14:paraId="118ECBA1" w14:textId="6FB2DF0F" w:rsidR="00C24361" w:rsidRPr="007A2892" w:rsidRDefault="00262477">
      <w:pPr>
        <w:pStyle w:val="Titre4"/>
        <w:numPr>
          <w:ilvl w:val="3"/>
          <w:numId w:val="6"/>
        </w:numPr>
        <w:jc w:val="both"/>
        <w:rPr>
          <w:lang w:val="fr-BE"/>
        </w:rPr>
      </w:pPr>
      <w:bookmarkStart w:id="20" w:name="_Toc66377256"/>
      <w:r w:rsidRPr="007A2892">
        <w:rPr>
          <w:lang w:val="fr-BE"/>
        </w:rPr>
        <w:t xml:space="preserve">Des matériaux destinés à </w:t>
      </w:r>
      <w:r w:rsidR="00A66E80" w:rsidRPr="007A2892">
        <w:rPr>
          <w:lang w:val="fr-BE"/>
        </w:rPr>
        <w:t>un unique contact avec des denrées alimentaires</w:t>
      </w:r>
      <w:bookmarkEnd w:id="20"/>
    </w:p>
    <w:p w14:paraId="2E26979C" w14:textId="77777777" w:rsidR="00C24361" w:rsidRPr="007A2892" w:rsidRDefault="00C24361">
      <w:pPr>
        <w:jc w:val="both"/>
        <w:rPr>
          <w:lang w:val="fr-BE"/>
        </w:rPr>
      </w:pPr>
    </w:p>
    <w:p w14:paraId="19931763" w14:textId="742DA065" w:rsidR="00C24361" w:rsidRPr="007A2892" w:rsidRDefault="008E0E24">
      <w:pPr>
        <w:jc w:val="both"/>
        <w:rPr>
          <w:lang w:val="fr-BE"/>
        </w:rPr>
      </w:pPr>
      <w:r w:rsidRPr="007A2892">
        <w:rPr>
          <w:lang w:val="fr-BE"/>
        </w:rPr>
        <w:t>Les FCM qui n'ont pas été en contact avec des aliments et qui sont destinés à être mis en contact avec des aliments une seule fois</w:t>
      </w:r>
      <w:r w:rsidR="004B0648">
        <w:rPr>
          <w:lang w:val="fr-BE"/>
        </w:rPr>
        <w:t xml:space="preserve">, </w:t>
      </w:r>
      <w:r w:rsidRPr="007A2892">
        <w:rPr>
          <w:lang w:val="fr-BE"/>
        </w:rPr>
        <w:t>ne doivent subir qu'un seul essais de libération.</w:t>
      </w:r>
    </w:p>
    <w:p w14:paraId="5A5166A9" w14:textId="7C6C7151" w:rsidR="009A0BBA" w:rsidRDefault="008E0E24" w:rsidP="00955EF8">
      <w:pPr>
        <w:jc w:val="center"/>
      </w:pPr>
      <w:r w:rsidRPr="007A2892">
        <w:rPr>
          <w:lang w:val="fr-BE"/>
        </w:rPr>
        <w:t>1</w:t>
      </w:r>
      <w:r w:rsidRPr="007A2892">
        <w:rPr>
          <w:vertAlign w:val="superscript"/>
          <w:lang w:val="fr-BE"/>
        </w:rPr>
        <w:t>e</w:t>
      </w:r>
      <w:r w:rsidRPr="007A2892">
        <w:rPr>
          <w:lang w:val="fr-BE"/>
        </w:rPr>
        <w:t xml:space="preserve"> </w:t>
      </w:r>
      <w:r w:rsidRPr="007A2892">
        <w:t>LS</w:t>
      </w:r>
      <w:r w:rsidR="00262477" w:rsidRPr="007A2892">
        <w:t xml:space="preserve"> </w:t>
      </w:r>
      <w:r w:rsidRPr="007A2892">
        <w:t>&lt; LLS</w:t>
      </w:r>
    </w:p>
    <w:p w14:paraId="12D3A98F" w14:textId="77777777" w:rsidR="009A0BBA" w:rsidRPr="007A2892" w:rsidRDefault="009A0BBA">
      <w:pPr>
        <w:jc w:val="both"/>
      </w:pPr>
    </w:p>
    <w:p w14:paraId="61CF7EFE" w14:textId="0F2F7380" w:rsidR="00C24361" w:rsidRDefault="00262477" w:rsidP="009A0BBA">
      <w:pPr>
        <w:pStyle w:val="Titre4"/>
        <w:numPr>
          <w:ilvl w:val="3"/>
          <w:numId w:val="6"/>
        </w:numPr>
        <w:jc w:val="both"/>
        <w:rPr>
          <w:lang w:val="fr-BE"/>
        </w:rPr>
      </w:pPr>
      <w:bookmarkStart w:id="21" w:name="_Toc66377257"/>
      <w:r w:rsidRPr="007A2892">
        <w:rPr>
          <w:lang w:val="fr-BE"/>
        </w:rPr>
        <w:t xml:space="preserve">Matériaux destinés à </w:t>
      </w:r>
      <w:r w:rsidR="00A66E80" w:rsidRPr="007A2892">
        <w:rPr>
          <w:lang w:val="fr-BE"/>
        </w:rPr>
        <w:t>de multiples</w:t>
      </w:r>
      <w:r w:rsidRPr="007A2892">
        <w:rPr>
          <w:lang w:val="fr-BE"/>
        </w:rPr>
        <w:t xml:space="preserve"> contact</w:t>
      </w:r>
      <w:r w:rsidR="00A66E80" w:rsidRPr="007A2892">
        <w:rPr>
          <w:lang w:val="fr-BE"/>
        </w:rPr>
        <w:t>s</w:t>
      </w:r>
      <w:r w:rsidRPr="007A2892">
        <w:rPr>
          <w:lang w:val="fr-BE"/>
        </w:rPr>
        <w:t xml:space="preserve"> avec des denrées alimentaires</w:t>
      </w:r>
      <w:bookmarkEnd w:id="21"/>
    </w:p>
    <w:p w14:paraId="2A6EC154" w14:textId="77777777" w:rsidR="009A0BBA" w:rsidRPr="009A0BBA" w:rsidRDefault="009A0BBA" w:rsidP="009A0BBA">
      <w:pPr>
        <w:rPr>
          <w:lang w:val="fr-BE"/>
        </w:rPr>
      </w:pPr>
    </w:p>
    <w:p w14:paraId="7345A63F" w14:textId="77777777" w:rsidR="00396F67" w:rsidRPr="007A2892" w:rsidRDefault="008E0E24" w:rsidP="00FC72A3">
      <w:pPr>
        <w:jc w:val="both"/>
        <w:rPr>
          <w:rFonts w:cs="Minion Pro"/>
          <w:color w:val="000000"/>
          <w:lang w:val="fr-BE"/>
        </w:rPr>
      </w:pPr>
      <w:r w:rsidRPr="007A2892">
        <w:rPr>
          <w:rFonts w:cs="Minion Pro"/>
          <w:color w:val="000000"/>
          <w:lang w:val="fr-BE"/>
        </w:rPr>
        <w:t>Pour les matériaux ou objets qui ne sont pas déjà en contact avec l’aliment (c’est-à-dire dans des applications autres que l’emballage) mais qui sont destinés à entrer en contact de façon répétée avec des denrées alimentaires, le ou les essais de libération seront réalisés trois fois de suite. Entre les essais, les échantillons doivent être traités comme décrit dans le paragraphe « Traitement préalable des matériaux et objets ». Lorsque ces instructions ne s’appliquent qu’à la première utilisation ou lorsqu’elles indiquent</w:t>
      </w:r>
      <w:r w:rsidR="00FC72A3" w:rsidRPr="007A2892">
        <w:rPr>
          <w:lang w:val="fr-BE"/>
        </w:rPr>
        <w:t xml:space="preserve"> </w:t>
      </w:r>
      <w:r w:rsidR="00FC72A3" w:rsidRPr="007A2892">
        <w:rPr>
          <w:rFonts w:cs="Minion Pro"/>
          <w:color w:val="000000"/>
          <w:lang w:val="fr-BE"/>
        </w:rPr>
        <w:t xml:space="preserve">qu’aucun lavage n’est nécessaire avant ou entre les utilisations, ceci doit être pris en considération. </w:t>
      </w:r>
    </w:p>
    <w:p w14:paraId="55FF159C" w14:textId="343BC01B" w:rsidR="008E0E24" w:rsidRPr="007A2892" w:rsidRDefault="00FC72A3" w:rsidP="00FC72A3">
      <w:pPr>
        <w:jc w:val="both"/>
        <w:rPr>
          <w:rFonts w:cs="Minion Pro"/>
          <w:color w:val="000000"/>
          <w:lang w:val="fr-BE"/>
        </w:rPr>
      </w:pPr>
      <w:r w:rsidRPr="007A2892">
        <w:rPr>
          <w:rFonts w:cs="Minion Pro"/>
          <w:color w:val="000000"/>
          <w:lang w:val="fr-BE"/>
        </w:rPr>
        <w:t>La conformité est établie sur la base des résultats relevés lors du troisième</w:t>
      </w:r>
      <w:r w:rsidR="00396F67" w:rsidRPr="007A2892">
        <w:rPr>
          <w:rFonts w:cs="Minion Pro"/>
          <w:color w:val="000000"/>
          <w:lang w:val="fr-BE"/>
        </w:rPr>
        <w:t xml:space="preserve"> </w:t>
      </w:r>
      <w:r w:rsidRPr="007A2892">
        <w:rPr>
          <w:rFonts w:cs="Minion Pro"/>
          <w:color w:val="000000"/>
          <w:lang w:val="fr-BE"/>
        </w:rPr>
        <w:t>essai. Le processus de passivation que subissent certains métaux et alliages</w:t>
      </w:r>
      <w:r w:rsidR="00396F67" w:rsidRPr="007A2892">
        <w:rPr>
          <w:rFonts w:cs="Minion Pro"/>
          <w:color w:val="000000"/>
          <w:lang w:val="fr-BE"/>
        </w:rPr>
        <w:t xml:space="preserve"> </w:t>
      </w:r>
      <w:r w:rsidRPr="007A2892">
        <w:rPr>
          <w:rFonts w:cs="Minion Pro"/>
          <w:color w:val="000000"/>
          <w:lang w:val="fr-BE"/>
        </w:rPr>
        <w:t>est ainsi pris en compte.</w:t>
      </w:r>
      <w:r w:rsidR="008E0E24" w:rsidRPr="007A2892">
        <w:rPr>
          <w:rFonts w:cs="Minion Pro"/>
          <w:color w:val="000000"/>
          <w:lang w:val="fr-BE"/>
        </w:rPr>
        <w:t xml:space="preserve"> </w:t>
      </w:r>
    </w:p>
    <w:p w14:paraId="251B4351" w14:textId="66B8B245" w:rsidR="00396F67" w:rsidRPr="007A2892" w:rsidRDefault="00396F67" w:rsidP="00396F67">
      <w:pPr>
        <w:jc w:val="both"/>
        <w:rPr>
          <w:lang w:val="fr-BE"/>
        </w:rPr>
      </w:pPr>
      <w:r w:rsidRPr="007A2892">
        <w:rPr>
          <w:lang w:val="fr-BE"/>
        </w:rPr>
        <w:t>Toutefois, la somme des résultats des premier et deuxième essais ne doit pas dépasser une exposition équivalant à une utilisation journalière pendant une semaine (autrement dit sept fois la LLS), conformément à la formule ci-dessous :</w:t>
      </w:r>
    </w:p>
    <w:p w14:paraId="74E3BEF5" w14:textId="69CF3DF9" w:rsidR="00396F67" w:rsidRPr="007A2892" w:rsidRDefault="00396F67" w:rsidP="00396F67">
      <w:pPr>
        <w:jc w:val="center"/>
        <w:rPr>
          <w:lang w:val="fr-BE"/>
        </w:rPr>
      </w:pPr>
      <w:r w:rsidRPr="007A2892">
        <w:rPr>
          <w:lang w:val="fr-BE"/>
        </w:rPr>
        <w:t>RÉSULTAT 3e test &lt; LLS</w:t>
      </w:r>
    </w:p>
    <w:p w14:paraId="4AE1C915" w14:textId="7C6CCC3A" w:rsidR="00C24361" w:rsidRPr="007A2892" w:rsidRDefault="00396F67" w:rsidP="00396F67">
      <w:pPr>
        <w:jc w:val="center"/>
        <w:rPr>
          <w:lang w:val="fr-BE"/>
        </w:rPr>
      </w:pPr>
      <w:r w:rsidRPr="007A2892">
        <w:rPr>
          <w:lang w:val="fr-BE"/>
        </w:rPr>
        <w:t>RÉSULTAT 1er test + RÉSULTAT 2e test &lt; 7 x LLS</w:t>
      </w:r>
      <w:r w:rsidR="00262477" w:rsidRPr="007A2892">
        <w:rPr>
          <w:lang w:val="fr-BE"/>
        </w:rPr>
        <w:tab/>
      </w:r>
    </w:p>
    <w:p w14:paraId="365A2C93" w14:textId="77777777" w:rsidR="00C24361" w:rsidRPr="007A2892" w:rsidRDefault="00C24361">
      <w:pPr>
        <w:jc w:val="both"/>
        <w:rPr>
          <w:lang w:val="fr-BE"/>
        </w:rPr>
      </w:pPr>
    </w:p>
    <w:p w14:paraId="6B3C995D" w14:textId="1B4E28C2" w:rsidR="00CF025B" w:rsidRDefault="00396F67" w:rsidP="00396F67">
      <w:pPr>
        <w:jc w:val="both"/>
        <w:rPr>
          <w:lang w:val="fr-BE"/>
        </w:rPr>
      </w:pPr>
      <w:r w:rsidRPr="007A2892">
        <w:rPr>
          <w:lang w:val="fr-BE"/>
        </w:rPr>
        <w:t>Les objets destinés à un usage répétitif (p. ex. les appareils de production de boissons chaudes tels que machines à café), doivent être testés après détartrage et toute autre opération de nettoyage mentionnée dans le manuel d’utilisation correspondant.</w:t>
      </w:r>
    </w:p>
    <w:p w14:paraId="207E4FFA" w14:textId="77777777" w:rsidR="00CF025B" w:rsidRPr="00CF025B" w:rsidRDefault="00CF025B" w:rsidP="00396F67">
      <w:pPr>
        <w:jc w:val="both"/>
        <w:rPr>
          <w:lang w:val="fr-BE"/>
        </w:rPr>
      </w:pPr>
    </w:p>
    <w:p w14:paraId="0EA59BE0" w14:textId="28CEF7D3" w:rsidR="00C24361" w:rsidRDefault="00262477">
      <w:pPr>
        <w:pStyle w:val="Titre3"/>
        <w:jc w:val="both"/>
        <w:rPr>
          <w:lang w:val="fr-BE"/>
        </w:rPr>
      </w:pPr>
      <w:bookmarkStart w:id="22" w:name="_Toc66377258"/>
      <w:r w:rsidRPr="007A2892">
        <w:rPr>
          <w:lang w:val="fr-BE"/>
        </w:rPr>
        <w:t>Sélection des conditions d’essai (t, T)</w:t>
      </w:r>
      <w:bookmarkEnd w:id="22"/>
    </w:p>
    <w:p w14:paraId="27061080" w14:textId="77777777" w:rsidR="00CF025B" w:rsidRPr="00CF025B" w:rsidRDefault="00CF025B" w:rsidP="00CF025B">
      <w:pPr>
        <w:rPr>
          <w:lang w:val="fr-BE"/>
        </w:rPr>
      </w:pPr>
    </w:p>
    <w:p w14:paraId="7F537744" w14:textId="77777777" w:rsidR="002B2738" w:rsidRPr="007A2892" w:rsidRDefault="00262477">
      <w:pPr>
        <w:jc w:val="both"/>
        <w:rPr>
          <w:color w:val="000000" w:themeColor="text1"/>
          <w:lang w:val="fr-BE"/>
        </w:rPr>
      </w:pPr>
      <w:r w:rsidRPr="007A2892">
        <w:rPr>
          <w:lang w:val="fr-BE"/>
        </w:rPr>
        <w:lastRenderedPageBreak/>
        <w:t>L’essai de libération est effectué dans les conditions</w:t>
      </w:r>
      <w:r w:rsidR="002B2738" w:rsidRPr="007A2892">
        <w:rPr>
          <w:lang w:val="fr-BE"/>
        </w:rPr>
        <w:t xml:space="preserve"> (raisonnablement envisageables) les plus défavorables</w:t>
      </w:r>
      <w:r w:rsidRPr="007A2892">
        <w:rPr>
          <w:lang w:val="fr-BE"/>
        </w:rPr>
        <w:t xml:space="preserve"> (t, T, concentration et pH des acides et sels) qui donnent lieu à la libération d’un ou de plusieurs métaux au cours de la production, du stockage, du transport et de</w:t>
      </w:r>
      <w:r w:rsidRPr="007A2892">
        <w:rPr>
          <w:color w:val="000000" w:themeColor="text1"/>
          <w:lang w:val="fr-BE"/>
        </w:rPr>
        <w:t xml:space="preserve"> l’utilisation. </w:t>
      </w:r>
    </w:p>
    <w:p w14:paraId="42DD8383" w14:textId="508B956D" w:rsidR="002B2738" w:rsidRPr="007A2892" w:rsidRDefault="002B2738">
      <w:pPr>
        <w:jc w:val="both"/>
        <w:rPr>
          <w:color w:val="000000" w:themeColor="text1"/>
          <w:lang w:val="fr-BE"/>
        </w:rPr>
      </w:pPr>
      <w:r w:rsidRPr="007A2892">
        <w:rPr>
          <w:color w:val="000000" w:themeColor="text1"/>
          <w:lang w:val="fr-BE"/>
        </w:rPr>
        <w:t>Au cours des différentes étapes nécessaires pour réaliser un essai de libération, la surface des échantillons ne peut pas changer physiquement. Si les conditions d’essai assignées par les règles générales entraînent un changement physique, le test doit être effectué à nouveau dans d’autres conditions qui ne conduisent pas aux changements physiques mais reflètent toujours les conditions les plus défavorables d’utilisation prévisibles.</w:t>
      </w:r>
    </w:p>
    <w:p w14:paraId="3145FA7A" w14:textId="0DE17A2F" w:rsidR="00C24361" w:rsidRPr="007A2892" w:rsidRDefault="00262477">
      <w:pPr>
        <w:jc w:val="both"/>
        <w:rPr>
          <w:lang w:val="fr-BE"/>
        </w:rPr>
      </w:pPr>
      <w:r w:rsidRPr="007A2892">
        <w:rPr>
          <w:lang w:val="fr-BE"/>
        </w:rPr>
        <w:t>Les conditions de temps/température peuvent être sélectionnées sur la base</w:t>
      </w:r>
      <w:r w:rsidR="00706724">
        <w:rPr>
          <w:lang w:val="fr-BE"/>
        </w:rPr>
        <w:t xml:space="preserve"> des</w:t>
      </w:r>
      <w:r w:rsidRPr="007A2892">
        <w:rPr>
          <w:lang w:val="fr-BE"/>
        </w:rPr>
        <w:t xml:space="preserve"> </w:t>
      </w:r>
      <w:r w:rsidR="002B2738" w:rsidRPr="00706724">
        <w:rPr>
          <w:lang w:val="fr-BE"/>
        </w:rPr>
        <w:t>lignes directive de JRC</w:t>
      </w:r>
      <w:r w:rsidRPr="007A2892">
        <w:rPr>
          <w:color w:val="FF0000"/>
          <w:lang w:val="fr-BE"/>
        </w:rPr>
        <w:t>.</w:t>
      </w:r>
    </w:p>
    <w:p w14:paraId="69071056" w14:textId="77777777" w:rsidR="00C24361" w:rsidRPr="007A2892" w:rsidRDefault="00C24361">
      <w:pPr>
        <w:jc w:val="both"/>
        <w:rPr>
          <w:lang w:val="fr-BE"/>
        </w:rPr>
      </w:pPr>
    </w:p>
    <w:p w14:paraId="3D800DD3" w14:textId="2EB3D6D8" w:rsidR="00C24361" w:rsidRDefault="00262477">
      <w:pPr>
        <w:pStyle w:val="Titre3"/>
        <w:jc w:val="both"/>
        <w:rPr>
          <w:lang w:val="fr-BE"/>
        </w:rPr>
      </w:pPr>
      <w:bookmarkStart w:id="23" w:name="_Toc31362562"/>
      <w:bookmarkStart w:id="24" w:name="_Toc66377259"/>
      <w:bookmarkEnd w:id="23"/>
      <w:r w:rsidRPr="007A2892">
        <w:rPr>
          <w:lang w:val="fr-BE"/>
        </w:rPr>
        <w:t>Test de mise en libre pratique</w:t>
      </w:r>
      <w:bookmarkEnd w:id="24"/>
    </w:p>
    <w:p w14:paraId="4445D5DD" w14:textId="77777777" w:rsidR="00CF025B" w:rsidRPr="00CF025B" w:rsidRDefault="00CF025B" w:rsidP="00CF025B">
      <w:pPr>
        <w:rPr>
          <w:lang w:val="fr-BE"/>
        </w:rPr>
      </w:pPr>
    </w:p>
    <w:p w14:paraId="183AD778" w14:textId="6E5BDA0D" w:rsidR="00C24361" w:rsidRDefault="00262477">
      <w:pPr>
        <w:jc w:val="both"/>
        <w:rPr>
          <w:lang w:val="fr-BE"/>
        </w:rPr>
      </w:pPr>
      <w:r w:rsidRPr="007A2892">
        <w:rPr>
          <w:lang w:val="fr-BE"/>
        </w:rPr>
        <w:t>Il convient d’établir une distinction entre les matériaux destinés à entrer en contact avec des denrées alimentaires</w:t>
      </w:r>
      <w:r w:rsidR="00D5530D" w:rsidRPr="007A2892">
        <w:rPr>
          <w:lang w:val="fr-BE"/>
        </w:rPr>
        <w:t xml:space="preserve"> </w:t>
      </w:r>
      <w:r w:rsidR="002B2738" w:rsidRPr="007A2892">
        <w:rPr>
          <w:lang w:val="fr-BE"/>
        </w:rPr>
        <w:t>qui peuvent être remplis</w:t>
      </w:r>
      <w:r w:rsidR="0066464A" w:rsidRPr="007A2892">
        <w:rPr>
          <w:lang w:val="fr-BE"/>
        </w:rPr>
        <w:t xml:space="preserve"> et ceux qui ne peuvent pas</w:t>
      </w:r>
      <w:r w:rsidR="00DF76BC">
        <w:rPr>
          <w:lang w:val="fr-BE"/>
        </w:rPr>
        <w:t xml:space="preserve"> l’être</w:t>
      </w:r>
      <w:r w:rsidR="0066464A" w:rsidRPr="007A2892">
        <w:rPr>
          <w:lang w:val="fr-BE"/>
        </w:rPr>
        <w:t>.</w:t>
      </w:r>
    </w:p>
    <w:p w14:paraId="54C90BF9" w14:textId="77777777" w:rsidR="00955EF8" w:rsidRPr="007A2892" w:rsidRDefault="00955EF8">
      <w:pPr>
        <w:jc w:val="both"/>
        <w:rPr>
          <w:lang w:val="fr-BE"/>
        </w:rPr>
      </w:pPr>
    </w:p>
    <w:p w14:paraId="2468CE44" w14:textId="2F94676A" w:rsidR="00C24361" w:rsidRPr="007A2892" w:rsidRDefault="00262477">
      <w:pPr>
        <w:pStyle w:val="Titre4"/>
        <w:numPr>
          <w:ilvl w:val="3"/>
          <w:numId w:val="6"/>
        </w:numPr>
        <w:jc w:val="both"/>
      </w:pPr>
      <w:bookmarkStart w:id="25" w:name="_Toc66377260"/>
      <w:r w:rsidRPr="007A2892">
        <w:t xml:space="preserve">Articles </w:t>
      </w:r>
      <w:proofErr w:type="spellStart"/>
      <w:r w:rsidRPr="007A2892">
        <w:t>susceptibles</w:t>
      </w:r>
      <w:proofErr w:type="spellEnd"/>
      <w:r w:rsidRPr="007A2892">
        <w:t xml:space="preserve"> d’être </w:t>
      </w:r>
      <w:proofErr w:type="spellStart"/>
      <w:r w:rsidRPr="007A2892">
        <w:t>remplis</w:t>
      </w:r>
      <w:proofErr w:type="spellEnd"/>
      <w:r w:rsidRPr="007A2892">
        <w:t>:</w:t>
      </w:r>
      <w:bookmarkEnd w:id="25"/>
    </w:p>
    <w:p w14:paraId="7C1C5D59" w14:textId="77777777" w:rsidR="00B54960" w:rsidRDefault="00B54960">
      <w:pPr>
        <w:jc w:val="both"/>
        <w:rPr>
          <w:lang w:val="fr-BE"/>
        </w:rPr>
      </w:pPr>
    </w:p>
    <w:p w14:paraId="63BDDEF8" w14:textId="17301659" w:rsidR="00C24361" w:rsidRPr="007A2892" w:rsidRDefault="00262477">
      <w:pPr>
        <w:jc w:val="both"/>
        <w:rPr>
          <w:lang w:val="fr-BE"/>
        </w:rPr>
      </w:pPr>
      <w:r w:rsidRPr="007A2892">
        <w:rPr>
          <w:lang w:val="fr-BE"/>
        </w:rPr>
        <w:t xml:space="preserve">Les </w:t>
      </w:r>
      <w:r w:rsidR="0066464A" w:rsidRPr="007A2892">
        <w:rPr>
          <w:lang w:val="fr-BE"/>
        </w:rPr>
        <w:t>FCM qui peuvent</w:t>
      </w:r>
      <w:r w:rsidRPr="007A2892">
        <w:rPr>
          <w:lang w:val="fr-BE"/>
        </w:rPr>
        <w:t xml:space="preserve"> être remplis (par exemple</w:t>
      </w:r>
      <w:r w:rsidR="002672BD" w:rsidRPr="007A2892">
        <w:rPr>
          <w:lang w:val="fr-BE"/>
        </w:rPr>
        <w:t> :</w:t>
      </w:r>
      <w:r w:rsidRPr="007A2892">
        <w:rPr>
          <w:lang w:val="fr-BE"/>
        </w:rPr>
        <w:t xml:space="preserve"> </w:t>
      </w:r>
      <w:r w:rsidR="0066464A" w:rsidRPr="007A2892">
        <w:rPr>
          <w:rFonts w:cs="Minion Pro"/>
          <w:color w:val="000000"/>
          <w:lang w:val="fr-BE"/>
        </w:rPr>
        <w:t xml:space="preserve">bols à mélanger, casseroles, poêles) doivent  être remplis </w:t>
      </w:r>
      <w:r w:rsidRPr="007A2892">
        <w:rPr>
          <w:lang w:val="fr-BE"/>
        </w:rPr>
        <w:t xml:space="preserve">avec des denrées alimentaires ou des </w:t>
      </w:r>
      <w:proofErr w:type="spellStart"/>
      <w:r w:rsidRPr="007A2892">
        <w:rPr>
          <w:lang w:val="fr-BE"/>
        </w:rPr>
        <w:t>simulants</w:t>
      </w:r>
      <w:proofErr w:type="spellEnd"/>
      <w:r w:rsidRPr="007A2892">
        <w:rPr>
          <w:lang w:val="fr-BE"/>
        </w:rPr>
        <w:t xml:space="preserve"> </w:t>
      </w:r>
      <w:r w:rsidR="002672BD" w:rsidRPr="007A2892">
        <w:rPr>
          <w:lang w:val="fr-BE"/>
        </w:rPr>
        <w:t>aux</w:t>
      </w:r>
      <w:r w:rsidRPr="007A2892">
        <w:rPr>
          <w:lang w:val="fr-BE"/>
        </w:rPr>
        <w:t xml:space="preserve"> 2/3</w:t>
      </w:r>
      <w:r w:rsidR="0066464A" w:rsidRPr="007A2892">
        <w:rPr>
          <w:lang w:val="fr-BE"/>
        </w:rPr>
        <w:t xml:space="preserve"> environ </w:t>
      </w:r>
      <w:r w:rsidRPr="007A2892">
        <w:rPr>
          <w:lang w:val="fr-BE"/>
        </w:rPr>
        <w:t xml:space="preserve">de </w:t>
      </w:r>
      <w:r w:rsidR="0066464A" w:rsidRPr="007A2892">
        <w:rPr>
          <w:lang w:val="fr-BE"/>
        </w:rPr>
        <w:t>sa</w:t>
      </w:r>
      <w:r w:rsidRPr="007A2892">
        <w:rPr>
          <w:lang w:val="fr-BE"/>
        </w:rPr>
        <w:t xml:space="preserve"> capacité </w:t>
      </w:r>
      <w:r w:rsidR="0066464A" w:rsidRPr="007A2892">
        <w:rPr>
          <w:lang w:val="fr-BE"/>
        </w:rPr>
        <w:t>totale</w:t>
      </w:r>
      <w:r w:rsidRPr="007A2892">
        <w:rPr>
          <w:lang w:val="fr-BE"/>
        </w:rPr>
        <w:t xml:space="preserve"> et sont</w:t>
      </w:r>
      <w:r w:rsidR="0066464A" w:rsidRPr="007A2892">
        <w:rPr>
          <w:lang w:val="fr-BE"/>
        </w:rPr>
        <w:t xml:space="preserve"> </w:t>
      </w:r>
      <w:r w:rsidR="00B54960">
        <w:rPr>
          <w:lang w:val="fr-BE"/>
        </w:rPr>
        <w:t>ensuite</w:t>
      </w:r>
      <w:r w:rsidRPr="007A2892">
        <w:rPr>
          <w:lang w:val="fr-BE"/>
        </w:rPr>
        <w:t xml:space="preserve"> couverts.</w:t>
      </w:r>
    </w:p>
    <w:p w14:paraId="3AAB9321" w14:textId="6729EB29" w:rsidR="00C24361" w:rsidRPr="007A2892" w:rsidRDefault="00262477">
      <w:pPr>
        <w:jc w:val="both"/>
        <w:rPr>
          <w:lang w:val="fr-BE"/>
        </w:rPr>
      </w:pPr>
      <w:r w:rsidRPr="007A2892">
        <w:rPr>
          <w:lang w:val="fr-BE"/>
        </w:rPr>
        <w:t xml:space="preserve">En raison de contraintes pratiques, cela ne s’applique pas </w:t>
      </w:r>
      <w:r w:rsidR="006125CC">
        <w:rPr>
          <w:lang w:val="fr-BE"/>
        </w:rPr>
        <w:t xml:space="preserve">aux </w:t>
      </w:r>
      <w:r w:rsidRPr="007A2892">
        <w:rPr>
          <w:lang w:val="fr-BE"/>
        </w:rPr>
        <w:t xml:space="preserve">équipements </w:t>
      </w:r>
      <w:r w:rsidR="006125CC">
        <w:rPr>
          <w:lang w:val="fr-BE"/>
        </w:rPr>
        <w:t>de</w:t>
      </w:r>
      <w:r w:rsidR="0066464A" w:rsidRPr="007A2892">
        <w:rPr>
          <w:lang w:val="fr-BE"/>
        </w:rPr>
        <w:t xml:space="preserve"> grands volumes </w:t>
      </w:r>
      <w:r w:rsidRPr="007A2892">
        <w:rPr>
          <w:lang w:val="fr-BE"/>
        </w:rPr>
        <w:t>tels que les conduites et les réservoirs.</w:t>
      </w:r>
    </w:p>
    <w:p w14:paraId="0A0758EA" w14:textId="5D134438" w:rsidR="0066464A" w:rsidRPr="007A2892" w:rsidRDefault="0066464A">
      <w:pPr>
        <w:jc w:val="both"/>
        <w:rPr>
          <w:lang w:val="fr-BE"/>
        </w:rPr>
      </w:pPr>
      <w:r w:rsidRPr="007A2892">
        <w:rPr>
          <w:lang w:val="fr-BE"/>
        </w:rPr>
        <w:t>Cela ne s'applique pas aux articles destinés à des applications d'emballage (par exemple, les canettes destinées à l'industrie alimentaire) où le volume de remplissage réel peut être utilisé.</w:t>
      </w:r>
    </w:p>
    <w:p w14:paraId="13C44D68" w14:textId="3E12F8F2" w:rsidR="00C24361" w:rsidRPr="007A2892" w:rsidRDefault="0066464A" w:rsidP="0066464A">
      <w:pPr>
        <w:jc w:val="both"/>
        <w:rPr>
          <w:lang w:val="fr-BE"/>
        </w:rPr>
      </w:pPr>
      <w:r w:rsidRPr="007A2892">
        <w:rPr>
          <w:lang w:val="fr-BE"/>
        </w:rPr>
        <w:t>Il convient de tester les articles en conditions d’utilisation réelle ou, si cela n’est pas possible, en appliquant les conditions suivantes dans les cas appropriés.</w:t>
      </w:r>
    </w:p>
    <w:p w14:paraId="6CDA4A46" w14:textId="77777777" w:rsidR="00C24361" w:rsidRPr="007A2892" w:rsidRDefault="00C24361">
      <w:pPr>
        <w:jc w:val="both"/>
        <w:rPr>
          <w:lang w:val="fr-BE"/>
        </w:rPr>
      </w:pPr>
    </w:p>
    <w:p w14:paraId="12ECCD8A" w14:textId="6BB60C00" w:rsidR="00C24361" w:rsidRPr="007A2892" w:rsidRDefault="0066464A">
      <w:pPr>
        <w:pStyle w:val="Titre4"/>
        <w:numPr>
          <w:ilvl w:val="3"/>
          <w:numId w:val="6"/>
        </w:numPr>
        <w:jc w:val="both"/>
      </w:pPr>
      <w:bookmarkStart w:id="26" w:name="_Toc31362566"/>
      <w:bookmarkStart w:id="27" w:name="_Toc31362567"/>
      <w:bookmarkStart w:id="28" w:name="_msoanchor_1"/>
      <w:bookmarkStart w:id="29" w:name="_Toc31362568"/>
      <w:bookmarkStart w:id="30" w:name="_Toc31362569"/>
      <w:bookmarkStart w:id="31" w:name="_Toc31362570"/>
      <w:bookmarkStart w:id="32" w:name="_Toc31362571"/>
      <w:bookmarkStart w:id="33" w:name="_Toc31362572"/>
      <w:bookmarkStart w:id="34" w:name="_Toc66377261"/>
      <w:bookmarkEnd w:id="26"/>
      <w:bookmarkEnd w:id="27"/>
      <w:bookmarkEnd w:id="28"/>
      <w:bookmarkEnd w:id="29"/>
      <w:bookmarkEnd w:id="30"/>
      <w:bookmarkEnd w:id="31"/>
      <w:bookmarkEnd w:id="32"/>
      <w:bookmarkEnd w:id="33"/>
      <w:r w:rsidRPr="007A2892">
        <w:t>Articles</w:t>
      </w:r>
      <w:r w:rsidR="00262477" w:rsidRPr="007A2892">
        <w:t xml:space="preserve"> non </w:t>
      </w:r>
      <w:proofErr w:type="spellStart"/>
      <w:r w:rsidR="00262477" w:rsidRPr="007A2892">
        <w:t>remplissables</w:t>
      </w:r>
      <w:bookmarkEnd w:id="34"/>
      <w:proofErr w:type="spellEnd"/>
    </w:p>
    <w:p w14:paraId="3486004C" w14:textId="77777777" w:rsidR="00C24361" w:rsidRPr="007A2892" w:rsidRDefault="00C24361">
      <w:pPr>
        <w:jc w:val="both"/>
      </w:pPr>
    </w:p>
    <w:p w14:paraId="719DA20E" w14:textId="07EE07CC" w:rsidR="00C24361" w:rsidRPr="007A2892" w:rsidRDefault="00262477" w:rsidP="0048300D">
      <w:pPr>
        <w:jc w:val="both"/>
        <w:rPr>
          <w:lang w:val="fr-BE"/>
        </w:rPr>
      </w:pPr>
      <w:r w:rsidRPr="007A2892">
        <w:rPr>
          <w:lang w:val="fr-BE"/>
        </w:rPr>
        <w:t xml:space="preserve">Les </w:t>
      </w:r>
      <w:r w:rsidR="0066464A" w:rsidRPr="007A2892">
        <w:rPr>
          <w:lang w:val="fr-BE"/>
        </w:rPr>
        <w:t>FCM</w:t>
      </w:r>
      <w:r w:rsidRPr="007A2892">
        <w:rPr>
          <w:lang w:val="fr-BE"/>
        </w:rPr>
        <w:t xml:space="preserve"> qui ne peuvent pas être remplis ou les matériaux destinés à entrer en contact avec des denrées alimentaires dont la surface en contact avec la denrée alimentaire ne peut être estimée (par exemple, </w:t>
      </w:r>
      <w:r w:rsidR="0066464A" w:rsidRPr="007A2892">
        <w:rPr>
          <w:rFonts w:cs="Minion Pro"/>
          <w:color w:val="000000"/>
          <w:lang w:val="fr-BE"/>
        </w:rPr>
        <w:t xml:space="preserve">la vaisselle, </w:t>
      </w:r>
      <w:r w:rsidR="006125CC">
        <w:rPr>
          <w:rFonts w:cs="Minion Pro"/>
          <w:color w:val="000000"/>
          <w:lang w:val="fr-BE"/>
        </w:rPr>
        <w:t>les</w:t>
      </w:r>
      <w:r w:rsidR="0066464A" w:rsidRPr="007A2892">
        <w:rPr>
          <w:rFonts w:cs="Minion Pro"/>
          <w:color w:val="000000"/>
          <w:lang w:val="fr-BE"/>
        </w:rPr>
        <w:t xml:space="preserve"> ustensiles de cuisine, </w:t>
      </w:r>
      <w:r w:rsidR="006125CC">
        <w:rPr>
          <w:rFonts w:cs="Minion Pro"/>
          <w:color w:val="000000"/>
          <w:lang w:val="fr-BE"/>
        </w:rPr>
        <w:t>les</w:t>
      </w:r>
      <w:r w:rsidR="0066464A" w:rsidRPr="007A2892">
        <w:rPr>
          <w:rFonts w:cs="Minion Pro"/>
          <w:color w:val="000000"/>
          <w:lang w:val="fr-BE"/>
        </w:rPr>
        <w:t xml:space="preserve"> passoires, aux presse-purée et </w:t>
      </w:r>
      <w:r w:rsidR="006125CC">
        <w:rPr>
          <w:rFonts w:cs="Minion Pro"/>
          <w:color w:val="000000"/>
          <w:lang w:val="fr-BE"/>
        </w:rPr>
        <w:t>les</w:t>
      </w:r>
      <w:r w:rsidR="0066464A" w:rsidRPr="007A2892">
        <w:rPr>
          <w:rFonts w:cs="Minion Pro"/>
          <w:color w:val="000000"/>
          <w:lang w:val="fr-BE"/>
        </w:rPr>
        <w:t xml:space="preserve"> râpes à fromage </w:t>
      </w:r>
      <w:r w:rsidRPr="007A2892">
        <w:rPr>
          <w:lang w:val="fr-BE"/>
        </w:rPr>
        <w:t xml:space="preserve">etc.) </w:t>
      </w:r>
      <w:r w:rsidR="0048300D" w:rsidRPr="007A2892">
        <w:rPr>
          <w:lang w:val="fr-BE"/>
        </w:rPr>
        <w:t>doivent être testés, intacts, par immersion à une profondeur raisonnable reflétant leur utilisation normale.</w:t>
      </w:r>
    </w:p>
    <w:p w14:paraId="111098A7" w14:textId="77777777" w:rsidR="00C24361" w:rsidRPr="007A2892" w:rsidRDefault="00C24361">
      <w:pPr>
        <w:jc w:val="both"/>
        <w:rPr>
          <w:lang w:val="fr-BE"/>
        </w:rPr>
      </w:pPr>
    </w:p>
    <w:p w14:paraId="44BCF0DF" w14:textId="60E6F888" w:rsidR="00C24361" w:rsidRPr="007A2892" w:rsidRDefault="00262477">
      <w:pPr>
        <w:pStyle w:val="Titre5"/>
        <w:numPr>
          <w:ilvl w:val="4"/>
          <w:numId w:val="6"/>
        </w:numPr>
        <w:jc w:val="both"/>
        <w:rPr>
          <w:lang w:val="fr-BE"/>
        </w:rPr>
      </w:pPr>
      <w:bookmarkStart w:id="35" w:name="_Toc27475412"/>
      <w:bookmarkStart w:id="36" w:name="_Toc66377262"/>
      <w:r w:rsidRPr="007A2892">
        <w:rPr>
          <w:lang w:val="fr-BE"/>
        </w:rPr>
        <w:t xml:space="preserve">Matériaux et </w:t>
      </w:r>
      <w:r w:rsidR="007D0F5D" w:rsidRPr="007A2892">
        <w:rPr>
          <w:lang w:val="fr-BE"/>
        </w:rPr>
        <w:t>articles</w:t>
      </w:r>
      <w:r w:rsidRPr="007A2892">
        <w:rPr>
          <w:lang w:val="fr-BE"/>
        </w:rPr>
        <w:t xml:space="preserve"> tels que </w:t>
      </w:r>
      <w:r w:rsidR="007D0F5D" w:rsidRPr="007A2892">
        <w:rPr>
          <w:lang w:val="fr-BE"/>
        </w:rPr>
        <w:t>pla</w:t>
      </w:r>
      <w:r w:rsidR="006D2B68" w:rsidRPr="007A2892">
        <w:rPr>
          <w:lang w:val="fr-BE"/>
        </w:rPr>
        <w:t>nches</w:t>
      </w:r>
      <w:r w:rsidR="007D0F5D" w:rsidRPr="007A2892">
        <w:rPr>
          <w:lang w:val="fr-BE"/>
        </w:rPr>
        <w:t xml:space="preserve"> de cuisson</w:t>
      </w:r>
      <w:r w:rsidR="00BB5582" w:rsidRPr="007A2892">
        <w:rPr>
          <w:lang w:val="fr-BE"/>
        </w:rPr>
        <w:t xml:space="preserve">, </w:t>
      </w:r>
      <w:bookmarkEnd w:id="35"/>
      <w:r w:rsidR="007D0F5D" w:rsidRPr="007A2892">
        <w:rPr>
          <w:lang w:val="fr-BE"/>
        </w:rPr>
        <w:t xml:space="preserve">feuilles, </w:t>
      </w:r>
      <w:r w:rsidR="00BB5582" w:rsidRPr="007A2892">
        <w:rPr>
          <w:lang w:val="fr-BE"/>
        </w:rPr>
        <w:t xml:space="preserve">pouvant </w:t>
      </w:r>
      <w:r w:rsidRPr="007A2892">
        <w:rPr>
          <w:lang w:val="fr-BE"/>
        </w:rPr>
        <w:t>être immergés</w:t>
      </w:r>
      <w:bookmarkEnd w:id="36"/>
    </w:p>
    <w:p w14:paraId="1F716950" w14:textId="77777777" w:rsidR="00C24361" w:rsidRPr="007A2892" w:rsidRDefault="00C24361">
      <w:pPr>
        <w:jc w:val="both"/>
        <w:rPr>
          <w:lang w:val="fr-BE"/>
        </w:rPr>
      </w:pPr>
    </w:p>
    <w:p w14:paraId="6D76DBD9" w14:textId="4E2F8392" w:rsidR="00C24361" w:rsidRPr="007A2892" w:rsidRDefault="00262477" w:rsidP="009A1037">
      <w:pPr>
        <w:jc w:val="both"/>
        <w:rPr>
          <w:lang w:val="fr-BE"/>
        </w:rPr>
      </w:pPr>
      <w:r w:rsidRPr="007A2892">
        <w:rPr>
          <w:lang w:val="fr-BE"/>
        </w:rPr>
        <w:t xml:space="preserve">Cela s’applique </w:t>
      </w:r>
      <w:r w:rsidR="004A6B5F" w:rsidRPr="007A2892">
        <w:rPr>
          <w:lang w:val="fr-BE"/>
        </w:rPr>
        <w:t xml:space="preserve">par exemple </w:t>
      </w:r>
      <w:r w:rsidRPr="007A2892">
        <w:rPr>
          <w:lang w:val="fr-BE"/>
        </w:rPr>
        <w:t xml:space="preserve">aux matériaux et objets tels que </w:t>
      </w:r>
      <w:r w:rsidR="009A1037" w:rsidRPr="007A2892">
        <w:rPr>
          <w:lang w:val="fr-BE"/>
        </w:rPr>
        <w:t>feuille d’aluminium, planche à découper, évier avec égouttoir ou plan de travail.</w:t>
      </w:r>
    </w:p>
    <w:p w14:paraId="500C31F1" w14:textId="6A6A6981" w:rsidR="009A1037" w:rsidRPr="007A2892" w:rsidRDefault="009A1037" w:rsidP="009A1037">
      <w:pPr>
        <w:jc w:val="both"/>
        <w:rPr>
          <w:lang w:val="fr-BE"/>
        </w:rPr>
      </w:pPr>
      <w:r w:rsidRPr="007A2892">
        <w:rPr>
          <w:lang w:val="fr-BE"/>
        </w:rPr>
        <w:t xml:space="preserve">Il est possible de tester soit l’objet en entier soit un échantillon. Dans ce dernier cas, la surface totale de l’échantillon doit être de 1 dm². La tolérance sur ces mesures est de ± 1 </w:t>
      </w:r>
      <w:proofErr w:type="spellStart"/>
      <w:r w:rsidRPr="007A2892">
        <w:rPr>
          <w:lang w:val="fr-BE"/>
        </w:rPr>
        <w:t>mm.</w:t>
      </w:r>
      <w:proofErr w:type="spellEnd"/>
      <w:r w:rsidRPr="007A2892">
        <w:rPr>
          <w:lang w:val="fr-BE"/>
        </w:rPr>
        <w:t xml:space="preserve"> Seule la surface de contact avec les aliments est prise en compte dans la détermination de la valeur de libération spécifique. Les surfaces des arêtes tranchantes sont incluses dans l’essai uniquement si leur épaisseur dépasse 2 </w:t>
      </w:r>
      <w:proofErr w:type="spellStart"/>
      <w:r w:rsidRPr="007A2892">
        <w:rPr>
          <w:lang w:val="fr-BE"/>
        </w:rPr>
        <w:t>mm.</w:t>
      </w:r>
      <w:proofErr w:type="spellEnd"/>
    </w:p>
    <w:p w14:paraId="05232B0A" w14:textId="20B64869" w:rsidR="00C24361" w:rsidRDefault="009A1037" w:rsidP="009A1037">
      <w:pPr>
        <w:jc w:val="both"/>
        <w:rPr>
          <w:lang w:val="fr-BE"/>
        </w:rPr>
      </w:pPr>
      <w:r w:rsidRPr="007A2892">
        <w:rPr>
          <w:lang w:val="fr-BE"/>
        </w:rPr>
        <w:t xml:space="preserve">La procédure de préparation des arêtes des objets en acier inoxydable implique un polissage approprié. La surface en acier inoxydable peut par exemple être polie sous l’eau en utilisant un papier </w:t>
      </w:r>
      <w:proofErr w:type="spellStart"/>
      <w:r w:rsidRPr="007A2892">
        <w:rPr>
          <w:lang w:val="fr-BE"/>
        </w:rPr>
        <w:t>SiC</w:t>
      </w:r>
      <w:proofErr w:type="spellEnd"/>
      <w:r w:rsidRPr="007A2892">
        <w:rPr>
          <w:lang w:val="fr-BE"/>
        </w:rPr>
        <w:t xml:space="preserve"> 1200 pour arrondir les arêtes sans endommager la surface adjacente. Après polissage, l’objet doit être lavé avec un soin particulier de manière à ce qu’aucun contaminant (comme des particules métalliques) ne reste à la surface de l’échantillon. L’échantillon doit enfin être laissé pendant 24 h au moins dans un endroit sec et propre de manière à ce que la couche passive puisse se reformer naturellement.</w:t>
      </w:r>
    </w:p>
    <w:p w14:paraId="0C04BAD7" w14:textId="2C8083A7" w:rsidR="006E67E6" w:rsidRDefault="006E67E6" w:rsidP="009A1037">
      <w:pPr>
        <w:jc w:val="both"/>
        <w:rPr>
          <w:lang w:val="fr-BE"/>
        </w:rPr>
      </w:pPr>
    </w:p>
    <w:p w14:paraId="59476453" w14:textId="77777777" w:rsidR="006E67E6" w:rsidRPr="007A2892" w:rsidRDefault="006E67E6" w:rsidP="009A1037">
      <w:pPr>
        <w:jc w:val="both"/>
        <w:rPr>
          <w:lang w:val="fr-BE"/>
        </w:rPr>
      </w:pPr>
    </w:p>
    <w:p w14:paraId="3136CF7D" w14:textId="476B858D" w:rsidR="00C24361" w:rsidRPr="007A2892" w:rsidRDefault="00262477">
      <w:pPr>
        <w:pStyle w:val="Titre5"/>
        <w:numPr>
          <w:ilvl w:val="4"/>
          <w:numId w:val="6"/>
        </w:numPr>
        <w:jc w:val="both"/>
      </w:pPr>
      <w:bookmarkStart w:id="37" w:name="_Toc27475413"/>
      <w:bookmarkStart w:id="38" w:name="_Toc66377263"/>
      <w:proofErr w:type="spellStart"/>
      <w:r w:rsidRPr="007A2892">
        <w:t>Matériaux</w:t>
      </w:r>
      <w:proofErr w:type="spellEnd"/>
      <w:r w:rsidRPr="007A2892">
        <w:t xml:space="preserve"> et </w:t>
      </w:r>
      <w:proofErr w:type="spellStart"/>
      <w:r w:rsidRPr="007A2892">
        <w:t>objets</w:t>
      </w:r>
      <w:proofErr w:type="spellEnd"/>
      <w:r w:rsidRPr="007A2892">
        <w:t xml:space="preserve"> plats</w:t>
      </w:r>
      <w:bookmarkEnd w:id="37"/>
      <w:bookmarkEnd w:id="38"/>
    </w:p>
    <w:p w14:paraId="1EC2B25F" w14:textId="77777777" w:rsidR="00C24361" w:rsidRPr="007A2892" w:rsidRDefault="00C24361">
      <w:pPr>
        <w:jc w:val="both"/>
      </w:pPr>
    </w:p>
    <w:p w14:paraId="41B27392" w14:textId="77777777" w:rsidR="00037494" w:rsidRPr="007A2892" w:rsidRDefault="00037494">
      <w:pPr>
        <w:spacing w:line="270" w:lineRule="atLeast"/>
        <w:ind w:right="200"/>
        <w:jc w:val="both"/>
        <w:rPr>
          <w:lang w:val="fr-BE"/>
        </w:rPr>
      </w:pPr>
      <w:r w:rsidRPr="007A2892">
        <w:rPr>
          <w:lang w:val="fr-BE"/>
        </w:rPr>
        <w:t xml:space="preserve">Les matériaux et objets plats qui ne peuvent pas être remplis et qui ont des propriétés différentes sur les deux faces, ou dont les bords ne peuvent pas être suffisamment préparés pour les tester par immersion totale, peuvent être testés avec une cellule de migration. </w:t>
      </w:r>
    </w:p>
    <w:p w14:paraId="1E786E07" w14:textId="77777777" w:rsidR="00037494" w:rsidRPr="007A2892" w:rsidRDefault="00037494">
      <w:pPr>
        <w:spacing w:line="270" w:lineRule="atLeast"/>
        <w:ind w:right="200"/>
        <w:jc w:val="both"/>
        <w:rPr>
          <w:lang w:val="fr-BE"/>
        </w:rPr>
      </w:pPr>
      <w:r w:rsidRPr="007A2892">
        <w:rPr>
          <w:lang w:val="fr-BE"/>
        </w:rPr>
        <w:t xml:space="preserve">L'échantillon est monté avec la surface en contact avec les aliments dans la cellule de migration. Les conditions d'essai doivent être choisies comme décrit ci-dessus pour les articles qui peuvent être remplis. </w:t>
      </w:r>
    </w:p>
    <w:p w14:paraId="299A0793" w14:textId="666A7E34" w:rsidR="00C24361" w:rsidRPr="007A2892" w:rsidRDefault="00262477">
      <w:pPr>
        <w:spacing w:line="270" w:lineRule="atLeast"/>
        <w:ind w:right="200"/>
        <w:jc w:val="both"/>
        <w:rPr>
          <w:lang w:val="fr-BE"/>
        </w:rPr>
      </w:pPr>
      <w:r w:rsidRPr="007A2892">
        <w:rPr>
          <w:lang w:val="fr-BE"/>
        </w:rPr>
        <w:t>Les cellules de migration appropriées peuvent être sélectionnées conformément aux exigences de la norme EN 1186-1</w:t>
      </w:r>
      <w:bookmarkStart w:id="39" w:name="line147"/>
      <w:bookmarkEnd w:id="39"/>
      <w:r w:rsidRPr="007A2892">
        <w:rPr>
          <w:lang w:val="fr-BE"/>
        </w:rPr>
        <w:t>.</w:t>
      </w:r>
      <w:bookmarkStart w:id="40" w:name="line149"/>
      <w:bookmarkEnd w:id="40"/>
    </w:p>
    <w:p w14:paraId="3DD51D1C" w14:textId="3E012CC2" w:rsidR="00C24361" w:rsidRDefault="00037494">
      <w:pPr>
        <w:jc w:val="both"/>
        <w:rPr>
          <w:lang w:val="fr-BE"/>
        </w:rPr>
      </w:pPr>
      <w:r w:rsidRPr="007A2892">
        <w:rPr>
          <w:lang w:val="fr-BE"/>
        </w:rPr>
        <w:t xml:space="preserve">Les cellules d'essai doivent être pratiquement inertes par rapport aux denrées alimentaires ou aux </w:t>
      </w:r>
      <w:proofErr w:type="spellStart"/>
      <w:r w:rsidRPr="007A2892">
        <w:rPr>
          <w:lang w:val="fr-BE"/>
        </w:rPr>
        <w:t>simulants</w:t>
      </w:r>
      <w:proofErr w:type="spellEnd"/>
      <w:r w:rsidRPr="007A2892">
        <w:rPr>
          <w:lang w:val="fr-BE"/>
        </w:rPr>
        <w:t xml:space="preserve"> de denrées alimentaires appliqués. Un essai à blanc doit être effectué pour mesurer toute libération éventuelle de métal de la cellule de migration elle-même. Les résultats de cette détermination à blanc doivent être soustraits des résultats des tests effectués sur l'échantillon.</w:t>
      </w:r>
    </w:p>
    <w:p w14:paraId="4E1ED0F0" w14:textId="77777777" w:rsidR="00610EB1" w:rsidRPr="007A2892" w:rsidRDefault="00610EB1">
      <w:pPr>
        <w:jc w:val="both"/>
        <w:rPr>
          <w:lang w:val="fr-BE"/>
        </w:rPr>
      </w:pPr>
    </w:p>
    <w:p w14:paraId="33CA97B6" w14:textId="3A8F760B" w:rsidR="00C24361" w:rsidRPr="007A2892" w:rsidRDefault="00262477">
      <w:pPr>
        <w:pStyle w:val="Titre5"/>
        <w:numPr>
          <w:ilvl w:val="4"/>
          <w:numId w:val="6"/>
        </w:numPr>
        <w:jc w:val="both"/>
      </w:pPr>
      <w:bookmarkStart w:id="41" w:name="_Toc27475414"/>
      <w:bookmarkStart w:id="42" w:name="_Toc66377264"/>
      <w:proofErr w:type="spellStart"/>
      <w:r w:rsidRPr="007A2892">
        <w:t>Appareils</w:t>
      </w:r>
      <w:proofErr w:type="spellEnd"/>
      <w:r w:rsidRPr="007A2892">
        <w:t xml:space="preserve"> de transformation </w:t>
      </w:r>
      <w:proofErr w:type="spellStart"/>
      <w:r w:rsidRPr="007A2892">
        <w:t>d’aliments</w:t>
      </w:r>
      <w:bookmarkEnd w:id="41"/>
      <w:bookmarkEnd w:id="42"/>
      <w:proofErr w:type="spellEnd"/>
    </w:p>
    <w:p w14:paraId="7E2AE11A" w14:textId="77777777" w:rsidR="00C24361" w:rsidRPr="007A2892" w:rsidRDefault="00C24361">
      <w:pPr>
        <w:jc w:val="both"/>
      </w:pPr>
    </w:p>
    <w:p w14:paraId="06FB5465" w14:textId="77777777" w:rsidR="00037494" w:rsidRPr="007A2892" w:rsidRDefault="00037494" w:rsidP="00037494">
      <w:pPr>
        <w:jc w:val="both"/>
        <w:rPr>
          <w:lang w:val="fr-BE"/>
        </w:rPr>
      </w:pPr>
      <w:r w:rsidRPr="007A2892">
        <w:rPr>
          <w:lang w:val="fr-BE"/>
        </w:rPr>
        <w:lastRenderedPageBreak/>
        <w:t xml:space="preserve">Les dispositions ci-après s’appliquent aux objets tels que cafetières, centrifugeuses, appareils de distribution, bouilloires électriques et trancheuses à viande, ainsi qu’à leurs accessoires. </w:t>
      </w:r>
    </w:p>
    <w:p w14:paraId="7148B937" w14:textId="0B29AD27" w:rsidR="00037494" w:rsidRPr="007A2892" w:rsidRDefault="00037494" w:rsidP="00037494">
      <w:pPr>
        <w:jc w:val="both"/>
        <w:rPr>
          <w:lang w:val="fr-BE"/>
        </w:rPr>
      </w:pPr>
      <w:r w:rsidRPr="007A2892">
        <w:rPr>
          <w:lang w:val="fr-BE"/>
        </w:rPr>
        <w:t>Les objets (ou leurs éléments qui pourraient logiquement entrer au contact des aliments) doivent être testés dans des conditions d’utilisation conformes aux instructions des fabricants.</w:t>
      </w:r>
    </w:p>
    <w:p w14:paraId="475EE26E" w14:textId="4EB08BB2" w:rsidR="00C24361" w:rsidRPr="007A2892" w:rsidRDefault="00037494" w:rsidP="00037494">
      <w:pPr>
        <w:jc w:val="both"/>
        <w:rPr>
          <w:lang w:val="fr-BE"/>
        </w:rPr>
      </w:pPr>
      <w:r w:rsidRPr="007A2892">
        <w:rPr>
          <w:lang w:val="fr-BE"/>
        </w:rPr>
        <w:t xml:space="preserve">Pour les appareils de production de boissons chaudes, l’essai doit être effectué conformément à la norme </w:t>
      </w:r>
      <w:r w:rsidR="00262477" w:rsidRPr="007A2892">
        <w:rPr>
          <w:lang w:val="fr-BE"/>
        </w:rPr>
        <w:t>EN 16889.</w:t>
      </w:r>
    </w:p>
    <w:p w14:paraId="19F8B6A0" w14:textId="77777777" w:rsidR="00C24361" w:rsidRPr="007A2892" w:rsidRDefault="00C24361">
      <w:pPr>
        <w:jc w:val="both"/>
        <w:rPr>
          <w:lang w:val="fr-BE"/>
        </w:rPr>
      </w:pPr>
    </w:p>
    <w:p w14:paraId="7170D7AC" w14:textId="01573C7A" w:rsidR="00C24361" w:rsidRPr="007A2892" w:rsidRDefault="00262477">
      <w:pPr>
        <w:pStyle w:val="Titre2"/>
      </w:pPr>
      <w:bookmarkStart w:id="43" w:name="_Toc31362577"/>
      <w:bookmarkStart w:id="44" w:name="_Toc66377265"/>
      <w:bookmarkEnd w:id="43"/>
      <w:proofErr w:type="spellStart"/>
      <w:r w:rsidRPr="007A2892">
        <w:t>Méthodes</w:t>
      </w:r>
      <w:proofErr w:type="spellEnd"/>
      <w:r w:rsidRPr="007A2892">
        <w:t xml:space="preserve"> </w:t>
      </w:r>
      <w:proofErr w:type="spellStart"/>
      <w:r w:rsidRPr="007A2892">
        <w:t>d’analyse</w:t>
      </w:r>
      <w:bookmarkEnd w:id="44"/>
      <w:proofErr w:type="spellEnd"/>
    </w:p>
    <w:p w14:paraId="0F9B14EE" w14:textId="4B7EA4EF" w:rsidR="00C24361" w:rsidRPr="007A2892" w:rsidRDefault="00C24361">
      <w:pPr>
        <w:jc w:val="both"/>
      </w:pPr>
    </w:p>
    <w:p w14:paraId="6C0CED64" w14:textId="58C32733" w:rsidR="00C24361" w:rsidRPr="007A2892" w:rsidRDefault="00037494" w:rsidP="00037494">
      <w:pPr>
        <w:jc w:val="both"/>
        <w:rPr>
          <w:b/>
          <w:i/>
          <w:lang w:val="fr-BE"/>
        </w:rPr>
      </w:pPr>
      <w:r w:rsidRPr="007A2892">
        <w:rPr>
          <w:lang w:val="fr-BE"/>
        </w:rPr>
        <w:t xml:space="preserve">Les méthodes d’analyse utilisées pour les essais de libération réalisés sur les FCM doivent répondre aux dispositions de l’Annexe III (Caractérisation des méthodes d’analyse) du règlement </w:t>
      </w:r>
      <w:r w:rsidR="00262477" w:rsidRPr="007A2892">
        <w:rPr>
          <w:lang w:val="fr-BE"/>
        </w:rPr>
        <w:t xml:space="preserve">(UE) no 625/2017. </w:t>
      </w:r>
      <w:r w:rsidRPr="007A2892">
        <w:rPr>
          <w:lang w:val="fr-BE"/>
        </w:rPr>
        <w:t>Les laboratoires réalisant l’analyse doivent utiliser des méthodes validées pour la détermination des métaux et autres éléments, conformément aux lignes directrices et critères spécifiquement établis par le réseau EURL-NRL FCM (EUR 24105, 2009).</w:t>
      </w:r>
    </w:p>
    <w:p w14:paraId="46FBF6F6" w14:textId="36E3CA80" w:rsidR="00C24361" w:rsidRPr="007A2892" w:rsidRDefault="00262477">
      <w:pPr>
        <w:jc w:val="both"/>
        <w:rPr>
          <w:b/>
          <w:i/>
          <w:lang w:val="fr-BE"/>
        </w:rPr>
      </w:pPr>
      <w:r w:rsidRPr="007A2892">
        <w:rPr>
          <w:lang w:val="fr-BE"/>
        </w:rPr>
        <w:t xml:space="preserve">Lors de la préparation et de l’analyse de l’échantillon, il convient d’utiliser des réactifs de qualité appropriée. S’il est nécessaire à la préparation de l’échantillon ou de l’analyse, </w:t>
      </w:r>
      <w:r w:rsidR="00037494" w:rsidRPr="007A2892">
        <w:rPr>
          <w:rFonts w:cs="Minion Pro"/>
          <w:color w:val="000000"/>
          <w:lang w:val="fr-BE"/>
        </w:rPr>
        <w:t xml:space="preserve">tout l’équipement utilisé pour la préparation et pour les expérimentations par immersion doit être nettoyé avec une solution à 10 % d’acide nitrique (HNO3) pendant au moins 24 h, puis rincé soigneusement à l’eau </w:t>
      </w:r>
      <w:proofErr w:type="spellStart"/>
      <w:r w:rsidR="00037494" w:rsidRPr="007A2892">
        <w:rPr>
          <w:rFonts w:cs="Minion Pro"/>
          <w:color w:val="000000"/>
          <w:lang w:val="fr-BE"/>
        </w:rPr>
        <w:t>ultra-pure</w:t>
      </w:r>
      <w:proofErr w:type="spellEnd"/>
      <w:r w:rsidR="00037494" w:rsidRPr="007A2892">
        <w:rPr>
          <w:rFonts w:cs="Minion Pro"/>
          <w:color w:val="000000"/>
          <w:lang w:val="fr-BE"/>
        </w:rPr>
        <w:t xml:space="preserve"> avant utilisation.</w:t>
      </w:r>
    </w:p>
    <w:p w14:paraId="4B3E08EB" w14:textId="77777777" w:rsidR="00C24361" w:rsidRPr="007A2892" w:rsidRDefault="00262477">
      <w:pPr>
        <w:jc w:val="both"/>
        <w:rPr>
          <w:b/>
          <w:i/>
          <w:lang w:val="fr-BE"/>
        </w:rPr>
      </w:pPr>
      <w:r w:rsidRPr="007A2892">
        <w:rPr>
          <w:lang w:val="fr-BE"/>
        </w:rPr>
        <w:t xml:space="preserve">L’analyse peut être réalisée à l’aide de différents outils d’analyse tels que FAFA, GF-AAS, ICP-AES/ICP-OES et ICP-MS. </w:t>
      </w:r>
    </w:p>
    <w:p w14:paraId="3DBE52E4" w14:textId="36098200" w:rsidR="000907D5" w:rsidRPr="007A2892" w:rsidRDefault="000907D5" w:rsidP="000907D5">
      <w:pPr>
        <w:pStyle w:val="Default"/>
        <w:rPr>
          <w:rFonts w:asciiTheme="minorHAnsi" w:hAnsiTheme="minorHAnsi" w:cstheme="minorBidi"/>
          <w:color w:val="auto"/>
          <w:sz w:val="22"/>
          <w:szCs w:val="22"/>
          <w:lang w:val="fr-BE"/>
        </w:rPr>
      </w:pPr>
      <w:r w:rsidRPr="007A2892">
        <w:rPr>
          <w:rFonts w:asciiTheme="minorHAnsi" w:hAnsiTheme="minorHAnsi" w:cstheme="minorBidi"/>
          <w:color w:val="auto"/>
          <w:sz w:val="22"/>
          <w:szCs w:val="22"/>
          <w:lang w:val="fr-BE"/>
        </w:rPr>
        <w:t xml:space="preserve">Un essai à blanc doit être effectué pour déterminer la concentration initiale de l’élément métallique dans les denrées ou </w:t>
      </w:r>
      <w:proofErr w:type="spellStart"/>
      <w:r w:rsidRPr="007A2892">
        <w:rPr>
          <w:rFonts w:asciiTheme="minorHAnsi" w:hAnsiTheme="minorHAnsi" w:cstheme="minorBidi"/>
          <w:color w:val="auto"/>
          <w:sz w:val="22"/>
          <w:szCs w:val="22"/>
          <w:lang w:val="fr-BE"/>
        </w:rPr>
        <w:t>simulants</w:t>
      </w:r>
      <w:proofErr w:type="spellEnd"/>
      <w:r w:rsidRPr="007A2892">
        <w:rPr>
          <w:rFonts w:asciiTheme="minorHAnsi" w:hAnsiTheme="minorHAnsi" w:cstheme="minorBidi"/>
          <w:color w:val="auto"/>
          <w:sz w:val="22"/>
          <w:szCs w:val="22"/>
          <w:lang w:val="fr-BE"/>
        </w:rPr>
        <w:t xml:space="preserve"> alimentaires homogénéisés/minéralisés avant de les mettre au contact du matériau ou objet à tester. </w:t>
      </w:r>
    </w:p>
    <w:p w14:paraId="22271826" w14:textId="77777777" w:rsidR="000907D5" w:rsidRPr="007A2892" w:rsidRDefault="000907D5" w:rsidP="000907D5">
      <w:pPr>
        <w:pStyle w:val="Default"/>
        <w:rPr>
          <w:rFonts w:asciiTheme="minorHAnsi" w:hAnsiTheme="minorHAnsi" w:cstheme="minorBidi"/>
          <w:color w:val="auto"/>
          <w:sz w:val="22"/>
          <w:szCs w:val="22"/>
          <w:lang w:val="fr-BE"/>
        </w:rPr>
      </w:pPr>
    </w:p>
    <w:p w14:paraId="7CD30AF0" w14:textId="79E749B6" w:rsidR="00C24361" w:rsidRDefault="000907D5" w:rsidP="00955EF8">
      <w:pPr>
        <w:pStyle w:val="Default"/>
        <w:jc w:val="center"/>
        <w:rPr>
          <w:rFonts w:ascii="Cambria Math" w:hAnsi="Cambria Math" w:cs="Cambria Math"/>
          <w:sz w:val="22"/>
          <w:szCs w:val="22"/>
          <w:lang w:val="fr-BE"/>
        </w:rPr>
      </w:pPr>
      <w:r w:rsidRPr="00955EF8">
        <w:rPr>
          <w:rFonts w:ascii="Cambria Math" w:hAnsi="Cambria Math" w:cs="Cambria Math"/>
          <w:sz w:val="22"/>
          <w:szCs w:val="22"/>
          <w:lang w:val="fr-BE"/>
        </w:rPr>
        <w:t>LS (mg</w:t>
      </w:r>
      <w:r w:rsidR="00262477" w:rsidRPr="00955EF8">
        <w:rPr>
          <w:rFonts w:ascii="Cambria Math" w:hAnsi="Cambria Math" w:cs="Cambria Math"/>
          <w:sz w:val="22"/>
          <w:szCs w:val="22"/>
          <w:lang w:val="fr-BE"/>
        </w:rPr>
        <w:t xml:space="preserve">/kg = C </w:t>
      </w:r>
      <w:r w:rsidR="00262477" w:rsidRPr="00955EF8">
        <w:rPr>
          <w:rFonts w:ascii="Cambria Math" w:hAnsi="Cambria Math" w:cs="Cambria Math"/>
          <w:sz w:val="22"/>
          <w:szCs w:val="22"/>
          <w:vertAlign w:val="subscript"/>
          <w:lang w:val="fr-BE"/>
        </w:rPr>
        <w:t>1 (kg</w:t>
      </w:r>
      <w:r w:rsidR="00262477" w:rsidRPr="00955EF8">
        <w:rPr>
          <w:rFonts w:ascii="Cambria Math" w:hAnsi="Cambria Math" w:cs="Cambria Math"/>
          <w:sz w:val="22"/>
          <w:szCs w:val="22"/>
          <w:lang w:val="fr-BE"/>
        </w:rPr>
        <w:t xml:space="preserve"> /kg) − C </w:t>
      </w:r>
      <w:r w:rsidR="00262477" w:rsidRPr="00955EF8">
        <w:rPr>
          <w:rFonts w:ascii="Cambria Math" w:hAnsi="Cambria Math" w:cs="Cambria Math"/>
          <w:sz w:val="22"/>
          <w:szCs w:val="22"/>
          <w:vertAlign w:val="subscript"/>
          <w:lang w:val="fr-BE"/>
        </w:rPr>
        <w:t>0</w:t>
      </w:r>
      <w:r w:rsidR="00262477" w:rsidRPr="00955EF8">
        <w:rPr>
          <w:rFonts w:ascii="Cambria Math" w:hAnsi="Cambria Math" w:cs="Cambria Math"/>
          <w:sz w:val="22"/>
          <w:szCs w:val="22"/>
          <w:lang w:val="fr-BE"/>
        </w:rPr>
        <w:t xml:space="preserve"> (kg/kg)</w:t>
      </w:r>
    </w:p>
    <w:p w14:paraId="3903D74F" w14:textId="77777777" w:rsidR="00955EF8" w:rsidRPr="00955EF8" w:rsidRDefault="00955EF8" w:rsidP="00955EF8">
      <w:pPr>
        <w:pStyle w:val="Default"/>
        <w:jc w:val="center"/>
        <w:rPr>
          <w:sz w:val="22"/>
          <w:szCs w:val="22"/>
          <w:lang w:val="fr-BE"/>
        </w:rPr>
      </w:pPr>
    </w:p>
    <w:p w14:paraId="6692DC41" w14:textId="0310C8B8" w:rsidR="00C24361" w:rsidRPr="007A2892" w:rsidRDefault="00262477">
      <w:pPr>
        <w:pStyle w:val="Default"/>
        <w:rPr>
          <w:rFonts w:asciiTheme="minorHAnsi" w:hAnsiTheme="minorHAnsi" w:cstheme="minorHAnsi"/>
          <w:sz w:val="22"/>
          <w:szCs w:val="22"/>
          <w:lang w:val="fr-BE"/>
        </w:rPr>
      </w:pPr>
      <w:r w:rsidRPr="007A2892">
        <w:rPr>
          <w:rFonts w:asciiTheme="minorHAnsi" w:hAnsiTheme="minorHAnsi" w:cstheme="minorHAnsi"/>
          <w:sz w:val="22"/>
          <w:szCs w:val="22"/>
          <w:lang w:val="fr-BE"/>
        </w:rPr>
        <w:t>Lorsque C</w:t>
      </w:r>
      <w:r w:rsidRPr="007A2892">
        <w:rPr>
          <w:rFonts w:asciiTheme="minorHAnsi" w:hAnsiTheme="minorHAnsi" w:cstheme="minorHAnsi"/>
          <w:sz w:val="22"/>
          <w:szCs w:val="22"/>
          <w:vertAlign w:val="subscript"/>
          <w:lang w:val="fr-BE"/>
        </w:rPr>
        <w:t xml:space="preserve"> 0</w:t>
      </w:r>
      <w:r w:rsidRPr="007A2892">
        <w:rPr>
          <w:rFonts w:asciiTheme="minorHAnsi" w:hAnsiTheme="minorHAnsi" w:cstheme="minorHAnsi"/>
          <w:sz w:val="22"/>
          <w:szCs w:val="22"/>
          <w:lang w:val="fr-BE"/>
        </w:rPr>
        <w:t xml:space="preserve"> est la concentration de métaux avant contact, le </w:t>
      </w:r>
      <w:r w:rsidR="000907D5" w:rsidRPr="007A2892">
        <w:rPr>
          <w:rFonts w:asciiTheme="minorHAnsi" w:hAnsiTheme="minorHAnsi" w:cstheme="minorHAnsi"/>
          <w:sz w:val="22"/>
          <w:szCs w:val="22"/>
          <w:lang w:val="fr-BE"/>
        </w:rPr>
        <w:t>FCM</w:t>
      </w:r>
      <w:r w:rsidRPr="007A2892">
        <w:rPr>
          <w:rFonts w:asciiTheme="minorHAnsi" w:hAnsiTheme="minorHAnsi" w:cstheme="minorHAnsi"/>
          <w:sz w:val="22"/>
          <w:szCs w:val="22"/>
          <w:lang w:val="fr-BE"/>
        </w:rPr>
        <w:t xml:space="preserve"> (</w:t>
      </w:r>
      <w:r w:rsidR="000907D5" w:rsidRPr="007A2892">
        <w:rPr>
          <w:rFonts w:asciiTheme="minorHAnsi" w:hAnsiTheme="minorHAnsi" w:cstheme="minorHAnsi"/>
          <w:sz w:val="22"/>
          <w:szCs w:val="22"/>
          <w:lang w:val="fr-BE"/>
        </w:rPr>
        <w:t>blanco</w:t>
      </w:r>
      <w:r w:rsidRPr="007A2892">
        <w:rPr>
          <w:rFonts w:asciiTheme="minorHAnsi" w:hAnsiTheme="minorHAnsi" w:cstheme="minorHAnsi"/>
          <w:sz w:val="22"/>
          <w:szCs w:val="22"/>
          <w:lang w:val="fr-BE"/>
        </w:rPr>
        <w:t>) et C</w:t>
      </w:r>
      <w:r w:rsidRPr="007A2892">
        <w:rPr>
          <w:rFonts w:asciiTheme="minorHAnsi" w:hAnsiTheme="minorHAnsi" w:cstheme="minorHAnsi"/>
          <w:sz w:val="22"/>
          <w:szCs w:val="22"/>
          <w:vertAlign w:val="subscript"/>
          <w:lang w:val="fr-BE"/>
        </w:rPr>
        <w:t xml:space="preserve"> 1</w:t>
      </w:r>
      <w:r w:rsidRPr="007A2892">
        <w:rPr>
          <w:rFonts w:asciiTheme="minorHAnsi" w:hAnsiTheme="minorHAnsi" w:cstheme="minorHAnsi"/>
          <w:sz w:val="22"/>
          <w:szCs w:val="22"/>
          <w:lang w:val="fr-BE"/>
        </w:rPr>
        <w:t xml:space="preserve"> est la concentration de métaux après l’essai de </w:t>
      </w:r>
      <w:r w:rsidR="000907D5" w:rsidRPr="007A2892">
        <w:rPr>
          <w:rFonts w:asciiTheme="minorHAnsi" w:hAnsiTheme="minorHAnsi" w:cstheme="minorHAnsi"/>
          <w:sz w:val="22"/>
          <w:szCs w:val="22"/>
          <w:lang w:val="fr-BE"/>
        </w:rPr>
        <w:t>lib</w:t>
      </w:r>
      <w:r w:rsidR="00A16A73">
        <w:rPr>
          <w:rFonts w:asciiTheme="minorHAnsi" w:hAnsiTheme="minorHAnsi" w:cstheme="minorHAnsi"/>
          <w:sz w:val="22"/>
          <w:szCs w:val="22"/>
          <w:lang w:val="fr-BE"/>
        </w:rPr>
        <w:t>é</w:t>
      </w:r>
      <w:r w:rsidR="000907D5" w:rsidRPr="007A2892">
        <w:rPr>
          <w:rFonts w:asciiTheme="minorHAnsi" w:hAnsiTheme="minorHAnsi" w:cstheme="minorHAnsi"/>
          <w:sz w:val="22"/>
          <w:szCs w:val="22"/>
          <w:lang w:val="fr-BE"/>
        </w:rPr>
        <w:t>ration</w:t>
      </w:r>
      <w:r w:rsidRPr="007A2892">
        <w:rPr>
          <w:rFonts w:asciiTheme="minorHAnsi" w:hAnsiTheme="minorHAnsi" w:cstheme="minorHAnsi"/>
          <w:sz w:val="22"/>
          <w:szCs w:val="22"/>
          <w:lang w:val="fr-BE"/>
        </w:rPr>
        <w:t xml:space="preserve">. </w:t>
      </w:r>
    </w:p>
    <w:p w14:paraId="7951FE02" w14:textId="598A7C73" w:rsidR="00C24361" w:rsidRPr="007A2892" w:rsidRDefault="00C24361">
      <w:pPr>
        <w:pStyle w:val="Default"/>
        <w:rPr>
          <w:rFonts w:asciiTheme="minorHAnsi" w:hAnsiTheme="minorHAnsi" w:cstheme="minorHAnsi"/>
          <w:sz w:val="22"/>
          <w:szCs w:val="22"/>
          <w:lang w:val="fr-BE"/>
        </w:rPr>
      </w:pPr>
    </w:p>
    <w:p w14:paraId="6F8A400F" w14:textId="2B8B6326" w:rsidR="00C24361" w:rsidRDefault="00262477">
      <w:pPr>
        <w:pStyle w:val="Default"/>
        <w:rPr>
          <w:rFonts w:asciiTheme="minorHAnsi" w:hAnsiTheme="minorHAnsi" w:cstheme="minorHAnsi"/>
          <w:sz w:val="22"/>
          <w:szCs w:val="22"/>
          <w:lang w:val="fr-BE"/>
        </w:rPr>
      </w:pPr>
      <w:r w:rsidRPr="007A2892">
        <w:rPr>
          <w:rFonts w:asciiTheme="minorHAnsi" w:hAnsiTheme="minorHAnsi" w:cstheme="minorHAnsi"/>
          <w:sz w:val="22"/>
          <w:szCs w:val="22"/>
          <w:lang w:val="fr-BE"/>
        </w:rPr>
        <w:t>Lors de la vérification de la conformité, il convient de tenir compte des incertitudes de mesure concernant les concentrations mesurées</w:t>
      </w:r>
      <w:r w:rsidR="000907D5" w:rsidRPr="007A2892">
        <w:rPr>
          <w:rFonts w:asciiTheme="minorHAnsi" w:hAnsiTheme="minorHAnsi" w:cstheme="minorHAnsi"/>
          <w:sz w:val="22"/>
          <w:szCs w:val="22"/>
          <w:lang w:val="fr-BE"/>
        </w:rPr>
        <w:t>, comme mentionn</w:t>
      </w:r>
      <w:r w:rsidR="00A16A73">
        <w:rPr>
          <w:rFonts w:asciiTheme="minorHAnsi" w:hAnsiTheme="minorHAnsi" w:cstheme="minorHAnsi"/>
          <w:sz w:val="22"/>
          <w:szCs w:val="22"/>
          <w:lang w:val="fr-BE"/>
        </w:rPr>
        <w:t>é</w:t>
      </w:r>
      <w:r w:rsidR="000907D5" w:rsidRPr="007A2892">
        <w:rPr>
          <w:rFonts w:asciiTheme="minorHAnsi" w:hAnsiTheme="minorHAnsi" w:cstheme="minorHAnsi"/>
          <w:sz w:val="22"/>
          <w:szCs w:val="22"/>
          <w:lang w:val="fr-BE"/>
        </w:rPr>
        <w:t xml:space="preserve"> dans les ligne directive de JRC</w:t>
      </w:r>
      <w:r w:rsidRPr="007A2892">
        <w:rPr>
          <w:rFonts w:asciiTheme="minorHAnsi" w:hAnsiTheme="minorHAnsi" w:cstheme="minorHAnsi"/>
          <w:sz w:val="22"/>
          <w:szCs w:val="22"/>
          <w:lang w:val="fr-BE"/>
        </w:rPr>
        <w:t>.</w:t>
      </w:r>
      <w:r w:rsidR="00C56991" w:rsidRPr="007A2892">
        <w:rPr>
          <w:rFonts w:asciiTheme="minorHAnsi" w:hAnsiTheme="minorHAnsi" w:cstheme="minorHAnsi"/>
          <w:sz w:val="22"/>
          <w:szCs w:val="22"/>
          <w:lang w:val="fr-BE"/>
        </w:rPr>
        <w:t xml:space="preserve"> </w:t>
      </w:r>
      <w:r w:rsidRPr="007A2892">
        <w:rPr>
          <w:rFonts w:asciiTheme="minorHAnsi" w:hAnsiTheme="minorHAnsi" w:cstheme="minorHAnsi"/>
          <w:sz w:val="22"/>
          <w:szCs w:val="22"/>
          <w:lang w:val="fr-BE"/>
        </w:rPr>
        <w:t>La limite supérieure de C</w:t>
      </w:r>
      <w:r w:rsidRPr="007A2892">
        <w:rPr>
          <w:rFonts w:asciiTheme="minorHAnsi" w:hAnsiTheme="minorHAnsi" w:cstheme="minorHAnsi"/>
          <w:sz w:val="22"/>
          <w:szCs w:val="22"/>
          <w:vertAlign w:val="subscript"/>
          <w:lang w:val="fr-BE"/>
        </w:rPr>
        <w:t xml:space="preserve"> 0</w:t>
      </w:r>
      <w:r w:rsidRPr="007A2892">
        <w:rPr>
          <w:rFonts w:asciiTheme="minorHAnsi" w:hAnsiTheme="minorHAnsi" w:cstheme="minorHAnsi"/>
          <w:sz w:val="22"/>
          <w:szCs w:val="22"/>
          <w:lang w:val="fr-BE"/>
        </w:rPr>
        <w:t xml:space="preserve"> est déduite de la limite inférieure C</w:t>
      </w:r>
      <w:r w:rsidRPr="007A2892">
        <w:rPr>
          <w:rFonts w:asciiTheme="minorHAnsi" w:hAnsiTheme="minorHAnsi" w:cstheme="minorHAnsi"/>
          <w:sz w:val="22"/>
          <w:szCs w:val="22"/>
          <w:vertAlign w:val="subscript"/>
          <w:lang w:val="fr-BE"/>
        </w:rPr>
        <w:t xml:space="preserve"> 1</w:t>
      </w:r>
      <w:r w:rsidRPr="007A2892">
        <w:rPr>
          <w:rFonts w:asciiTheme="minorHAnsi" w:hAnsiTheme="minorHAnsi" w:cstheme="minorHAnsi"/>
          <w:sz w:val="22"/>
          <w:szCs w:val="22"/>
          <w:lang w:val="fr-BE"/>
        </w:rPr>
        <w:t>.</w:t>
      </w:r>
    </w:p>
    <w:p w14:paraId="1D677FF3" w14:textId="77777777" w:rsidR="00D753F5" w:rsidRPr="007A2892" w:rsidRDefault="00D753F5">
      <w:pPr>
        <w:pStyle w:val="Default"/>
        <w:rPr>
          <w:rFonts w:asciiTheme="minorHAnsi" w:hAnsiTheme="minorHAnsi" w:cstheme="minorHAnsi"/>
          <w:sz w:val="22"/>
          <w:szCs w:val="22"/>
          <w:lang w:val="fr-BE"/>
        </w:rPr>
      </w:pPr>
    </w:p>
    <w:p w14:paraId="044C75FC" w14:textId="77777777" w:rsidR="00C24361" w:rsidRPr="007A2892" w:rsidRDefault="00C24361">
      <w:pPr>
        <w:pStyle w:val="Default"/>
        <w:rPr>
          <w:rFonts w:asciiTheme="minorHAnsi" w:hAnsiTheme="minorHAnsi" w:cstheme="minorHAnsi"/>
          <w:sz w:val="22"/>
          <w:szCs w:val="22"/>
          <w:lang w:val="fr-BE"/>
        </w:rPr>
      </w:pPr>
    </w:p>
    <w:p w14:paraId="0357E252" w14:textId="01C4F8B6" w:rsidR="00C24361" w:rsidRPr="007A2892" w:rsidRDefault="00262477">
      <w:pPr>
        <w:pStyle w:val="Titre2"/>
      </w:pPr>
      <w:bookmarkStart w:id="45" w:name="_Toc66377266"/>
      <w:proofErr w:type="spellStart"/>
      <w:r w:rsidRPr="007A2892">
        <w:t>Mesures</w:t>
      </w:r>
      <w:proofErr w:type="spellEnd"/>
      <w:r w:rsidRPr="007A2892">
        <w:t xml:space="preserve"> et rapports</w:t>
      </w:r>
      <w:bookmarkEnd w:id="45"/>
    </w:p>
    <w:p w14:paraId="62DBB7C8" w14:textId="352B1F71" w:rsidR="00C24361" w:rsidRPr="007A2892" w:rsidRDefault="00262477">
      <w:pPr>
        <w:pStyle w:val="Titre3"/>
        <w:jc w:val="both"/>
      </w:pPr>
      <w:bookmarkStart w:id="46" w:name="_Toc66377267"/>
      <w:r w:rsidRPr="007A2892">
        <w:t xml:space="preserve">Articles </w:t>
      </w:r>
      <w:proofErr w:type="spellStart"/>
      <w:r w:rsidRPr="007A2892">
        <w:t>susceptibles</w:t>
      </w:r>
      <w:proofErr w:type="spellEnd"/>
      <w:r w:rsidRPr="007A2892">
        <w:t xml:space="preserve"> d’être </w:t>
      </w:r>
      <w:proofErr w:type="spellStart"/>
      <w:r w:rsidRPr="007A2892">
        <w:t>remplis</w:t>
      </w:r>
      <w:bookmarkEnd w:id="46"/>
      <w:proofErr w:type="spellEnd"/>
    </w:p>
    <w:p w14:paraId="57E27075" w14:textId="77777777" w:rsidR="00C24361" w:rsidRPr="007A2892" w:rsidRDefault="00C24361">
      <w:pPr>
        <w:jc w:val="both"/>
      </w:pPr>
    </w:p>
    <w:p w14:paraId="1DF490F8" w14:textId="07C20D5D" w:rsidR="00C24361" w:rsidRPr="007A2892" w:rsidRDefault="00262477">
      <w:pPr>
        <w:jc w:val="both"/>
        <w:rPr>
          <w:lang w:val="fr-BE"/>
        </w:rPr>
      </w:pPr>
      <w:r w:rsidRPr="007A2892">
        <w:rPr>
          <w:lang w:val="fr-BE"/>
        </w:rPr>
        <w:lastRenderedPageBreak/>
        <w:t xml:space="preserve">La concentration métallique peut être déterminée directement dans </w:t>
      </w:r>
      <w:r w:rsidR="000907D5" w:rsidRPr="007A2892">
        <w:rPr>
          <w:lang w:val="fr-BE"/>
        </w:rPr>
        <w:t xml:space="preserve">le </w:t>
      </w:r>
      <w:r w:rsidRPr="007A2892">
        <w:rPr>
          <w:lang w:val="fr-BE"/>
        </w:rPr>
        <w:t xml:space="preserve">simulant </w:t>
      </w:r>
      <w:r w:rsidR="000907D5" w:rsidRPr="007A2892">
        <w:rPr>
          <w:lang w:val="fr-BE"/>
        </w:rPr>
        <w:t>ou l</w:t>
      </w:r>
      <w:r w:rsidR="00D753F5">
        <w:rPr>
          <w:lang w:val="fr-BE"/>
        </w:rPr>
        <w:t>a</w:t>
      </w:r>
      <w:r w:rsidR="000907D5" w:rsidRPr="007A2892">
        <w:rPr>
          <w:lang w:val="fr-BE"/>
        </w:rPr>
        <w:t xml:space="preserve"> </w:t>
      </w:r>
      <w:r w:rsidRPr="007A2892">
        <w:rPr>
          <w:lang w:val="fr-BE"/>
        </w:rPr>
        <w:t>denrée alimentaire.</w:t>
      </w:r>
    </w:p>
    <w:p w14:paraId="0BA25455" w14:textId="3A876986" w:rsidR="00C24361" w:rsidRPr="007A2892" w:rsidRDefault="000907D5" w:rsidP="000907D5">
      <w:pPr>
        <w:jc w:val="both"/>
        <w:rPr>
          <w:lang w:val="fr-BE"/>
        </w:rPr>
      </w:pPr>
      <w:r w:rsidRPr="007A2892">
        <w:rPr>
          <w:lang w:val="fr-BE"/>
        </w:rPr>
        <w:t>Pour les objets ayant une capacité supérieure à 10 kg d’aliments, il convient de prendre en compte le rapport surface/masse réel.</w:t>
      </w:r>
    </w:p>
    <w:p w14:paraId="53B0A347" w14:textId="49A136C9" w:rsidR="000907D5" w:rsidRPr="007A2892" w:rsidRDefault="000907D5" w:rsidP="000907D5">
      <w:pPr>
        <w:jc w:val="both"/>
        <w:rPr>
          <w:lang w:val="fr-BE"/>
        </w:rPr>
      </w:pPr>
      <w:r w:rsidRPr="007A2892">
        <w:rPr>
          <w:lang w:val="fr-BE"/>
        </w:rPr>
        <w:t>Pour les articles destinés à des applications d'emballage (p</w:t>
      </w:r>
      <w:r w:rsidR="00D753F5">
        <w:rPr>
          <w:lang w:val="fr-BE"/>
        </w:rPr>
        <w:t>.</w:t>
      </w:r>
      <w:r w:rsidRPr="007A2892">
        <w:rPr>
          <w:lang w:val="fr-BE"/>
        </w:rPr>
        <w:t xml:space="preserve"> ex</w:t>
      </w:r>
      <w:r w:rsidR="00D753F5">
        <w:rPr>
          <w:lang w:val="fr-BE"/>
        </w:rPr>
        <w:t>.</w:t>
      </w:r>
      <w:r w:rsidRPr="007A2892">
        <w:rPr>
          <w:lang w:val="fr-BE"/>
        </w:rPr>
        <w:t xml:space="preserve"> les boîtes de conserve vides pour l'industrie alimentaire), les volumes de remplissage réels et les conditions d'essai peuvent être utilisés</w:t>
      </w:r>
      <w:r w:rsidR="00D753F5">
        <w:rPr>
          <w:lang w:val="fr-BE"/>
        </w:rPr>
        <w:br/>
      </w:r>
    </w:p>
    <w:p w14:paraId="753D069C" w14:textId="0BF147B7" w:rsidR="00C24361" w:rsidRPr="007A2892" w:rsidRDefault="006C7B79">
      <w:pPr>
        <w:pStyle w:val="Titre3"/>
        <w:jc w:val="both"/>
        <w:rPr>
          <w:lang w:val="fr-BE"/>
        </w:rPr>
      </w:pPr>
      <w:bookmarkStart w:id="47" w:name="_Toc66377268"/>
      <w:r w:rsidRPr="007A2892">
        <w:rPr>
          <w:lang w:val="fr-BE"/>
        </w:rPr>
        <w:t>Articles qui ne peuvent être remplis</w:t>
      </w:r>
      <w:bookmarkEnd w:id="47"/>
    </w:p>
    <w:p w14:paraId="1A59F1DC" w14:textId="07A046CA" w:rsidR="00C24361" w:rsidRPr="007A2892" w:rsidRDefault="00C24361">
      <w:pPr>
        <w:jc w:val="both"/>
        <w:rPr>
          <w:lang w:val="fr-BE"/>
        </w:rPr>
      </w:pPr>
    </w:p>
    <w:p w14:paraId="1AEF02EF" w14:textId="7AEB51FE" w:rsidR="006C7B79" w:rsidRPr="007A2892" w:rsidRDefault="006C7B79" w:rsidP="006C7B79">
      <w:pPr>
        <w:jc w:val="both"/>
        <w:rPr>
          <w:lang w:val="fr-BE"/>
        </w:rPr>
      </w:pPr>
      <w:r w:rsidRPr="007A2892">
        <w:rPr>
          <w:lang w:val="fr-BE"/>
        </w:rPr>
        <w:t>Cette méthode diffère de la méthode actuellement décrite dans le règlement européen (UE) n° 10/2011 concernant les matériaux et objets en matière plastique destinés à entrer en contact avec des denrées alimentair</w:t>
      </w:r>
      <w:r w:rsidR="00D753F5">
        <w:rPr>
          <w:lang w:val="fr-BE"/>
        </w:rPr>
        <w:t>es</w:t>
      </w:r>
      <w:r w:rsidRPr="007A2892">
        <w:rPr>
          <w:lang w:val="fr-BE"/>
        </w:rPr>
        <w:t>.</w:t>
      </w:r>
    </w:p>
    <w:p w14:paraId="09C1D40E" w14:textId="1F1DC8A3" w:rsidR="00D753F5" w:rsidRPr="007A2892" w:rsidRDefault="006C7B79" w:rsidP="006C7B79">
      <w:pPr>
        <w:jc w:val="both"/>
        <w:rPr>
          <w:lang w:val="fr-BE"/>
        </w:rPr>
      </w:pPr>
      <w:r w:rsidRPr="007A2892">
        <w:rPr>
          <w:lang w:val="fr-BE"/>
        </w:rPr>
        <w:t>La mesure de la surface de ce type de FCM est complexe et n'est pas objectivement liée à l'exposition des consommateurs. La méthode suivante permet un calcul direct et simple en mg/kg et est liée à l'exposition des consommateurs. Pour chaque objet tridimensionnel, les trois dimensions (X = profondeur, Y = largeur, Z = hauteur) sont calculées sur la base de quelques conventions simples. Cela produit une barre (figure géométrique simple) que nous appelons le volume de l'enveloppe, qui sert de référence dans la méthode de calcul du volume d'exposition à l'objet.</w:t>
      </w:r>
    </w:p>
    <w:p w14:paraId="46844C61" w14:textId="77777777" w:rsidR="006C7B79" w:rsidRPr="007A2892" w:rsidRDefault="006C7B79" w:rsidP="006C7B79">
      <w:pPr>
        <w:jc w:val="both"/>
        <w:rPr>
          <w:lang w:val="fr-BE"/>
        </w:rPr>
      </w:pPr>
    </w:p>
    <w:p w14:paraId="7CD987DC" w14:textId="198014E5" w:rsidR="00C24361" w:rsidRPr="007A2892" w:rsidRDefault="00262477">
      <w:pPr>
        <w:pStyle w:val="Titre4"/>
        <w:numPr>
          <w:ilvl w:val="3"/>
          <w:numId w:val="6"/>
        </w:numPr>
        <w:jc w:val="both"/>
        <w:rPr>
          <w:lang w:val="fr-BE"/>
        </w:rPr>
      </w:pPr>
      <w:bookmarkStart w:id="48" w:name="_Toc27475431"/>
      <w:bookmarkStart w:id="49" w:name="_Toc66377269"/>
      <w:r w:rsidRPr="007A2892">
        <w:rPr>
          <w:lang w:val="fr-BE"/>
        </w:rPr>
        <w:t>Mesures pour le calcul de l’enveloppe de l’article</w:t>
      </w:r>
      <w:bookmarkEnd w:id="48"/>
      <w:bookmarkEnd w:id="49"/>
    </w:p>
    <w:p w14:paraId="403DF902" w14:textId="77777777" w:rsidR="00C24361" w:rsidRPr="007A2892" w:rsidRDefault="00C24361">
      <w:pPr>
        <w:jc w:val="both"/>
        <w:rPr>
          <w:lang w:val="fr-BE"/>
        </w:rPr>
      </w:pPr>
    </w:p>
    <w:p w14:paraId="5FF5FFDA" w14:textId="2CD89813" w:rsidR="00C24361" w:rsidRPr="007A2892" w:rsidRDefault="00262477">
      <w:pPr>
        <w:jc w:val="both"/>
        <w:rPr>
          <w:lang w:val="fr-BE"/>
        </w:rPr>
      </w:pPr>
      <w:r w:rsidRPr="007A2892">
        <w:rPr>
          <w:lang w:val="fr-BE"/>
        </w:rPr>
        <w:t>Afin de ne pas sous-estimer considérablement le volume d’articles de petite taille (p</w:t>
      </w:r>
      <w:r w:rsidR="00E77615">
        <w:rPr>
          <w:lang w:val="fr-BE"/>
        </w:rPr>
        <w:t>.</w:t>
      </w:r>
      <w:r w:rsidRPr="007A2892">
        <w:rPr>
          <w:lang w:val="fr-BE"/>
        </w:rPr>
        <w:t xml:space="preserve"> ex</w:t>
      </w:r>
      <w:r w:rsidR="00E77615">
        <w:rPr>
          <w:lang w:val="fr-BE"/>
        </w:rPr>
        <w:t>.</w:t>
      </w:r>
      <w:r w:rsidRPr="007A2892">
        <w:rPr>
          <w:lang w:val="fr-BE"/>
        </w:rPr>
        <w:t xml:space="preserve"> les couteaux à plat), 5 cm est</w:t>
      </w:r>
      <w:bookmarkStart w:id="50" w:name="line331"/>
      <w:bookmarkEnd w:id="50"/>
      <w:r w:rsidRPr="007A2892">
        <w:rPr>
          <w:lang w:val="fr-BE"/>
        </w:rPr>
        <w:t xml:space="preserve"> la plus petite valeur qui peut être attribuée. Chaque valeur inférieure à 5 cm est arrondie à 5 cm.</w:t>
      </w:r>
      <w:bookmarkStart w:id="51" w:name="line332"/>
      <w:bookmarkEnd w:id="51"/>
    </w:p>
    <w:p w14:paraId="49D18A12" w14:textId="1D160968" w:rsidR="00C24361" w:rsidRPr="00955EF8" w:rsidRDefault="00262477" w:rsidP="00955EF8">
      <w:pPr>
        <w:spacing w:line="270" w:lineRule="atLeast"/>
        <w:ind w:right="83"/>
        <w:rPr>
          <w:b/>
          <w:lang w:val="fr-BE"/>
        </w:rPr>
      </w:pPr>
      <w:r w:rsidRPr="00955EF8">
        <w:rPr>
          <w:b/>
          <w:lang w:val="fr-BE"/>
        </w:rPr>
        <w:t xml:space="preserve">Détermination des dimensions le long des </w:t>
      </w:r>
      <w:r w:rsidR="00B67CAB" w:rsidRPr="00955EF8">
        <w:rPr>
          <w:b/>
          <w:lang w:val="fr-BE"/>
        </w:rPr>
        <w:t>axes</w:t>
      </w:r>
      <w:r w:rsidRPr="00955EF8">
        <w:rPr>
          <w:b/>
          <w:lang w:val="fr-BE"/>
        </w:rPr>
        <w:t xml:space="preserve"> X, Y et Z</w:t>
      </w:r>
      <w:bookmarkStart w:id="52" w:name="line352"/>
      <w:bookmarkEnd w:id="52"/>
    </w:p>
    <w:p w14:paraId="5B0DA6A3" w14:textId="51B185E5" w:rsidR="00C24361" w:rsidRPr="007A2892" w:rsidRDefault="00262477" w:rsidP="00955EF8">
      <w:pPr>
        <w:spacing w:line="270" w:lineRule="atLeast"/>
        <w:ind w:right="83"/>
        <w:jc w:val="both"/>
        <w:rPr>
          <w:lang w:val="fr-BE"/>
        </w:rPr>
      </w:pPr>
      <w:r w:rsidRPr="007A2892">
        <w:rPr>
          <w:lang w:val="fr-BE"/>
        </w:rPr>
        <w:t>Mesurer et calculer la hauteur (Z) du bien telle que spécifiée dans le workflow ci-dessous.</w:t>
      </w:r>
    </w:p>
    <w:p w14:paraId="014AC138" w14:textId="2268015D" w:rsidR="00C24361" w:rsidRPr="007A2892" w:rsidRDefault="00262477" w:rsidP="00955EF8">
      <w:pPr>
        <w:spacing w:line="270" w:lineRule="atLeast"/>
        <w:ind w:right="83"/>
        <w:jc w:val="both"/>
        <w:rPr>
          <w:lang w:val="fr-BE"/>
        </w:rPr>
      </w:pPr>
      <w:r w:rsidRPr="007A2892">
        <w:rPr>
          <w:lang w:val="fr-BE"/>
        </w:rPr>
        <w:t xml:space="preserve">Mesurer la profondeur (X) et la largeur (Y) parallèle à la surface horizontale, avec la même orientation de l’article que la </w:t>
      </w:r>
      <w:bookmarkStart w:id="53" w:name="line355"/>
      <w:bookmarkEnd w:id="53"/>
      <w:r w:rsidRPr="007A2892">
        <w:rPr>
          <w:lang w:val="fr-BE"/>
        </w:rPr>
        <w:t>hauteur de mesure (Z)</w:t>
      </w:r>
      <w:r w:rsidRPr="007A2892">
        <w:rPr>
          <w:lang w:val="fr-BE"/>
        </w:rPr>
        <w:tab/>
      </w:r>
    </w:p>
    <w:p w14:paraId="2BE32AB5" w14:textId="68BB4A3C" w:rsidR="00C24361" w:rsidRPr="007A2892" w:rsidRDefault="006C7B79" w:rsidP="006C7B79">
      <w:pPr>
        <w:jc w:val="both"/>
        <w:rPr>
          <w:lang w:val="fr-BE"/>
        </w:rPr>
      </w:pPr>
      <w:r w:rsidRPr="007A2892">
        <w:rPr>
          <w:lang w:val="fr-BE"/>
        </w:rPr>
        <w:t xml:space="preserve">Pour les objets dont la partie fonctionnelle (celle obligatoirement en contact avec les denrées alimentaires) se trouve à distance du manche, une valeur égale à 2/3 de la hauteur (en excluant le manche de l’objet) est attribuée à la hauteur totale </w:t>
      </w:r>
      <w:proofErr w:type="spellStart"/>
      <w:r w:rsidRPr="007A2892">
        <w:rPr>
          <w:lang w:val="fr-BE"/>
        </w:rPr>
        <w:t>Hr</w:t>
      </w:r>
      <w:proofErr w:type="spellEnd"/>
      <w:r w:rsidRPr="007A2892">
        <w:rPr>
          <w:lang w:val="fr-BE"/>
        </w:rPr>
        <w:t xml:space="preserve"> (p. ex. écumoire, presse-purée).</w:t>
      </w:r>
    </w:p>
    <w:p w14:paraId="64C44404" w14:textId="3F71C570" w:rsidR="00C24361" w:rsidRPr="007A2892" w:rsidRDefault="00262477">
      <w:pPr>
        <w:pStyle w:val="Paragraphedeliste"/>
        <w:spacing w:line="270" w:lineRule="atLeast"/>
        <w:ind w:left="0" w:right="605"/>
        <w:rPr>
          <w:lang w:val="fr-BE"/>
        </w:rPr>
      </w:pPr>
      <w:r w:rsidRPr="007A2892">
        <w:rPr>
          <w:lang w:val="fr-BE"/>
        </w:rPr>
        <w:t>Workflow pour la mesure et le calcul de la hauteur (Z):</w:t>
      </w:r>
      <w:bookmarkStart w:id="54" w:name="line359"/>
      <w:bookmarkEnd w:id="54"/>
    </w:p>
    <w:p w14:paraId="58724470" w14:textId="77777777" w:rsidR="00C24361" w:rsidRPr="007A2892" w:rsidRDefault="00C24361">
      <w:pPr>
        <w:spacing w:line="270" w:lineRule="atLeast"/>
        <w:ind w:left="570" w:right="605"/>
        <w:jc w:val="both"/>
        <w:rPr>
          <w:rFonts w:ascii="Minion Pro" w:hAnsi="Minion Pro"/>
          <w:color w:val="008080"/>
          <w:lang w:val="fr-BE"/>
        </w:rPr>
      </w:pPr>
    </w:p>
    <w:p w14:paraId="32B8679C" w14:textId="77777777" w:rsidR="00C24361" w:rsidRPr="007A2892" w:rsidRDefault="00262477">
      <w:pPr>
        <w:spacing w:line="270" w:lineRule="atLeast"/>
        <w:ind w:left="570" w:right="605"/>
        <w:jc w:val="both"/>
        <w:rPr>
          <w:rFonts w:ascii="Minion Pro" w:hAnsi="Minion Pro"/>
          <w:color w:val="008080"/>
        </w:rPr>
      </w:pPr>
      <w:r w:rsidRPr="007A2892">
        <w:rPr>
          <w:rFonts w:ascii="Minion Pro" w:hAnsi="Minion Pro"/>
          <w:noProof/>
          <w:color w:val="008080"/>
        </w:rPr>
        <w:lastRenderedPageBreak/>
        <w:drawing>
          <wp:inline distT="0" distB="0" distL="0" distR="0" wp14:anchorId="79E8045B" wp14:editId="54FBFD7C">
            <wp:extent cx="5305425" cy="3409950"/>
            <wp:effectExtent l="0" t="0" r="0" b="0"/>
            <wp:docPr id="5" name="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graphi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3409950"/>
                    </a:xfrm>
                    <a:prstGeom prst="rect">
                      <a:avLst/>
                    </a:prstGeom>
                    <a:noFill/>
                    <a:ln>
                      <a:noFill/>
                    </a:ln>
                  </pic:spPr>
                </pic:pic>
              </a:graphicData>
            </a:graphic>
          </wp:inline>
        </w:drawing>
      </w:r>
    </w:p>
    <w:p w14:paraId="676BAD3A" w14:textId="77777777" w:rsidR="00C24361" w:rsidRPr="007A2892" w:rsidRDefault="00C24361">
      <w:pPr>
        <w:spacing w:line="270" w:lineRule="atLeast"/>
        <w:ind w:left="570" w:right="605"/>
        <w:jc w:val="both"/>
        <w:rPr>
          <w:rFonts w:ascii="Minion Pro" w:hAnsi="Minion Pro"/>
          <w:color w:val="008080"/>
        </w:rPr>
      </w:pPr>
    </w:p>
    <w:p w14:paraId="28E176F1" w14:textId="77777777" w:rsidR="00C24361" w:rsidRPr="007A2892" w:rsidRDefault="00C24361">
      <w:pPr>
        <w:jc w:val="both"/>
      </w:pPr>
    </w:p>
    <w:p w14:paraId="6C9CD277" w14:textId="77777777" w:rsidR="00C24361" w:rsidRPr="007A2892" w:rsidRDefault="00262477">
      <w:pPr>
        <w:jc w:val="both"/>
      </w:pPr>
      <w:r w:rsidRPr="007A2892">
        <w:tab/>
      </w:r>
      <w:r w:rsidRPr="007A2892">
        <w:rPr>
          <w:noProof/>
        </w:rPr>
        <w:drawing>
          <wp:inline distT="0" distB="0" distL="0" distR="0" wp14:anchorId="62386393" wp14:editId="2850DCF7">
            <wp:extent cx="5029200" cy="2628900"/>
            <wp:effectExtent l="0" t="0" r="0" b="0"/>
            <wp:docPr id="6" name="Fig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graphi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2628900"/>
                    </a:xfrm>
                    <a:prstGeom prst="rect">
                      <a:avLst/>
                    </a:prstGeom>
                    <a:noFill/>
                    <a:ln>
                      <a:noFill/>
                    </a:ln>
                  </pic:spPr>
                </pic:pic>
              </a:graphicData>
            </a:graphic>
          </wp:inline>
        </w:drawing>
      </w:r>
    </w:p>
    <w:p w14:paraId="5743140B" w14:textId="77777777" w:rsidR="00C24361" w:rsidRPr="007A2892" w:rsidRDefault="00C24361">
      <w:pPr>
        <w:jc w:val="both"/>
      </w:pPr>
    </w:p>
    <w:p w14:paraId="4364CABB" w14:textId="2F8A3EA6" w:rsidR="00C24361" w:rsidRPr="007A2892" w:rsidRDefault="00262477">
      <w:pPr>
        <w:jc w:val="both"/>
        <w:rPr>
          <w:b/>
          <w:sz w:val="28"/>
          <w:szCs w:val="28"/>
        </w:rPr>
      </w:pPr>
      <w:r w:rsidRPr="007A2892">
        <w:br/>
      </w:r>
      <w:r w:rsidRPr="007A2892">
        <w:tab/>
      </w:r>
    </w:p>
    <w:p w14:paraId="107F5BD7" w14:textId="77777777" w:rsidR="00C24361" w:rsidRPr="007A2892" w:rsidRDefault="00262477">
      <w:pPr>
        <w:jc w:val="both"/>
      </w:pPr>
      <w:r w:rsidRPr="007A2892">
        <w:lastRenderedPageBreak/>
        <w:tab/>
      </w:r>
      <w:r w:rsidRPr="007A2892">
        <w:rPr>
          <w:noProof/>
        </w:rPr>
        <w:drawing>
          <wp:inline distT="0" distB="0" distL="0" distR="0" wp14:anchorId="4139AC0C" wp14:editId="01C8AEF1">
            <wp:extent cx="5601954" cy="3984803"/>
            <wp:effectExtent l="0" t="0" r="0" b="0"/>
            <wp:docPr id="7" name="Fig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graphi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3565" cy="3993062"/>
                    </a:xfrm>
                    <a:prstGeom prst="rect">
                      <a:avLst/>
                    </a:prstGeom>
                    <a:noFill/>
                    <a:ln>
                      <a:noFill/>
                    </a:ln>
                  </pic:spPr>
                </pic:pic>
              </a:graphicData>
            </a:graphic>
          </wp:inline>
        </w:drawing>
      </w:r>
      <w:r w:rsidRPr="007A2892">
        <w:rPr>
          <w:noProof/>
        </w:rPr>
        <w:drawing>
          <wp:inline distT="0" distB="0" distL="0" distR="0" wp14:anchorId="3B93A196" wp14:editId="08FF09B1">
            <wp:extent cx="5591876" cy="3549548"/>
            <wp:effectExtent l="0" t="0" r="0" b="0"/>
            <wp:docPr id="8" name="Fig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graphi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4530" cy="3557580"/>
                    </a:xfrm>
                    <a:prstGeom prst="rect">
                      <a:avLst/>
                    </a:prstGeom>
                    <a:noFill/>
                    <a:ln>
                      <a:noFill/>
                    </a:ln>
                  </pic:spPr>
                </pic:pic>
              </a:graphicData>
            </a:graphic>
          </wp:inline>
        </w:drawing>
      </w:r>
    </w:p>
    <w:p w14:paraId="75570BB5" w14:textId="77777777" w:rsidR="00C24361" w:rsidRPr="007A2892" w:rsidRDefault="00C24361">
      <w:pPr>
        <w:jc w:val="both"/>
      </w:pPr>
    </w:p>
    <w:p w14:paraId="652466D0" w14:textId="31B2924C" w:rsidR="00C24361" w:rsidRPr="007A2892" w:rsidRDefault="006C7B79">
      <w:pPr>
        <w:jc w:val="both"/>
        <w:rPr>
          <w:lang w:val="fr-BE"/>
        </w:rPr>
      </w:pPr>
      <w:r w:rsidRPr="007A2892">
        <w:rPr>
          <w:rFonts w:cs="Minion Pro"/>
          <w:color w:val="000000"/>
          <w:lang w:val="fr-BE"/>
        </w:rPr>
        <w:t>Une fois le parallélépipède construit, calculer le volume enveloppe comme suit :</w:t>
      </w:r>
    </w:p>
    <w:p w14:paraId="40891606" w14:textId="1ACF0EDB" w:rsidR="00C24361" w:rsidRPr="007A2892" w:rsidRDefault="006C7B79">
      <w:pPr>
        <w:jc w:val="center"/>
        <w:rPr>
          <w:i/>
          <w:lang w:val="fr-BE"/>
        </w:rPr>
      </w:pPr>
      <w:r w:rsidRPr="007A2892">
        <w:rPr>
          <w:i/>
          <w:lang w:val="fr-BE"/>
        </w:rPr>
        <w:t>Volume e</w:t>
      </w:r>
      <w:r w:rsidR="00262477" w:rsidRPr="007A2892">
        <w:rPr>
          <w:i/>
          <w:lang w:val="fr-BE"/>
        </w:rPr>
        <w:t xml:space="preserve">nveloppe = </w:t>
      </w:r>
      <w:r w:rsidR="00E77615">
        <w:rPr>
          <w:i/>
          <w:lang w:val="fr-BE"/>
        </w:rPr>
        <w:t>X</w:t>
      </w:r>
      <w:r w:rsidR="00262477" w:rsidRPr="007A2892">
        <w:rPr>
          <w:i/>
          <w:lang w:val="fr-BE"/>
        </w:rPr>
        <w:t xml:space="preserve"> × Y × Z (cm³)</w:t>
      </w:r>
    </w:p>
    <w:p w14:paraId="26AD65BA" w14:textId="7C1D3608" w:rsidR="00C24361" w:rsidRPr="007A2892" w:rsidRDefault="00C24361">
      <w:pPr>
        <w:ind w:left="451" w:right="-20"/>
        <w:jc w:val="both"/>
        <w:rPr>
          <w:rFonts w:cstheme="minorHAnsi"/>
          <w:b/>
          <w:bCs/>
          <w:spacing w:val="1"/>
          <w:lang w:val="fr-BE"/>
        </w:rPr>
      </w:pPr>
    </w:p>
    <w:p w14:paraId="00F31170" w14:textId="25EA4031" w:rsidR="00C24361" w:rsidRPr="007A2892" w:rsidRDefault="00262477" w:rsidP="00955EF8">
      <w:pPr>
        <w:ind w:right="-20"/>
        <w:jc w:val="both"/>
        <w:rPr>
          <w:rFonts w:cstheme="minorHAnsi"/>
          <w:lang w:val="fr-BE"/>
        </w:rPr>
      </w:pPr>
      <w:r w:rsidRPr="007A2892">
        <w:rPr>
          <w:rFonts w:cstheme="minorHAnsi"/>
          <w:b/>
          <w:bCs/>
          <w:spacing w:val="1"/>
          <w:lang w:val="fr-BE"/>
        </w:rPr>
        <w:t>Dérogation au processus mentionné ci-dessus</w:t>
      </w:r>
      <w:bookmarkStart w:id="55" w:name="line364"/>
      <w:bookmarkEnd w:id="55"/>
    </w:p>
    <w:p w14:paraId="293C5F1A" w14:textId="502235C6" w:rsidR="006C7B79" w:rsidRPr="007A2892" w:rsidRDefault="006C7B79" w:rsidP="00955EF8">
      <w:pPr>
        <w:ind w:right="-20"/>
        <w:jc w:val="both"/>
        <w:rPr>
          <w:rFonts w:ascii="Calibri" w:hAnsi="Calibri"/>
          <w:lang w:val="fr-BE"/>
        </w:rPr>
      </w:pPr>
      <w:r w:rsidRPr="007A2892">
        <w:rPr>
          <w:rFonts w:ascii="Calibri" w:hAnsi="Calibri"/>
          <w:lang w:val="fr-BE"/>
        </w:rPr>
        <w:t>Les articles qui ne peuvent pas être remplis peuvent avoir une forme ou être utilisés de telle manière qu'il est inapproprié d'appliquer ledit processus de calcul.</w:t>
      </w:r>
    </w:p>
    <w:p w14:paraId="35A90190" w14:textId="77777777" w:rsidR="00C24361" w:rsidRPr="007A2892" w:rsidRDefault="00262477" w:rsidP="00955EF8">
      <w:pPr>
        <w:ind w:right="-20"/>
        <w:jc w:val="both"/>
        <w:rPr>
          <w:spacing w:val="1"/>
          <w:lang w:val="fr-BE"/>
        </w:rPr>
      </w:pPr>
      <w:r w:rsidRPr="007A2892">
        <w:rPr>
          <w:spacing w:val="1"/>
          <w:lang w:val="fr-BE"/>
        </w:rPr>
        <w:t>Des exemples sont présentés ici.</w:t>
      </w:r>
    </w:p>
    <w:p w14:paraId="2FADCBFA" w14:textId="77777777" w:rsidR="00C24361" w:rsidRPr="007A2892" w:rsidRDefault="00C24361">
      <w:pPr>
        <w:ind w:left="451" w:right="-20"/>
        <w:jc w:val="both"/>
        <w:rPr>
          <w:rFonts w:ascii="Myriad Pro" w:hAnsi="Myriad Pro"/>
          <w:spacing w:val="1"/>
          <w:lang w:val="fr-BE"/>
        </w:rPr>
      </w:pPr>
    </w:p>
    <w:p w14:paraId="3977076B" w14:textId="77777777" w:rsidR="00C24361" w:rsidRPr="007A2892" w:rsidRDefault="00262477">
      <w:pPr>
        <w:ind w:left="451" w:right="-20"/>
        <w:jc w:val="both"/>
        <w:rPr>
          <w:rFonts w:ascii="Calibri" w:hAnsi="Calibri"/>
        </w:rPr>
      </w:pPr>
      <w:r w:rsidRPr="007A2892">
        <w:rPr>
          <w:rFonts w:ascii="Calibri" w:hAnsi="Calibri"/>
          <w:noProof/>
        </w:rPr>
        <w:drawing>
          <wp:inline distT="0" distB="0" distL="0" distR="0" wp14:anchorId="18502583" wp14:editId="55BBD008">
            <wp:extent cx="4286250" cy="1600200"/>
            <wp:effectExtent l="0" t="0" r="0" b="0"/>
            <wp:docPr id="9" name="Fig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graphi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1600200"/>
                    </a:xfrm>
                    <a:prstGeom prst="rect">
                      <a:avLst/>
                    </a:prstGeom>
                    <a:noFill/>
                    <a:ln>
                      <a:noFill/>
                    </a:ln>
                  </pic:spPr>
                </pic:pic>
              </a:graphicData>
            </a:graphic>
          </wp:inline>
        </w:drawing>
      </w:r>
    </w:p>
    <w:p w14:paraId="2664664B" w14:textId="77777777" w:rsidR="00C24361" w:rsidRPr="007A2892" w:rsidRDefault="00C24361">
      <w:pPr>
        <w:ind w:left="451" w:right="-20"/>
        <w:jc w:val="both"/>
        <w:rPr>
          <w:rFonts w:ascii="Calibri" w:hAnsi="Calibri"/>
        </w:rPr>
      </w:pPr>
    </w:p>
    <w:p w14:paraId="74B51D97" w14:textId="77777777" w:rsidR="00C24361" w:rsidRPr="007A2892" w:rsidRDefault="00262477" w:rsidP="00955EF8">
      <w:pPr>
        <w:ind w:right="-20"/>
        <w:jc w:val="both"/>
        <w:rPr>
          <w:spacing w:val="1"/>
          <w:lang w:val="fr-BE"/>
        </w:rPr>
      </w:pPr>
      <w:r w:rsidRPr="007A2892">
        <w:rPr>
          <w:spacing w:val="1"/>
          <w:lang w:val="fr-BE"/>
        </w:rPr>
        <w:t>Dans de tels cas, un ajustement approprié du calcul est nécessaire. Cela devrait être mentionné dans le rapport, ainsi qu’une justification de l’écart.</w:t>
      </w:r>
    </w:p>
    <w:p w14:paraId="1EF8870B" w14:textId="77777777" w:rsidR="00C24361" w:rsidRPr="007A2892" w:rsidRDefault="00C24361">
      <w:pPr>
        <w:jc w:val="both"/>
        <w:rPr>
          <w:lang w:val="fr-BE"/>
        </w:rPr>
      </w:pPr>
    </w:p>
    <w:p w14:paraId="3F61655F" w14:textId="77777777" w:rsidR="00C24361" w:rsidRPr="007A2892" w:rsidRDefault="00262477">
      <w:pPr>
        <w:pStyle w:val="Titre4"/>
        <w:numPr>
          <w:ilvl w:val="3"/>
          <w:numId w:val="6"/>
        </w:numPr>
        <w:jc w:val="both"/>
        <w:rPr>
          <w:lang w:val="fr-BE"/>
        </w:rPr>
      </w:pPr>
      <w:bookmarkStart w:id="56" w:name="_Toc27475434"/>
      <w:bookmarkStart w:id="57" w:name="_Toc66377270"/>
      <w:r w:rsidRPr="007A2892">
        <w:rPr>
          <w:lang w:val="fr-BE"/>
        </w:rPr>
        <w:t>Détermination du poids de référence (RW)</w:t>
      </w:r>
      <w:bookmarkEnd w:id="56"/>
      <w:bookmarkEnd w:id="57"/>
    </w:p>
    <w:p w14:paraId="167AC614" w14:textId="77777777" w:rsidR="00C24361" w:rsidRPr="007A2892" w:rsidRDefault="00C24361">
      <w:pPr>
        <w:jc w:val="both"/>
        <w:rPr>
          <w:lang w:val="fr-BE"/>
        </w:rPr>
      </w:pPr>
    </w:p>
    <w:p w14:paraId="350E0F56" w14:textId="5C05FA56" w:rsidR="00C24361" w:rsidRPr="007A2892" w:rsidRDefault="00262477">
      <w:pPr>
        <w:jc w:val="both"/>
        <w:rPr>
          <w:lang w:val="fr-BE"/>
        </w:rPr>
      </w:pPr>
      <w:r w:rsidRPr="007A2892">
        <w:rPr>
          <w:lang w:val="fr-BE"/>
        </w:rPr>
        <w:t>Détermine</w:t>
      </w:r>
      <w:r w:rsidR="00C13A4E" w:rsidRPr="007A2892">
        <w:rPr>
          <w:lang w:val="fr-BE"/>
        </w:rPr>
        <w:t>z</w:t>
      </w:r>
      <w:r w:rsidRPr="007A2892">
        <w:rPr>
          <w:lang w:val="fr-BE"/>
        </w:rPr>
        <w:t xml:space="preserve"> le poids de référence par rapport au volume de l’enveloppe selon la formule suivante:</w:t>
      </w:r>
    </w:p>
    <w:p w14:paraId="4CE17C65" w14:textId="4904F1B7" w:rsidR="00C24361" w:rsidRPr="00C715BE" w:rsidRDefault="00262477" w:rsidP="00955EF8">
      <w:pPr>
        <w:jc w:val="center"/>
        <w:rPr>
          <w:i/>
          <w:lang w:val="fr-BE"/>
        </w:rPr>
      </w:pPr>
      <w:r w:rsidRPr="007A2892">
        <w:rPr>
          <w:i/>
          <w:lang w:val="fr-BE"/>
        </w:rPr>
        <w:t>RW (kg) = volume de l’enveloppe (cm³)/1000</w:t>
      </w:r>
    </w:p>
    <w:p w14:paraId="61CE29EA" w14:textId="5ED63579" w:rsidR="00C24361" w:rsidRPr="00955EF8" w:rsidRDefault="00262477" w:rsidP="00955EF8">
      <w:pPr>
        <w:rPr>
          <w:lang w:val="fr-BE"/>
        </w:rPr>
      </w:pPr>
      <w:r w:rsidRPr="00955EF8">
        <w:rPr>
          <w:lang w:val="fr-BE"/>
        </w:rPr>
        <w:t>Exemples:</w:t>
      </w:r>
    </w:p>
    <w:p w14:paraId="323A5E0D" w14:textId="570E966E" w:rsidR="00C24361" w:rsidRPr="00955EF8" w:rsidRDefault="00155D44">
      <w:pPr>
        <w:pStyle w:val="Paragraphedeliste"/>
        <w:numPr>
          <w:ilvl w:val="0"/>
          <w:numId w:val="20"/>
        </w:numPr>
        <w:rPr>
          <w:rFonts w:asciiTheme="minorHAnsi" w:eastAsiaTheme="minorHAnsi" w:hAnsiTheme="minorHAnsi" w:cstheme="minorBidi"/>
          <w:sz w:val="22"/>
          <w:szCs w:val="22"/>
          <w:lang w:val="fr-BE" w:eastAsia="en-US"/>
        </w:rPr>
      </w:pPr>
      <w:r w:rsidRPr="00955EF8">
        <w:rPr>
          <w:rFonts w:asciiTheme="minorHAnsi" w:eastAsiaTheme="minorHAnsi" w:hAnsiTheme="minorHAnsi" w:cstheme="minorBidi"/>
          <w:sz w:val="22"/>
          <w:szCs w:val="22"/>
          <w:lang w:val="fr-BE" w:eastAsia="en-US"/>
        </w:rPr>
        <w:t>Presse</w:t>
      </w:r>
      <w:r w:rsidR="005A469A" w:rsidRPr="00955EF8">
        <w:rPr>
          <w:rFonts w:asciiTheme="minorHAnsi" w:eastAsiaTheme="minorHAnsi" w:hAnsiTheme="minorHAnsi" w:cstheme="minorBidi"/>
          <w:sz w:val="22"/>
          <w:szCs w:val="22"/>
          <w:lang w:val="fr-BE" w:eastAsia="en-US"/>
        </w:rPr>
        <w:t>-</w:t>
      </w:r>
      <w:r w:rsidRPr="00955EF8">
        <w:rPr>
          <w:rFonts w:asciiTheme="minorHAnsi" w:eastAsiaTheme="minorHAnsi" w:hAnsiTheme="minorHAnsi" w:cstheme="minorBidi"/>
          <w:sz w:val="22"/>
          <w:szCs w:val="22"/>
          <w:lang w:val="fr-BE" w:eastAsia="en-US"/>
        </w:rPr>
        <w:t xml:space="preserve">purée </w:t>
      </w:r>
      <w:r w:rsidR="00262477" w:rsidRPr="00955EF8">
        <w:rPr>
          <w:rFonts w:asciiTheme="minorHAnsi" w:eastAsiaTheme="minorHAnsi" w:hAnsiTheme="minorHAnsi" w:cstheme="minorBidi"/>
          <w:sz w:val="22"/>
          <w:szCs w:val="22"/>
          <w:lang w:val="fr-BE" w:eastAsia="en-US"/>
        </w:rPr>
        <w:t>: 10,5 cm x 7 cm x 9,5 cm × cm = 698 cm³ — &gt; masse de référence = 0,698 kg</w:t>
      </w:r>
    </w:p>
    <w:p w14:paraId="4A6916F8" w14:textId="7FB9B41E" w:rsidR="00C24361" w:rsidRPr="00955EF8" w:rsidRDefault="005A469A">
      <w:pPr>
        <w:pStyle w:val="Paragraphedeliste"/>
        <w:numPr>
          <w:ilvl w:val="0"/>
          <w:numId w:val="20"/>
        </w:numPr>
        <w:rPr>
          <w:rFonts w:asciiTheme="minorHAnsi" w:eastAsiaTheme="minorHAnsi" w:hAnsiTheme="minorHAnsi" w:cstheme="minorBidi"/>
          <w:sz w:val="22"/>
          <w:szCs w:val="22"/>
          <w:lang w:val="fr-BE" w:eastAsia="en-US"/>
        </w:rPr>
      </w:pPr>
      <w:r w:rsidRPr="00955EF8">
        <w:rPr>
          <w:rFonts w:asciiTheme="minorHAnsi" w:eastAsiaTheme="minorHAnsi" w:hAnsiTheme="minorHAnsi" w:cstheme="minorBidi"/>
          <w:sz w:val="22"/>
          <w:szCs w:val="22"/>
          <w:lang w:val="fr-BE" w:eastAsia="en-US"/>
        </w:rPr>
        <w:t xml:space="preserve">Ecumoire </w:t>
      </w:r>
      <w:r w:rsidR="00262477" w:rsidRPr="00955EF8">
        <w:rPr>
          <w:rFonts w:asciiTheme="minorHAnsi" w:eastAsiaTheme="minorHAnsi" w:hAnsiTheme="minorHAnsi" w:cstheme="minorBidi"/>
          <w:sz w:val="22"/>
          <w:szCs w:val="22"/>
          <w:lang w:val="fr-BE" w:eastAsia="en-US"/>
        </w:rPr>
        <w:t>: 5 cm x 12 cm x 16 cm x cm = 960 — &gt; masse de référence = 0,96 kg</w:t>
      </w:r>
    </w:p>
    <w:p w14:paraId="3CA2F9D7" w14:textId="0891D7D6" w:rsidR="00C24361" w:rsidRPr="00955EF8" w:rsidRDefault="00262477">
      <w:pPr>
        <w:pStyle w:val="Paragraphedeliste"/>
        <w:numPr>
          <w:ilvl w:val="0"/>
          <w:numId w:val="20"/>
        </w:numPr>
        <w:rPr>
          <w:rFonts w:asciiTheme="minorHAnsi" w:eastAsiaTheme="minorHAnsi" w:hAnsiTheme="minorHAnsi" w:cstheme="minorBidi"/>
          <w:sz w:val="22"/>
          <w:szCs w:val="22"/>
          <w:lang w:val="fr-BE" w:eastAsia="en-US"/>
        </w:rPr>
      </w:pPr>
      <w:r w:rsidRPr="00955EF8">
        <w:rPr>
          <w:rFonts w:asciiTheme="minorHAnsi" w:eastAsiaTheme="minorHAnsi" w:hAnsiTheme="minorHAnsi" w:cstheme="minorBidi"/>
          <w:sz w:val="22"/>
          <w:szCs w:val="22"/>
          <w:lang w:val="fr-BE" w:eastAsia="en-US"/>
        </w:rPr>
        <w:t>Crème glacée de petite taille: 5 cm x 5 cm x 12 cm x cm = 300 — &gt; masse de référence = 0,3 kg</w:t>
      </w:r>
    </w:p>
    <w:p w14:paraId="53578D76" w14:textId="123FD65E" w:rsidR="00C24361" w:rsidRPr="007A2892" w:rsidRDefault="00C24361">
      <w:pPr>
        <w:jc w:val="both"/>
        <w:rPr>
          <w:lang w:val="fr-BE"/>
        </w:rPr>
      </w:pPr>
    </w:p>
    <w:p w14:paraId="360F842E" w14:textId="77777777" w:rsidR="005A469A" w:rsidRPr="007A2892" w:rsidRDefault="005A469A">
      <w:pPr>
        <w:jc w:val="both"/>
        <w:rPr>
          <w:lang w:val="fr-BE"/>
        </w:rPr>
      </w:pPr>
    </w:p>
    <w:p w14:paraId="60DAD855" w14:textId="64D2835B" w:rsidR="00C24361" w:rsidRPr="007A2892" w:rsidRDefault="00262477">
      <w:pPr>
        <w:pStyle w:val="Titre4"/>
        <w:numPr>
          <w:ilvl w:val="3"/>
          <w:numId w:val="6"/>
        </w:numPr>
        <w:jc w:val="both"/>
        <w:rPr>
          <w:lang w:val="fr-BE"/>
        </w:rPr>
      </w:pPr>
      <w:bookmarkStart w:id="58" w:name="_Toc27475435"/>
      <w:bookmarkStart w:id="59" w:name="_Toc66377271"/>
      <w:r w:rsidRPr="007A2892">
        <w:rPr>
          <w:lang w:val="fr-BE"/>
        </w:rPr>
        <w:lastRenderedPageBreak/>
        <w:t>Détermination de la libération d’un élément spécifique</w:t>
      </w:r>
      <w:bookmarkEnd w:id="58"/>
      <w:bookmarkEnd w:id="59"/>
    </w:p>
    <w:p w14:paraId="46AA275F" w14:textId="77777777" w:rsidR="00C24361" w:rsidRPr="007A2892" w:rsidRDefault="00C24361">
      <w:pPr>
        <w:jc w:val="both"/>
        <w:rPr>
          <w:lang w:val="fr-BE"/>
        </w:rPr>
      </w:pPr>
    </w:p>
    <w:p w14:paraId="7B788B36" w14:textId="77777777" w:rsidR="008A75A9" w:rsidRPr="007A2892" w:rsidRDefault="008A75A9" w:rsidP="008A75A9">
      <w:pPr>
        <w:jc w:val="both"/>
        <w:rPr>
          <w:lang w:val="fr-BE"/>
        </w:rPr>
      </w:pPr>
      <w:r w:rsidRPr="007A2892">
        <w:rPr>
          <w:lang w:val="fr-BE"/>
        </w:rPr>
        <w:t>Immerger</w:t>
      </w:r>
      <w:r w:rsidR="00262477" w:rsidRPr="007A2892">
        <w:rPr>
          <w:lang w:val="fr-BE"/>
        </w:rPr>
        <w:t xml:space="preserve"> l’article dans un volume </w:t>
      </w:r>
      <w:r w:rsidRPr="007A2892">
        <w:rPr>
          <w:lang w:val="fr-BE"/>
        </w:rPr>
        <w:t>donné</w:t>
      </w:r>
      <w:r w:rsidR="00262477" w:rsidRPr="007A2892">
        <w:rPr>
          <w:lang w:val="fr-BE"/>
        </w:rPr>
        <w:t xml:space="preserve"> du simulant à la température correcte et à la durée recommandée. </w:t>
      </w:r>
      <w:r w:rsidRPr="007A2892">
        <w:rPr>
          <w:lang w:val="fr-BE"/>
        </w:rPr>
        <w:t>Ce volume n’est pas nécessairement le même que le volume enveloppe.</w:t>
      </w:r>
    </w:p>
    <w:p w14:paraId="11BA57E8" w14:textId="02C04F8A" w:rsidR="00C24361" w:rsidRPr="007A2892" w:rsidRDefault="008A75A9" w:rsidP="008A75A9">
      <w:pPr>
        <w:jc w:val="both"/>
        <w:rPr>
          <w:lang w:val="fr-BE"/>
        </w:rPr>
      </w:pPr>
      <w:r w:rsidRPr="007A2892">
        <w:rPr>
          <w:lang w:val="fr-BE"/>
        </w:rPr>
        <w:t xml:space="preserve">Il peut être plus grand (en fonction des tailles de récipients en verre disponibles) ou plus petit (afin d’obtenir une concentration maximale et par conséquent réduire la limite pratique de détection) pour des raisons liées aux pratiques de laboratoire. </w:t>
      </w:r>
      <w:r w:rsidR="00262477" w:rsidRPr="007A2892">
        <w:rPr>
          <w:lang w:val="fr-BE"/>
        </w:rPr>
        <w:t xml:space="preserve">Le simulant doit couvrir la surface de l’article </w:t>
      </w:r>
      <w:r w:rsidR="00C715BE">
        <w:rPr>
          <w:lang w:val="fr-BE"/>
        </w:rPr>
        <w:t>jusqu’au</w:t>
      </w:r>
      <w:r w:rsidR="00262477" w:rsidRPr="007A2892">
        <w:rPr>
          <w:lang w:val="fr-BE"/>
        </w:rPr>
        <w:t xml:space="preserve"> Z</w:t>
      </w:r>
      <w:r w:rsidR="00C715BE">
        <w:rPr>
          <w:lang w:val="fr-BE"/>
        </w:rPr>
        <w:t xml:space="preserve"> calculé</w:t>
      </w:r>
      <w:r w:rsidR="00262477" w:rsidRPr="007A2892">
        <w:rPr>
          <w:lang w:val="fr-BE"/>
        </w:rPr>
        <w:t>.</w:t>
      </w:r>
    </w:p>
    <w:p w14:paraId="0F0A18A3" w14:textId="73532DEE" w:rsidR="00262314" w:rsidRPr="007A2892" w:rsidRDefault="008A75A9" w:rsidP="008A75A9">
      <w:pPr>
        <w:jc w:val="both"/>
        <w:rPr>
          <w:lang w:val="fr-BE"/>
        </w:rPr>
      </w:pPr>
      <w:r w:rsidRPr="007A2892">
        <w:rPr>
          <w:lang w:val="fr-BE"/>
        </w:rPr>
        <w:t xml:space="preserve">Une fois l’élément libéré et sa concentration dans le simulant mesurée, </w:t>
      </w:r>
      <w:r w:rsidR="00037C87" w:rsidRPr="00037C87">
        <w:rPr>
          <w:lang w:val="fr-BE"/>
        </w:rPr>
        <w:t>la libération de l'élément spécifique est calculée.</w:t>
      </w:r>
    </w:p>
    <w:p w14:paraId="6B936659" w14:textId="54CB3399" w:rsidR="00C24361" w:rsidRPr="007A2892" w:rsidRDefault="00262477" w:rsidP="00955EF8">
      <w:pPr>
        <w:jc w:val="center"/>
        <w:rPr>
          <w:i/>
          <w:lang w:val="nl-BE"/>
        </w:rPr>
      </w:pPr>
      <w:r w:rsidRPr="007A2892">
        <w:rPr>
          <w:i/>
          <w:lang w:val="nl-BE"/>
        </w:rPr>
        <w:t>M (mg) = volume (L) * C (mg/l)</w:t>
      </w:r>
    </w:p>
    <w:p w14:paraId="71D641FF" w14:textId="044B92FF" w:rsidR="00C24361" w:rsidRPr="007A2892" w:rsidRDefault="00262477">
      <w:pPr>
        <w:spacing w:after="0"/>
        <w:jc w:val="both"/>
        <w:rPr>
          <w:lang w:val="fr-BE"/>
        </w:rPr>
      </w:pPr>
      <w:r w:rsidRPr="007A2892">
        <w:rPr>
          <w:lang w:val="fr-BE"/>
        </w:rPr>
        <w:t xml:space="preserve">M (mg) = </w:t>
      </w:r>
      <w:r w:rsidR="008A75A9" w:rsidRPr="007A2892">
        <w:rPr>
          <w:lang w:val="fr-BE"/>
        </w:rPr>
        <w:t>Masse libérée</w:t>
      </w:r>
    </w:p>
    <w:p w14:paraId="3DD360DC" w14:textId="76907D40" w:rsidR="00C24361" w:rsidRPr="007A2892" w:rsidRDefault="00262477">
      <w:pPr>
        <w:spacing w:after="0"/>
        <w:jc w:val="both"/>
        <w:rPr>
          <w:lang w:val="fr-BE"/>
        </w:rPr>
      </w:pPr>
      <w:r w:rsidRPr="007A2892">
        <w:rPr>
          <w:lang w:val="fr-BE"/>
        </w:rPr>
        <w:t xml:space="preserve">Volume (L): </w:t>
      </w:r>
      <w:r w:rsidR="008A75A9" w:rsidRPr="007A2892">
        <w:rPr>
          <w:lang w:val="fr-BE"/>
        </w:rPr>
        <w:t>volume du</w:t>
      </w:r>
      <w:r w:rsidRPr="007A2892">
        <w:rPr>
          <w:lang w:val="fr-BE"/>
        </w:rPr>
        <w:t xml:space="preserve"> simulant utilisé</w:t>
      </w:r>
    </w:p>
    <w:p w14:paraId="02B95FD9" w14:textId="2F30367A" w:rsidR="00C24361" w:rsidRPr="007A2892" w:rsidRDefault="00262477">
      <w:pPr>
        <w:spacing w:after="0"/>
        <w:jc w:val="both"/>
        <w:rPr>
          <w:lang w:val="fr-BE"/>
        </w:rPr>
      </w:pPr>
      <w:r w:rsidRPr="007A2892">
        <w:rPr>
          <w:lang w:val="fr-BE"/>
        </w:rPr>
        <w:t>C (mg/l): Concentration de l’élément à examiner dans le simulant</w:t>
      </w:r>
    </w:p>
    <w:p w14:paraId="67A6B751" w14:textId="77777777" w:rsidR="00B45499" w:rsidRPr="007A2892" w:rsidRDefault="00B45499">
      <w:pPr>
        <w:spacing w:after="0"/>
        <w:jc w:val="both"/>
        <w:rPr>
          <w:lang w:val="fr-BE"/>
        </w:rPr>
      </w:pPr>
    </w:p>
    <w:p w14:paraId="1C9EC80C" w14:textId="77777777" w:rsidR="00C24361" w:rsidRPr="007A2892" w:rsidRDefault="00C24361">
      <w:pPr>
        <w:jc w:val="both"/>
        <w:rPr>
          <w:lang w:val="fr-BE"/>
        </w:rPr>
      </w:pPr>
    </w:p>
    <w:p w14:paraId="126D4164" w14:textId="39E73C4B" w:rsidR="00C24361" w:rsidRPr="007A2892" w:rsidRDefault="00262477">
      <w:pPr>
        <w:pStyle w:val="Titre4"/>
        <w:numPr>
          <w:ilvl w:val="3"/>
          <w:numId w:val="6"/>
        </w:numPr>
        <w:jc w:val="both"/>
        <w:rPr>
          <w:lang w:val="fr-BE"/>
        </w:rPr>
      </w:pPr>
      <w:bookmarkStart w:id="60" w:name="_Toc27475436"/>
      <w:bookmarkStart w:id="61" w:name="_Toc66377272"/>
      <w:r w:rsidRPr="007A2892">
        <w:rPr>
          <w:lang w:val="fr-BE"/>
        </w:rPr>
        <w:t xml:space="preserve">Détermination de la </w:t>
      </w:r>
      <w:bookmarkEnd w:id="60"/>
      <w:r w:rsidR="00447106" w:rsidRPr="007A2892">
        <w:rPr>
          <w:lang w:val="fr-BE"/>
        </w:rPr>
        <w:t>libération</w:t>
      </w:r>
      <w:r w:rsidRPr="007A2892">
        <w:rPr>
          <w:lang w:val="fr-BE"/>
        </w:rPr>
        <w:t xml:space="preserve"> spécifique</w:t>
      </w:r>
      <w:bookmarkEnd w:id="61"/>
    </w:p>
    <w:p w14:paraId="04725952" w14:textId="77777777" w:rsidR="00C24361" w:rsidRPr="007A2892" w:rsidRDefault="00C24361">
      <w:pPr>
        <w:jc w:val="both"/>
        <w:rPr>
          <w:lang w:val="fr-BE"/>
        </w:rPr>
      </w:pPr>
    </w:p>
    <w:p w14:paraId="31D956E9" w14:textId="3A404DA7" w:rsidR="00C24361" w:rsidRPr="007A2892" w:rsidRDefault="008A75A9" w:rsidP="00955EF8">
      <w:pPr>
        <w:jc w:val="center"/>
        <w:rPr>
          <w:i/>
          <w:lang w:val="fr-BE"/>
        </w:rPr>
      </w:pPr>
      <w:r w:rsidRPr="007A2892">
        <w:rPr>
          <w:i/>
          <w:lang w:val="fr-BE"/>
        </w:rPr>
        <w:t>LS</w:t>
      </w:r>
      <w:r w:rsidR="00262477" w:rsidRPr="007A2892">
        <w:rPr>
          <w:i/>
          <w:lang w:val="fr-BE"/>
        </w:rPr>
        <w:t xml:space="preserve"> = M/RW (libération/poids de référence)</w:t>
      </w:r>
    </w:p>
    <w:p w14:paraId="2AC859E6" w14:textId="77777777" w:rsidR="00C24361" w:rsidRPr="007A2892" w:rsidRDefault="00C24361">
      <w:pPr>
        <w:jc w:val="both"/>
        <w:rPr>
          <w:lang w:val="fr-BE"/>
        </w:rPr>
      </w:pPr>
    </w:p>
    <w:p w14:paraId="0610E91B" w14:textId="2E825EDC" w:rsidR="00C24361" w:rsidRPr="007A2892" w:rsidRDefault="00262477">
      <w:pPr>
        <w:pStyle w:val="Titre3"/>
        <w:rPr>
          <w:lang w:val="fr-BE"/>
        </w:rPr>
      </w:pPr>
      <w:bookmarkStart w:id="62" w:name="_Toc66377273"/>
      <w:r w:rsidRPr="007A2892">
        <w:rPr>
          <w:lang w:val="fr-BE"/>
        </w:rPr>
        <w:t>Matériaux et/ou articles plats pouvant être découpés</w:t>
      </w:r>
      <w:bookmarkEnd w:id="62"/>
    </w:p>
    <w:p w14:paraId="5A7DDB36" w14:textId="77777777" w:rsidR="00C24361" w:rsidRPr="007A2892" w:rsidRDefault="00C24361">
      <w:pPr>
        <w:rPr>
          <w:lang w:val="fr-BE"/>
        </w:rPr>
      </w:pPr>
    </w:p>
    <w:p w14:paraId="55D37F2D" w14:textId="1681BBA3" w:rsidR="00C24361" w:rsidRPr="007A2892" w:rsidRDefault="00262477">
      <w:pPr>
        <w:pStyle w:val="Default"/>
        <w:rPr>
          <w:rFonts w:asciiTheme="minorHAnsi" w:hAnsiTheme="minorHAnsi" w:cstheme="minorHAnsi"/>
          <w:sz w:val="22"/>
          <w:szCs w:val="22"/>
          <w:lang w:val="fr-BE"/>
        </w:rPr>
      </w:pPr>
      <w:r w:rsidRPr="007A2892">
        <w:rPr>
          <w:rFonts w:asciiTheme="minorHAnsi" w:hAnsiTheme="minorHAnsi" w:cstheme="minorHAnsi"/>
          <w:sz w:val="22"/>
          <w:szCs w:val="22"/>
          <w:lang w:val="fr-BE"/>
        </w:rPr>
        <w:t>La concentration mesurée (C</w:t>
      </w:r>
      <w:r w:rsidRPr="007A2892">
        <w:rPr>
          <w:rFonts w:asciiTheme="minorHAnsi" w:hAnsiTheme="minorHAnsi" w:cstheme="minorHAnsi"/>
          <w:sz w:val="22"/>
          <w:szCs w:val="22"/>
          <w:vertAlign w:val="subscript"/>
          <w:lang w:val="fr-BE"/>
        </w:rPr>
        <w:t xml:space="preserve"> analytique</w:t>
      </w:r>
      <w:r w:rsidRPr="007A2892">
        <w:rPr>
          <w:rFonts w:asciiTheme="minorHAnsi" w:hAnsiTheme="minorHAnsi" w:cstheme="minorHAnsi"/>
          <w:sz w:val="22"/>
          <w:szCs w:val="22"/>
          <w:lang w:val="fr-BE"/>
        </w:rPr>
        <w:t>, mg/l) est convertie en mesure de libération spécifique (</w:t>
      </w:r>
      <w:r w:rsidR="005836CA" w:rsidRPr="007A2892">
        <w:rPr>
          <w:rFonts w:asciiTheme="minorHAnsi" w:hAnsiTheme="minorHAnsi" w:cstheme="minorHAnsi"/>
          <w:sz w:val="22"/>
          <w:szCs w:val="22"/>
          <w:lang w:val="fr-BE"/>
        </w:rPr>
        <w:t>LS</w:t>
      </w:r>
      <w:r w:rsidRPr="007A2892">
        <w:rPr>
          <w:rFonts w:asciiTheme="minorHAnsi" w:hAnsiTheme="minorHAnsi" w:cstheme="minorHAnsi"/>
          <w:sz w:val="22"/>
          <w:szCs w:val="22"/>
          <w:lang w:val="fr-BE"/>
        </w:rPr>
        <w:t xml:space="preserve">, mg/kg) en 2 étapes. </w:t>
      </w:r>
    </w:p>
    <w:p w14:paraId="0122C8EC" w14:textId="77777777" w:rsidR="00C24361" w:rsidRPr="007A2892" w:rsidRDefault="00C24361">
      <w:pPr>
        <w:pStyle w:val="Default"/>
        <w:rPr>
          <w:rFonts w:asciiTheme="minorHAnsi" w:hAnsiTheme="minorHAnsi" w:cstheme="minorHAnsi"/>
          <w:sz w:val="22"/>
          <w:szCs w:val="22"/>
          <w:lang w:val="fr-BE"/>
        </w:rPr>
      </w:pPr>
    </w:p>
    <w:p w14:paraId="5A01AB19" w14:textId="4B29ED3B" w:rsidR="00C24361" w:rsidRPr="007A2892" w:rsidRDefault="005836CA" w:rsidP="00955EF8">
      <w:pPr>
        <w:pStyle w:val="Default"/>
        <w:jc w:val="center"/>
        <w:rPr>
          <w:rFonts w:asciiTheme="minorHAnsi" w:hAnsiTheme="minorHAnsi" w:cstheme="minorHAnsi"/>
          <w:i/>
          <w:sz w:val="22"/>
          <w:szCs w:val="22"/>
        </w:rPr>
      </w:pPr>
      <w:r w:rsidRPr="007A2892">
        <w:rPr>
          <w:rFonts w:asciiTheme="minorHAnsi" w:hAnsiTheme="minorHAnsi" w:cstheme="minorHAnsi"/>
          <w:i/>
          <w:sz w:val="22"/>
          <w:szCs w:val="22"/>
        </w:rPr>
        <w:t>LS</w:t>
      </w:r>
      <w:r w:rsidR="00262477" w:rsidRPr="007A2892">
        <w:rPr>
          <w:rFonts w:asciiTheme="minorHAnsi" w:hAnsiTheme="minorHAnsi" w:cstheme="minorHAnsi"/>
          <w:i/>
          <w:sz w:val="22"/>
          <w:szCs w:val="22"/>
          <w:vertAlign w:val="subscript"/>
        </w:rPr>
        <w:t xml:space="preserve"> s</w:t>
      </w:r>
      <w:r w:rsidR="00262477" w:rsidRPr="007A2892">
        <w:rPr>
          <w:rFonts w:asciiTheme="minorHAnsi" w:hAnsiTheme="minorHAnsi" w:cstheme="minorHAnsi"/>
          <w:i/>
          <w:sz w:val="22"/>
          <w:szCs w:val="22"/>
        </w:rPr>
        <w:t xml:space="preserve"> (mg/m²</w:t>
      </w:r>
      <w:r w:rsidR="00262477" w:rsidRPr="007A2892">
        <w:rPr>
          <w:rFonts w:asciiTheme="minorHAnsi" w:hAnsiTheme="minorHAnsi" w:cstheme="minorHAnsi"/>
          <w:i/>
          <w:sz w:val="22"/>
          <w:szCs w:val="22"/>
          <w:vertAlign w:val="superscript"/>
        </w:rPr>
        <w:t>)</w:t>
      </w:r>
      <w:r w:rsidR="00262477" w:rsidRPr="007A2892">
        <w:rPr>
          <w:rFonts w:asciiTheme="minorHAnsi" w:hAnsiTheme="minorHAnsi" w:cstheme="minorHAnsi"/>
          <w:i/>
          <w:sz w:val="22"/>
          <w:szCs w:val="22"/>
        </w:rPr>
        <w:t xml:space="preserve"> =</w:t>
      </w:r>
      <w:r w:rsidRPr="007A2892">
        <w:rPr>
          <w:rFonts w:asciiTheme="minorHAnsi" w:hAnsiTheme="minorHAnsi" w:cstheme="minorHAnsi"/>
          <w:i/>
          <w:sz w:val="22"/>
          <w:szCs w:val="22"/>
        </w:rPr>
        <w:t>C</w:t>
      </w:r>
      <w:r w:rsidR="00262477" w:rsidRPr="007A2892">
        <w:rPr>
          <w:rFonts w:asciiTheme="minorHAnsi" w:hAnsiTheme="minorHAnsi" w:cstheme="minorHAnsi"/>
          <w:i/>
          <w:sz w:val="22"/>
          <w:szCs w:val="22"/>
          <w:vertAlign w:val="subscript"/>
        </w:rPr>
        <w:t xml:space="preserve"> </w:t>
      </w:r>
      <w:proofErr w:type="spellStart"/>
      <w:r w:rsidR="00262477" w:rsidRPr="007A2892">
        <w:rPr>
          <w:rFonts w:asciiTheme="minorHAnsi" w:hAnsiTheme="minorHAnsi" w:cstheme="minorHAnsi"/>
          <w:i/>
          <w:sz w:val="22"/>
          <w:szCs w:val="22"/>
          <w:vertAlign w:val="subscript"/>
        </w:rPr>
        <w:t>analytique</w:t>
      </w:r>
      <w:proofErr w:type="spellEnd"/>
      <w:r w:rsidR="00262477" w:rsidRPr="007A2892">
        <w:rPr>
          <w:rFonts w:asciiTheme="minorHAnsi" w:hAnsiTheme="minorHAnsi" w:cstheme="minorHAnsi"/>
          <w:i/>
          <w:sz w:val="22"/>
          <w:szCs w:val="22"/>
        </w:rPr>
        <w:t xml:space="preserve"> (mg/l) * V (</w:t>
      </w:r>
      <w:r w:rsidRPr="007A2892">
        <w:rPr>
          <w:rFonts w:asciiTheme="minorHAnsi" w:hAnsiTheme="minorHAnsi" w:cstheme="minorHAnsi"/>
          <w:i/>
          <w:sz w:val="22"/>
          <w:szCs w:val="22"/>
        </w:rPr>
        <w:t>l</w:t>
      </w:r>
      <w:r w:rsidR="00262477" w:rsidRPr="007A2892">
        <w:rPr>
          <w:rFonts w:asciiTheme="minorHAnsi" w:hAnsiTheme="minorHAnsi" w:cstheme="minorHAnsi"/>
          <w:i/>
          <w:sz w:val="22"/>
          <w:szCs w:val="22"/>
        </w:rPr>
        <w:t>)/A (dm</w:t>
      </w:r>
      <w:r w:rsidR="00262477" w:rsidRPr="007A2892">
        <w:rPr>
          <w:rFonts w:asciiTheme="minorHAnsi" w:hAnsiTheme="minorHAnsi" w:cstheme="minorHAnsi"/>
          <w:i/>
          <w:sz w:val="22"/>
          <w:szCs w:val="22"/>
          <w:vertAlign w:val="superscript"/>
        </w:rPr>
        <w:t xml:space="preserve"> 2</w:t>
      </w:r>
      <w:r w:rsidR="00262477" w:rsidRPr="007A2892">
        <w:rPr>
          <w:rFonts w:asciiTheme="minorHAnsi" w:hAnsiTheme="minorHAnsi" w:cstheme="minorHAnsi"/>
          <w:i/>
          <w:sz w:val="22"/>
          <w:szCs w:val="22"/>
        </w:rPr>
        <w:t>)</w:t>
      </w:r>
    </w:p>
    <w:p w14:paraId="0C00F6EA" w14:textId="7AD24CE4" w:rsidR="00C24361" w:rsidRPr="00955EF8" w:rsidRDefault="004A7C95" w:rsidP="00955EF8">
      <w:pPr>
        <w:pStyle w:val="Default"/>
        <w:jc w:val="center"/>
        <w:rPr>
          <w:rFonts w:asciiTheme="minorHAnsi" w:hAnsiTheme="minorHAnsi" w:cstheme="minorHAnsi"/>
          <w:i/>
          <w:sz w:val="22"/>
          <w:szCs w:val="22"/>
        </w:rPr>
      </w:pPr>
      <w:r w:rsidRPr="00955EF8">
        <w:rPr>
          <w:rFonts w:asciiTheme="minorHAnsi" w:hAnsiTheme="minorHAnsi" w:cstheme="minorHAnsi"/>
          <w:i/>
          <w:sz w:val="22"/>
          <w:szCs w:val="22"/>
        </w:rPr>
        <w:t>LS</w:t>
      </w:r>
      <w:r w:rsidR="00262477" w:rsidRPr="00955EF8">
        <w:rPr>
          <w:rFonts w:asciiTheme="minorHAnsi" w:hAnsiTheme="minorHAnsi" w:cstheme="minorHAnsi"/>
          <w:i/>
          <w:sz w:val="22"/>
          <w:szCs w:val="22"/>
        </w:rPr>
        <w:t xml:space="preserve"> (mg/kg) = </w:t>
      </w:r>
      <w:r w:rsidRPr="00955EF8">
        <w:rPr>
          <w:rFonts w:asciiTheme="minorHAnsi" w:hAnsiTheme="minorHAnsi" w:cstheme="minorHAnsi"/>
          <w:i/>
          <w:sz w:val="22"/>
          <w:szCs w:val="22"/>
        </w:rPr>
        <w:t>LS</w:t>
      </w:r>
      <w:r w:rsidR="00262477" w:rsidRPr="00955EF8">
        <w:rPr>
          <w:rFonts w:asciiTheme="minorHAnsi" w:hAnsiTheme="minorHAnsi" w:cstheme="minorHAnsi"/>
          <w:i/>
          <w:sz w:val="22"/>
          <w:szCs w:val="22"/>
          <w:vertAlign w:val="subscript"/>
        </w:rPr>
        <w:t xml:space="preserve"> S</w:t>
      </w:r>
      <w:r w:rsidR="00262477" w:rsidRPr="00955EF8">
        <w:rPr>
          <w:rFonts w:asciiTheme="minorHAnsi" w:hAnsiTheme="minorHAnsi" w:cstheme="minorHAnsi"/>
          <w:i/>
          <w:sz w:val="22"/>
          <w:szCs w:val="22"/>
        </w:rPr>
        <w:t xml:space="preserve"> (mg/mm</w:t>
      </w:r>
      <w:r w:rsidR="00262477" w:rsidRPr="00955EF8">
        <w:rPr>
          <w:rFonts w:asciiTheme="minorHAnsi" w:hAnsiTheme="minorHAnsi" w:cstheme="minorHAnsi"/>
          <w:i/>
          <w:sz w:val="22"/>
          <w:szCs w:val="22"/>
          <w:vertAlign w:val="superscript"/>
        </w:rPr>
        <w:t xml:space="preserve"> 2</w:t>
      </w:r>
      <w:r w:rsidR="00262477" w:rsidRPr="00955EF8">
        <w:rPr>
          <w:rFonts w:asciiTheme="minorHAnsi" w:hAnsiTheme="minorHAnsi" w:cstheme="minorHAnsi"/>
          <w:i/>
          <w:sz w:val="22"/>
          <w:szCs w:val="22"/>
        </w:rPr>
        <w:t>) * 6</w:t>
      </w:r>
    </w:p>
    <w:p w14:paraId="6A38B091" w14:textId="77777777" w:rsidR="00C24361" w:rsidRPr="006E13B1" w:rsidRDefault="00C24361">
      <w:pPr>
        <w:pStyle w:val="Default"/>
        <w:rPr>
          <w:rFonts w:asciiTheme="minorHAnsi" w:hAnsiTheme="minorHAnsi" w:cstheme="minorHAnsi"/>
          <w:sz w:val="22"/>
          <w:szCs w:val="22"/>
        </w:rPr>
      </w:pPr>
    </w:p>
    <w:p w14:paraId="622DDFD2" w14:textId="1CE39F5F" w:rsidR="004A7C95" w:rsidRPr="007A2892" w:rsidRDefault="004A7C95">
      <w:pPr>
        <w:pStyle w:val="Default"/>
        <w:rPr>
          <w:rFonts w:asciiTheme="minorHAnsi" w:hAnsiTheme="minorHAnsi" w:cstheme="minorHAnsi"/>
          <w:sz w:val="22"/>
          <w:szCs w:val="22"/>
          <w:vertAlign w:val="superscript"/>
          <w:lang w:val="fr-BE"/>
        </w:rPr>
      </w:pPr>
      <w:proofErr w:type="spellStart"/>
      <w:r w:rsidRPr="007A2892">
        <w:rPr>
          <w:rFonts w:asciiTheme="minorHAnsi" w:hAnsiTheme="minorHAnsi" w:cstheme="minorHAnsi"/>
          <w:sz w:val="22"/>
          <w:szCs w:val="22"/>
          <w:lang w:val="fr-BE"/>
        </w:rPr>
        <w:t>LS</w:t>
      </w:r>
      <w:r w:rsidRPr="007A2892">
        <w:rPr>
          <w:rFonts w:asciiTheme="minorHAnsi" w:hAnsiTheme="minorHAnsi" w:cstheme="minorHAnsi"/>
          <w:sz w:val="22"/>
          <w:szCs w:val="22"/>
          <w:vertAlign w:val="subscript"/>
          <w:lang w:val="fr-BE"/>
        </w:rPr>
        <w:t>s</w:t>
      </w:r>
      <w:proofErr w:type="spellEnd"/>
      <w:r w:rsidRPr="007A2892">
        <w:rPr>
          <w:rFonts w:asciiTheme="minorHAnsi" w:hAnsiTheme="minorHAnsi" w:cstheme="minorHAnsi"/>
          <w:sz w:val="22"/>
          <w:szCs w:val="22"/>
          <w:vertAlign w:val="subscript"/>
          <w:lang w:val="fr-BE"/>
        </w:rPr>
        <w:t> </w:t>
      </w:r>
      <w:r w:rsidRPr="007A2892">
        <w:rPr>
          <w:rFonts w:asciiTheme="minorHAnsi" w:hAnsiTheme="minorHAnsi" w:cstheme="minorHAnsi"/>
          <w:sz w:val="22"/>
          <w:szCs w:val="22"/>
          <w:lang w:val="fr-BE"/>
        </w:rPr>
        <w:t xml:space="preserve">: libération spécifique exprimée en </w:t>
      </w:r>
      <w:bookmarkStart w:id="63" w:name="_Hlk66115965"/>
      <w:r w:rsidRPr="007A2892">
        <w:rPr>
          <w:rFonts w:asciiTheme="minorHAnsi" w:hAnsiTheme="minorHAnsi" w:cstheme="minorHAnsi"/>
          <w:sz w:val="22"/>
          <w:szCs w:val="22"/>
          <w:lang w:val="fr-BE"/>
        </w:rPr>
        <w:t>mg/dm</w:t>
      </w:r>
      <w:r w:rsidRPr="007A2892">
        <w:rPr>
          <w:rFonts w:asciiTheme="minorHAnsi" w:hAnsiTheme="minorHAnsi" w:cstheme="minorHAnsi"/>
          <w:sz w:val="22"/>
          <w:szCs w:val="22"/>
          <w:vertAlign w:val="superscript"/>
          <w:lang w:val="fr-BE"/>
        </w:rPr>
        <w:t>2</w:t>
      </w:r>
      <w:bookmarkEnd w:id="63"/>
    </w:p>
    <w:p w14:paraId="6365C51E" w14:textId="48AF45F5" w:rsidR="004A7C95" w:rsidRPr="007A2892" w:rsidRDefault="004A7C95">
      <w:pPr>
        <w:pStyle w:val="Default"/>
        <w:rPr>
          <w:rFonts w:asciiTheme="minorHAnsi" w:hAnsiTheme="minorHAnsi" w:cstheme="minorHAnsi"/>
          <w:sz w:val="22"/>
          <w:szCs w:val="22"/>
          <w:lang w:val="fr-BE"/>
        </w:rPr>
      </w:pPr>
      <w:r w:rsidRPr="007A2892">
        <w:rPr>
          <w:rFonts w:asciiTheme="minorHAnsi" w:hAnsiTheme="minorHAnsi" w:cstheme="minorHAnsi"/>
          <w:sz w:val="22"/>
          <w:szCs w:val="22"/>
          <w:lang w:val="fr-BE"/>
        </w:rPr>
        <w:t>6 : facteur de conversion</w:t>
      </w:r>
    </w:p>
    <w:p w14:paraId="2C4B3013" w14:textId="70DCD03E" w:rsidR="00C24361" w:rsidRPr="007A2892" w:rsidRDefault="00262477">
      <w:pPr>
        <w:pStyle w:val="Default"/>
        <w:rPr>
          <w:rFonts w:asciiTheme="minorHAnsi" w:hAnsiTheme="minorHAnsi" w:cstheme="minorHAnsi"/>
          <w:sz w:val="22"/>
          <w:szCs w:val="22"/>
          <w:lang w:val="fr-BE"/>
        </w:rPr>
      </w:pPr>
      <w:r w:rsidRPr="007A2892">
        <w:rPr>
          <w:rFonts w:asciiTheme="minorHAnsi" w:hAnsiTheme="minorHAnsi" w:cstheme="minorHAnsi"/>
          <w:sz w:val="22"/>
          <w:szCs w:val="22"/>
          <w:lang w:val="fr-BE"/>
        </w:rPr>
        <w:t>C</w:t>
      </w:r>
      <w:r w:rsidRPr="007A2892">
        <w:rPr>
          <w:rFonts w:asciiTheme="minorHAnsi" w:hAnsiTheme="minorHAnsi" w:cstheme="minorHAnsi"/>
          <w:sz w:val="22"/>
          <w:szCs w:val="22"/>
          <w:vertAlign w:val="subscript"/>
          <w:lang w:val="fr-BE"/>
        </w:rPr>
        <w:t xml:space="preserve"> analytique</w:t>
      </w:r>
      <w:r w:rsidRPr="007A2892">
        <w:rPr>
          <w:rFonts w:asciiTheme="minorHAnsi" w:hAnsiTheme="minorHAnsi" w:cstheme="minorHAnsi"/>
          <w:sz w:val="22"/>
          <w:szCs w:val="22"/>
          <w:lang w:val="fr-BE"/>
        </w:rPr>
        <w:t xml:space="preserve"> (mg/l): concentration de contenu après le test de libération, moins la concentration </w:t>
      </w:r>
      <w:r w:rsidR="00F27ECF" w:rsidRPr="007A2892">
        <w:rPr>
          <w:rFonts w:asciiTheme="minorHAnsi" w:hAnsiTheme="minorHAnsi" w:cstheme="minorHAnsi"/>
          <w:sz w:val="22"/>
          <w:szCs w:val="22"/>
          <w:lang w:val="fr-BE"/>
        </w:rPr>
        <w:t>du test à</w:t>
      </w:r>
      <w:r w:rsidRPr="007A2892">
        <w:rPr>
          <w:rFonts w:asciiTheme="minorHAnsi" w:hAnsiTheme="minorHAnsi" w:cstheme="minorHAnsi"/>
          <w:sz w:val="22"/>
          <w:szCs w:val="22"/>
          <w:lang w:val="fr-BE"/>
        </w:rPr>
        <w:t xml:space="preserve"> blanc</w:t>
      </w:r>
    </w:p>
    <w:p w14:paraId="5B801793" w14:textId="7EBED642" w:rsidR="00C24361" w:rsidRPr="007A2892" w:rsidRDefault="00262477">
      <w:pPr>
        <w:pStyle w:val="Default"/>
        <w:rPr>
          <w:rFonts w:asciiTheme="minorHAnsi" w:hAnsiTheme="minorHAnsi" w:cstheme="minorHAnsi"/>
          <w:sz w:val="22"/>
          <w:szCs w:val="22"/>
          <w:lang w:val="fr-BE"/>
        </w:rPr>
      </w:pPr>
      <w:r w:rsidRPr="007A2892">
        <w:rPr>
          <w:rFonts w:asciiTheme="minorHAnsi" w:hAnsiTheme="minorHAnsi" w:cstheme="minorHAnsi"/>
          <w:sz w:val="22"/>
          <w:szCs w:val="22"/>
          <w:lang w:val="fr-BE"/>
        </w:rPr>
        <w:t xml:space="preserve">V (L): Volume du simulant utilisé lors des essais de </w:t>
      </w:r>
      <w:r w:rsidR="00F27ECF" w:rsidRPr="007A2892">
        <w:rPr>
          <w:rFonts w:asciiTheme="minorHAnsi" w:hAnsiTheme="minorHAnsi" w:cstheme="minorHAnsi"/>
          <w:sz w:val="22"/>
          <w:szCs w:val="22"/>
          <w:lang w:val="fr-BE"/>
        </w:rPr>
        <w:t>libération</w:t>
      </w:r>
      <w:r w:rsidRPr="007A2892">
        <w:rPr>
          <w:rFonts w:asciiTheme="minorHAnsi" w:hAnsiTheme="minorHAnsi" w:cstheme="minorHAnsi"/>
          <w:sz w:val="22"/>
          <w:szCs w:val="22"/>
          <w:lang w:val="fr-BE"/>
        </w:rPr>
        <w:t xml:space="preserve"> </w:t>
      </w:r>
    </w:p>
    <w:p w14:paraId="2111A6F1" w14:textId="394D09A5" w:rsidR="00C24361" w:rsidRPr="007A2892" w:rsidRDefault="00262477">
      <w:pPr>
        <w:jc w:val="both"/>
        <w:rPr>
          <w:rFonts w:cstheme="minorHAnsi"/>
          <w:lang w:val="fr-BE"/>
        </w:rPr>
      </w:pPr>
      <w:r w:rsidRPr="007A2892">
        <w:rPr>
          <w:rFonts w:cstheme="minorHAnsi"/>
          <w:lang w:val="fr-BE"/>
        </w:rPr>
        <w:t>A (dm</w:t>
      </w:r>
      <w:r w:rsidRPr="007A2892">
        <w:rPr>
          <w:rFonts w:cstheme="minorHAnsi"/>
          <w:vertAlign w:val="superscript"/>
          <w:lang w:val="fr-BE"/>
        </w:rPr>
        <w:t xml:space="preserve"> 2</w:t>
      </w:r>
      <w:r w:rsidRPr="007A2892">
        <w:rPr>
          <w:rFonts w:cstheme="minorHAnsi"/>
          <w:lang w:val="fr-BE"/>
        </w:rPr>
        <w:t>): La surface du matériau en contact avec le simulant lors des essais de libération</w:t>
      </w:r>
    </w:p>
    <w:p w14:paraId="6E9040A3" w14:textId="51C036EB" w:rsidR="00C24361" w:rsidRPr="007A2892" w:rsidRDefault="00C24361">
      <w:pPr>
        <w:jc w:val="both"/>
        <w:rPr>
          <w:lang w:val="fr-BE"/>
        </w:rPr>
      </w:pPr>
    </w:p>
    <w:p w14:paraId="3C9A694D" w14:textId="4DD551C9" w:rsidR="00C24361" w:rsidRDefault="00262477">
      <w:pPr>
        <w:pStyle w:val="Titre1"/>
        <w:numPr>
          <w:ilvl w:val="0"/>
          <w:numId w:val="6"/>
        </w:numPr>
        <w:jc w:val="both"/>
        <w:rPr>
          <w:lang w:val="fr-BE"/>
        </w:rPr>
      </w:pPr>
      <w:bookmarkStart w:id="64" w:name="_Toc66377274"/>
      <w:r w:rsidRPr="007A2892">
        <w:rPr>
          <w:lang w:val="fr-BE"/>
        </w:rPr>
        <w:lastRenderedPageBreak/>
        <w:t>Évaluation des risques liés aux applications industrielles</w:t>
      </w:r>
      <w:bookmarkEnd w:id="64"/>
    </w:p>
    <w:p w14:paraId="0BAF74C6" w14:textId="77777777" w:rsidR="007A2892" w:rsidRPr="007A2892" w:rsidRDefault="007A2892" w:rsidP="007A2892">
      <w:pPr>
        <w:rPr>
          <w:lang w:val="fr-BE"/>
        </w:rPr>
      </w:pPr>
    </w:p>
    <w:p w14:paraId="17163B56" w14:textId="75C7EB6F" w:rsidR="004A7C95" w:rsidRPr="007A2892" w:rsidRDefault="004A7C95" w:rsidP="004A7C95">
      <w:pPr>
        <w:rPr>
          <w:lang w:val="fr-BE"/>
        </w:rPr>
      </w:pPr>
      <w:r w:rsidRPr="007A2892">
        <w:rPr>
          <w:lang w:val="fr-BE"/>
        </w:rPr>
        <w:t>Pour les composants utilisés pour l'assemblage d'un procédé de production et pour un processus de production complet dans un même établissement de l'industrie alimentaire, au lieu d'une déclaration de conformité, une approche axée sur le risque peut être choisie.</w:t>
      </w:r>
    </w:p>
    <w:p w14:paraId="0AC68D89" w14:textId="77777777" w:rsidR="00C24361" w:rsidRPr="007A2892" w:rsidRDefault="00262477">
      <w:pPr>
        <w:pStyle w:val="Titre1"/>
        <w:numPr>
          <w:ilvl w:val="0"/>
          <w:numId w:val="6"/>
        </w:numPr>
        <w:jc w:val="both"/>
        <w:rPr>
          <w:lang w:val="fr-BE"/>
        </w:rPr>
      </w:pPr>
      <w:bookmarkStart w:id="65" w:name="_Toc66377275"/>
      <w:proofErr w:type="spellStart"/>
      <w:r w:rsidRPr="007A2892">
        <w:t>Normes</w:t>
      </w:r>
      <w:proofErr w:type="spellEnd"/>
      <w:r w:rsidRPr="007A2892">
        <w:t xml:space="preserve"> &amp; </w:t>
      </w:r>
      <w:proofErr w:type="spellStart"/>
      <w:r w:rsidRPr="007A2892">
        <w:t>références</w:t>
      </w:r>
      <w:bookmarkEnd w:id="65"/>
      <w:proofErr w:type="spellEnd"/>
    </w:p>
    <w:p w14:paraId="7E307D15" w14:textId="77777777" w:rsidR="00C24361" w:rsidRPr="007A2892" w:rsidRDefault="00C24361">
      <w:pPr>
        <w:jc w:val="both"/>
        <w:rPr>
          <w:lang w:val="fr-BE"/>
        </w:rPr>
      </w:pPr>
    </w:p>
    <w:p w14:paraId="7A28246F" w14:textId="50D59EFF" w:rsidR="00C24361" w:rsidRPr="00037C87" w:rsidRDefault="00262477">
      <w:pPr>
        <w:pStyle w:val="Paragraphedeliste"/>
        <w:numPr>
          <w:ilvl w:val="0"/>
          <w:numId w:val="26"/>
        </w:numPr>
        <w:ind w:left="284"/>
        <w:rPr>
          <w:rFonts w:asciiTheme="minorHAnsi" w:hAnsiTheme="minorHAnsi" w:cstheme="minorHAnsi"/>
          <w:sz w:val="22"/>
          <w:szCs w:val="22"/>
          <w:lang w:val="fr-BE"/>
        </w:rPr>
      </w:pPr>
      <w:r w:rsidRPr="00037C87">
        <w:rPr>
          <w:rFonts w:asciiTheme="minorHAnsi" w:hAnsiTheme="minorHAnsi" w:cstheme="minorHAnsi"/>
          <w:sz w:val="22"/>
          <w:szCs w:val="22"/>
          <w:lang w:val="fr-BE"/>
        </w:rPr>
        <w:t>Résolution CM/</w:t>
      </w:r>
      <w:proofErr w:type="spellStart"/>
      <w:r w:rsidRPr="00037C87">
        <w:rPr>
          <w:rFonts w:asciiTheme="minorHAnsi" w:hAnsiTheme="minorHAnsi" w:cstheme="minorHAnsi"/>
          <w:sz w:val="22"/>
          <w:szCs w:val="22"/>
          <w:lang w:val="fr-BE"/>
        </w:rPr>
        <w:t>Res</w:t>
      </w:r>
      <w:proofErr w:type="spellEnd"/>
      <w:r w:rsidRPr="00037C87">
        <w:rPr>
          <w:rFonts w:asciiTheme="minorHAnsi" w:hAnsiTheme="minorHAnsi" w:cstheme="minorHAnsi"/>
          <w:sz w:val="22"/>
          <w:szCs w:val="22"/>
          <w:lang w:val="fr-BE"/>
        </w:rPr>
        <w:t xml:space="preserve"> (2013) 9 du Conseil de l’Europe sur les métaux et objets utilisés dans les matériaux et objets destinés à entrer en contact avec des denrées alimentaires</w:t>
      </w:r>
    </w:p>
    <w:p w14:paraId="422BD4D3" w14:textId="3C4A3335" w:rsidR="00C24361" w:rsidRPr="00037C87" w:rsidRDefault="00262477">
      <w:pPr>
        <w:pStyle w:val="Paragraphedeliste"/>
        <w:numPr>
          <w:ilvl w:val="0"/>
          <w:numId w:val="26"/>
        </w:numPr>
        <w:ind w:left="284"/>
        <w:rPr>
          <w:rFonts w:asciiTheme="minorHAnsi" w:hAnsiTheme="minorHAnsi" w:cstheme="minorHAnsi"/>
          <w:sz w:val="22"/>
          <w:szCs w:val="22"/>
          <w:lang w:val="fr-BE"/>
        </w:rPr>
      </w:pPr>
      <w:r w:rsidRPr="00037C87">
        <w:rPr>
          <w:rFonts w:asciiTheme="minorHAnsi" w:hAnsiTheme="minorHAnsi" w:cstheme="minorHAnsi"/>
          <w:sz w:val="22"/>
          <w:szCs w:val="22"/>
          <w:lang w:val="fr-BE"/>
        </w:rPr>
        <w:t>Métaux et alliages utilisés dans les matériaux et objets destinés à entrer en contact avec des denrées alimentaires. Guide pratique à l’intention des poignées et des régulateurs, publication du Conseil de l’Europe, 1re édition, 2013</w:t>
      </w:r>
    </w:p>
    <w:p w14:paraId="0DDCD847" w14:textId="2E41895C" w:rsidR="00C24361" w:rsidRPr="00037C87" w:rsidRDefault="00262477">
      <w:pPr>
        <w:pStyle w:val="Paragraphedeliste"/>
        <w:numPr>
          <w:ilvl w:val="0"/>
          <w:numId w:val="26"/>
        </w:numPr>
        <w:ind w:left="284"/>
        <w:rPr>
          <w:rFonts w:asciiTheme="minorHAnsi" w:hAnsiTheme="minorHAnsi" w:cstheme="minorHAnsi"/>
          <w:sz w:val="22"/>
          <w:szCs w:val="22"/>
          <w:lang w:val="fr-BE"/>
        </w:rPr>
      </w:pPr>
      <w:r w:rsidRPr="00037C87">
        <w:rPr>
          <w:rFonts w:asciiTheme="minorHAnsi" w:hAnsiTheme="minorHAnsi" w:cstheme="minorHAnsi"/>
          <w:sz w:val="22"/>
          <w:szCs w:val="22"/>
          <w:lang w:val="fr-BE"/>
        </w:rPr>
        <w:t>Règlement (UE) no 10/2011 de la Commission du 14 janvier 2011 concernant les matériaux et objets en matière plastique destinés à entrer en contact avec des denrées alimentaires</w:t>
      </w:r>
    </w:p>
    <w:p w14:paraId="02DFF322" w14:textId="233F5767" w:rsidR="00C24361" w:rsidRPr="00037C87" w:rsidRDefault="00262477">
      <w:pPr>
        <w:pStyle w:val="Paragraphedeliste"/>
        <w:numPr>
          <w:ilvl w:val="0"/>
          <w:numId w:val="26"/>
        </w:numPr>
        <w:ind w:left="284"/>
        <w:rPr>
          <w:rFonts w:asciiTheme="minorHAnsi" w:hAnsiTheme="minorHAnsi" w:cstheme="minorHAnsi"/>
          <w:sz w:val="22"/>
          <w:szCs w:val="22"/>
          <w:lang w:val="fr-BE"/>
        </w:rPr>
      </w:pPr>
      <w:r w:rsidRPr="00037C87">
        <w:rPr>
          <w:rFonts w:asciiTheme="minorHAnsi" w:hAnsiTheme="minorHAnsi" w:cstheme="minorHAnsi"/>
          <w:sz w:val="22"/>
          <w:szCs w:val="22"/>
          <w:lang w:val="fr-BE"/>
        </w:rPr>
        <w:t>Règlement (CE) no 1935/2004 du Parlement européen et du Conseil du 27 octobre 2004 concernant les matériaux et objets destinés à entrer en contact avec des denrées alimentaires et abrogeant la directive 80/590/CEE et 89/109/CEE</w:t>
      </w:r>
    </w:p>
    <w:p w14:paraId="222AC12C" w14:textId="0281D648" w:rsidR="00C24361" w:rsidRPr="00037C87" w:rsidRDefault="007A2892" w:rsidP="007A2892">
      <w:pPr>
        <w:pStyle w:val="Paragraphedeliste"/>
        <w:numPr>
          <w:ilvl w:val="0"/>
          <w:numId w:val="26"/>
        </w:numPr>
        <w:ind w:left="284"/>
        <w:rPr>
          <w:rStyle w:val="Lienhypertexte"/>
          <w:rFonts w:asciiTheme="minorHAnsi" w:eastAsiaTheme="majorEastAsia" w:hAnsiTheme="minorHAnsi" w:cstheme="minorHAnsi"/>
          <w:sz w:val="22"/>
          <w:szCs w:val="22"/>
        </w:rPr>
      </w:pPr>
      <w:bookmarkStart w:id="66" w:name="_Hlk66116785"/>
      <w:r w:rsidRPr="00037C87">
        <w:rPr>
          <w:rFonts w:asciiTheme="minorHAnsi" w:hAnsiTheme="minorHAnsi" w:cstheme="minorHAnsi"/>
          <w:sz w:val="22"/>
          <w:szCs w:val="22"/>
        </w:rPr>
        <w:t xml:space="preserve">JRC guidelines: Testing conditions for kitchenware articles in contact with foodstuffs: Plastics and Metals: </w:t>
      </w:r>
      <w:proofErr w:type="spellStart"/>
      <w:r w:rsidRPr="00037C87">
        <w:rPr>
          <w:rFonts w:asciiTheme="minorHAnsi" w:hAnsiTheme="minorHAnsi" w:cstheme="minorHAnsi"/>
          <w:sz w:val="22"/>
          <w:szCs w:val="22"/>
        </w:rPr>
        <w:t>Jakubowska</w:t>
      </w:r>
      <w:proofErr w:type="spellEnd"/>
      <w:r w:rsidRPr="00037C87">
        <w:rPr>
          <w:rFonts w:asciiTheme="minorHAnsi" w:hAnsiTheme="minorHAnsi" w:cstheme="minorHAnsi"/>
          <w:sz w:val="22"/>
          <w:szCs w:val="22"/>
        </w:rPr>
        <w:t xml:space="preserve">, N., </w:t>
      </w:r>
      <w:proofErr w:type="spellStart"/>
      <w:r w:rsidRPr="00037C87">
        <w:rPr>
          <w:rFonts w:asciiTheme="minorHAnsi" w:hAnsiTheme="minorHAnsi" w:cstheme="minorHAnsi"/>
          <w:sz w:val="22"/>
          <w:szCs w:val="22"/>
        </w:rPr>
        <w:t>Beldi</w:t>
      </w:r>
      <w:proofErr w:type="spellEnd"/>
      <w:r w:rsidRPr="00037C87">
        <w:rPr>
          <w:rFonts w:asciiTheme="minorHAnsi" w:hAnsiTheme="minorHAnsi" w:cstheme="minorHAnsi"/>
          <w:sz w:val="22"/>
          <w:szCs w:val="22"/>
        </w:rPr>
        <w:t xml:space="preserve">, G., </w:t>
      </w:r>
      <w:proofErr w:type="spellStart"/>
      <w:r w:rsidRPr="00037C87">
        <w:rPr>
          <w:rFonts w:asciiTheme="minorHAnsi" w:hAnsiTheme="minorHAnsi" w:cstheme="minorHAnsi"/>
          <w:sz w:val="22"/>
          <w:szCs w:val="22"/>
        </w:rPr>
        <w:t>Robouch</w:t>
      </w:r>
      <w:proofErr w:type="spellEnd"/>
      <w:r w:rsidRPr="00037C87">
        <w:rPr>
          <w:rFonts w:asciiTheme="minorHAnsi" w:hAnsiTheme="minorHAnsi" w:cstheme="minorHAnsi"/>
          <w:sz w:val="22"/>
          <w:szCs w:val="22"/>
        </w:rPr>
        <w:t xml:space="preserve">, P. and Hoekstra, E., , JRC121622 </w:t>
      </w:r>
      <w:hyperlink r:id="rId13" w:history="1">
        <w:r w:rsidRPr="00037C87">
          <w:rPr>
            <w:rStyle w:val="Lienhypertexte"/>
            <w:rFonts w:asciiTheme="minorHAnsi" w:eastAsiaTheme="majorEastAsia" w:hAnsiTheme="minorHAnsi" w:cstheme="minorHAnsi"/>
            <w:sz w:val="22"/>
            <w:szCs w:val="22"/>
          </w:rPr>
          <w:t>Testing conditions for kitchenware articles in contact with foodstuffs: Plastics and Metals (europa.eu)</w:t>
        </w:r>
      </w:hyperlink>
      <w:bookmarkEnd w:id="66"/>
    </w:p>
    <w:p w14:paraId="5C05F330" w14:textId="151ADC60" w:rsidR="00C24361" w:rsidRPr="00037C87" w:rsidRDefault="00262477">
      <w:pPr>
        <w:pStyle w:val="Paragraphedeliste"/>
        <w:numPr>
          <w:ilvl w:val="0"/>
          <w:numId w:val="26"/>
        </w:numPr>
        <w:ind w:left="284"/>
        <w:rPr>
          <w:rFonts w:asciiTheme="minorHAnsi" w:hAnsiTheme="minorHAnsi" w:cstheme="minorHAnsi"/>
          <w:sz w:val="22"/>
          <w:szCs w:val="22"/>
          <w:lang w:val="fr-BE"/>
        </w:rPr>
      </w:pPr>
      <w:r w:rsidRPr="00037C87">
        <w:rPr>
          <w:rFonts w:asciiTheme="minorHAnsi" w:hAnsiTheme="minorHAnsi" w:cstheme="minorHAnsi"/>
          <w:sz w:val="22"/>
          <w:szCs w:val="22"/>
          <w:lang w:val="fr-BE"/>
        </w:rPr>
        <w:t>Arrêté royal du 1er mai 2006 relatif à la déclaration de conformité et aux critères de performance de la méthode d’analyse des objets protégés</w:t>
      </w:r>
    </w:p>
    <w:p w14:paraId="5FDA3F85" w14:textId="77777777" w:rsidR="00C24361" w:rsidRPr="00037C87" w:rsidRDefault="00262477">
      <w:pPr>
        <w:pStyle w:val="Paragraphedeliste"/>
        <w:numPr>
          <w:ilvl w:val="0"/>
          <w:numId w:val="26"/>
        </w:numPr>
        <w:ind w:left="284"/>
        <w:rPr>
          <w:rFonts w:asciiTheme="minorHAnsi" w:hAnsiTheme="minorHAnsi" w:cstheme="minorHAnsi"/>
          <w:sz w:val="22"/>
          <w:szCs w:val="22"/>
          <w:lang w:val="fr-BE"/>
        </w:rPr>
      </w:pPr>
      <w:r w:rsidRPr="00037C87">
        <w:rPr>
          <w:rFonts w:asciiTheme="minorHAnsi" w:hAnsiTheme="minorHAnsi" w:cstheme="minorHAnsi"/>
          <w:sz w:val="22"/>
          <w:szCs w:val="22"/>
          <w:lang w:val="fr-BE"/>
        </w:rPr>
        <w:t>Arrêté royal du 25 septembre 2016 concernant les vernis et les rappels destinés à une entreprise en contact avec les denrées alimentaires</w:t>
      </w:r>
    </w:p>
    <w:p w14:paraId="52C3BCB0" w14:textId="5A86F751" w:rsidR="00C24361" w:rsidRPr="00037C87" w:rsidRDefault="00262477">
      <w:pPr>
        <w:pStyle w:val="Paragraphedeliste"/>
        <w:numPr>
          <w:ilvl w:val="0"/>
          <w:numId w:val="26"/>
        </w:numPr>
        <w:ind w:left="284"/>
        <w:rPr>
          <w:rFonts w:asciiTheme="minorHAnsi" w:hAnsiTheme="minorHAnsi" w:cstheme="minorHAnsi"/>
          <w:sz w:val="22"/>
          <w:szCs w:val="22"/>
          <w:lang w:val="fr-BE"/>
        </w:rPr>
      </w:pPr>
      <w:r w:rsidRPr="00037C87">
        <w:rPr>
          <w:rFonts w:asciiTheme="minorHAnsi" w:hAnsiTheme="minorHAnsi" w:cstheme="minorHAnsi"/>
          <w:sz w:val="22"/>
          <w:szCs w:val="22"/>
          <w:lang w:val="fr-BE"/>
        </w:rPr>
        <w:t>Règlement (UE) 2017/625 du Parlement européen et du Conseil du 15 mars 2017 concernant les contrôles officiels et les règles relatives à la santé et au bien-être des animaux, à la santé des végétaux et aux produits phytopharmaceutiques</w:t>
      </w:r>
    </w:p>
    <w:p w14:paraId="6E6F8486" w14:textId="77777777" w:rsidR="00C24361" w:rsidRPr="00F618AB" w:rsidRDefault="00C24361" w:rsidP="007A2892">
      <w:pPr>
        <w:pStyle w:val="Paragraphedeliste"/>
        <w:ind w:left="284"/>
        <w:rPr>
          <w:lang w:val="fr-BE"/>
        </w:rPr>
      </w:pPr>
    </w:p>
    <w:p w14:paraId="3B55687C" w14:textId="77777777" w:rsidR="00C24361" w:rsidRPr="00F618AB" w:rsidRDefault="00C24361">
      <w:pPr>
        <w:jc w:val="both"/>
        <w:rPr>
          <w:lang w:val="fr-BE"/>
        </w:rPr>
      </w:pPr>
    </w:p>
    <w:p w14:paraId="5B62B888" w14:textId="77777777" w:rsidR="00C24361" w:rsidRPr="00F618AB" w:rsidRDefault="00C24361">
      <w:pPr>
        <w:jc w:val="both"/>
        <w:rPr>
          <w:lang w:val="fr-BE"/>
        </w:rPr>
      </w:pPr>
    </w:p>
    <w:p w14:paraId="754E2BD2" w14:textId="1DAC47C1" w:rsidR="00C24361" w:rsidRPr="00F618AB" w:rsidRDefault="00C24361">
      <w:pPr>
        <w:jc w:val="both"/>
        <w:rPr>
          <w:lang w:val="fr-BE"/>
        </w:rPr>
      </w:pPr>
    </w:p>
    <w:sectPr w:rsidR="00C24361" w:rsidRPr="00F618AB">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05BD5" w14:textId="77777777" w:rsidR="00955EF8" w:rsidRDefault="00955EF8" w:rsidP="00955EF8">
      <w:pPr>
        <w:spacing w:after="0" w:line="240" w:lineRule="auto"/>
      </w:pPr>
      <w:r>
        <w:separator/>
      </w:r>
    </w:p>
  </w:endnote>
  <w:endnote w:type="continuationSeparator" w:id="0">
    <w:p w14:paraId="5E7A3DE4" w14:textId="77777777" w:rsidR="00955EF8" w:rsidRDefault="00955EF8" w:rsidP="0095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780DC" w14:textId="2F42F651" w:rsidR="00955EF8" w:rsidRPr="00955EF8" w:rsidRDefault="00955EF8">
    <w:pPr>
      <w:pStyle w:val="Pieddepage"/>
      <w:rPr>
        <w:lang w:val="nl-BE"/>
      </w:rPr>
    </w:pPr>
    <w:r>
      <w:rPr>
        <w:lang w:val="nl-BE"/>
      </w:rPr>
      <w:t>V_03_2021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29EF1" w14:textId="77777777" w:rsidR="00955EF8" w:rsidRDefault="00955EF8" w:rsidP="00955EF8">
      <w:pPr>
        <w:spacing w:after="0" w:line="240" w:lineRule="auto"/>
      </w:pPr>
      <w:r>
        <w:separator/>
      </w:r>
    </w:p>
  </w:footnote>
  <w:footnote w:type="continuationSeparator" w:id="0">
    <w:p w14:paraId="31125969" w14:textId="77777777" w:rsidR="00955EF8" w:rsidRDefault="00955EF8" w:rsidP="00955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28698" w14:textId="1E0EDE7C" w:rsidR="00955EF8" w:rsidRDefault="00955EF8">
    <w:pPr>
      <w:pStyle w:val="En-tte"/>
    </w:pPr>
    <w:r>
      <w:rPr>
        <w:noProof/>
      </w:rPr>
      <w:drawing>
        <wp:inline distT="0" distB="0" distL="0" distR="0" wp14:anchorId="590463B5" wp14:editId="0CFE97B6">
          <wp:extent cx="1603324" cy="61225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622" cy="618475"/>
                  </a:xfrm>
                  <a:prstGeom prst="rect">
                    <a:avLst/>
                  </a:prstGeom>
                  <a:noFill/>
                  <a:ln>
                    <a:noFill/>
                  </a:ln>
                </pic:spPr>
              </pic:pic>
            </a:graphicData>
          </a:graphic>
        </wp:inline>
      </w:drawing>
    </w:r>
  </w:p>
  <w:p w14:paraId="3B7A0BD2" w14:textId="0140E561" w:rsidR="00955EF8" w:rsidRDefault="00955EF8">
    <w:pPr>
      <w:pStyle w:val="En-tte"/>
    </w:pPr>
  </w:p>
  <w:p w14:paraId="31AC5F7B" w14:textId="77777777" w:rsidR="00955EF8" w:rsidRDefault="00955EF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2ED8"/>
    <w:multiLevelType w:val="hybridMultilevel"/>
    <w:tmpl w:val="80AA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93ED0"/>
    <w:multiLevelType w:val="hybridMultilevel"/>
    <w:tmpl w:val="757469AC"/>
    <w:lvl w:ilvl="0" w:tplc="800E295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DB291F"/>
    <w:multiLevelType w:val="hybridMultilevel"/>
    <w:tmpl w:val="6E60ED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63F00"/>
    <w:multiLevelType w:val="hybridMultilevel"/>
    <w:tmpl w:val="940A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E16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A829D2"/>
    <w:multiLevelType w:val="hybridMultilevel"/>
    <w:tmpl w:val="422C20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26F6A"/>
    <w:multiLevelType w:val="hybridMultilevel"/>
    <w:tmpl w:val="AABC6B7A"/>
    <w:lvl w:ilvl="0" w:tplc="1A6A9BF6">
      <w:start w:val="1"/>
      <w:numFmt w:val="lowerLetter"/>
      <w:lvlText w:val="%1."/>
      <w:lvlJc w:val="left"/>
      <w:pPr>
        <w:ind w:left="786" w:hanging="360"/>
      </w:p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start w:val="1"/>
      <w:numFmt w:val="decimal"/>
      <w:lvlText w:val="%4."/>
      <w:lvlJc w:val="left"/>
      <w:pPr>
        <w:ind w:left="2946" w:hanging="360"/>
      </w:pPr>
    </w:lvl>
    <w:lvl w:ilvl="4" w:tplc="04070019">
      <w:start w:val="1"/>
      <w:numFmt w:val="lowerLetter"/>
      <w:lvlText w:val="%5."/>
      <w:lvlJc w:val="left"/>
      <w:pPr>
        <w:ind w:left="3666" w:hanging="360"/>
      </w:pPr>
    </w:lvl>
    <w:lvl w:ilvl="5" w:tplc="0407001B">
      <w:start w:val="1"/>
      <w:numFmt w:val="lowerRoman"/>
      <w:lvlText w:val="%6."/>
      <w:lvlJc w:val="right"/>
      <w:pPr>
        <w:ind w:left="4386" w:hanging="180"/>
      </w:pPr>
    </w:lvl>
    <w:lvl w:ilvl="6" w:tplc="0407000F">
      <w:start w:val="1"/>
      <w:numFmt w:val="decimal"/>
      <w:lvlText w:val="%7."/>
      <w:lvlJc w:val="left"/>
      <w:pPr>
        <w:ind w:left="5106" w:hanging="360"/>
      </w:pPr>
    </w:lvl>
    <w:lvl w:ilvl="7" w:tplc="04070019">
      <w:start w:val="1"/>
      <w:numFmt w:val="lowerLetter"/>
      <w:lvlText w:val="%8."/>
      <w:lvlJc w:val="left"/>
      <w:pPr>
        <w:ind w:left="5826" w:hanging="360"/>
      </w:pPr>
    </w:lvl>
    <w:lvl w:ilvl="8" w:tplc="0407001B">
      <w:start w:val="1"/>
      <w:numFmt w:val="lowerRoman"/>
      <w:lvlText w:val="%9."/>
      <w:lvlJc w:val="right"/>
      <w:pPr>
        <w:ind w:left="6546" w:hanging="180"/>
      </w:pPr>
    </w:lvl>
  </w:abstractNum>
  <w:abstractNum w:abstractNumId="7" w15:restartNumberingAfterBreak="0">
    <w:nsid w:val="17677FE1"/>
    <w:multiLevelType w:val="hybridMultilevel"/>
    <w:tmpl w:val="57C806B8"/>
    <w:lvl w:ilvl="0" w:tplc="20908532">
      <w:start w:val="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8A76B07"/>
    <w:multiLevelType w:val="hybridMultilevel"/>
    <w:tmpl w:val="AABC6B7A"/>
    <w:lvl w:ilvl="0" w:tplc="1A6A9BF6">
      <w:start w:val="1"/>
      <w:numFmt w:val="lowerLetter"/>
      <w:lvlText w:val="%1."/>
      <w:lvlJc w:val="left"/>
      <w:pPr>
        <w:ind w:left="786" w:hanging="360"/>
      </w:p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start w:val="1"/>
      <w:numFmt w:val="decimal"/>
      <w:lvlText w:val="%4."/>
      <w:lvlJc w:val="left"/>
      <w:pPr>
        <w:ind w:left="2946" w:hanging="360"/>
      </w:pPr>
    </w:lvl>
    <w:lvl w:ilvl="4" w:tplc="04070019">
      <w:start w:val="1"/>
      <w:numFmt w:val="lowerLetter"/>
      <w:lvlText w:val="%5."/>
      <w:lvlJc w:val="left"/>
      <w:pPr>
        <w:ind w:left="3666" w:hanging="360"/>
      </w:pPr>
    </w:lvl>
    <w:lvl w:ilvl="5" w:tplc="0407001B">
      <w:start w:val="1"/>
      <w:numFmt w:val="lowerRoman"/>
      <w:lvlText w:val="%6."/>
      <w:lvlJc w:val="right"/>
      <w:pPr>
        <w:ind w:left="4386" w:hanging="180"/>
      </w:pPr>
    </w:lvl>
    <w:lvl w:ilvl="6" w:tplc="0407000F">
      <w:start w:val="1"/>
      <w:numFmt w:val="decimal"/>
      <w:lvlText w:val="%7."/>
      <w:lvlJc w:val="left"/>
      <w:pPr>
        <w:ind w:left="5106" w:hanging="360"/>
      </w:pPr>
    </w:lvl>
    <w:lvl w:ilvl="7" w:tplc="04070019">
      <w:start w:val="1"/>
      <w:numFmt w:val="lowerLetter"/>
      <w:lvlText w:val="%8."/>
      <w:lvlJc w:val="left"/>
      <w:pPr>
        <w:ind w:left="5826" w:hanging="360"/>
      </w:pPr>
    </w:lvl>
    <w:lvl w:ilvl="8" w:tplc="0407001B">
      <w:start w:val="1"/>
      <w:numFmt w:val="lowerRoman"/>
      <w:lvlText w:val="%9."/>
      <w:lvlJc w:val="right"/>
      <w:pPr>
        <w:ind w:left="6546" w:hanging="180"/>
      </w:pPr>
    </w:lvl>
  </w:abstractNum>
  <w:abstractNum w:abstractNumId="9" w15:restartNumberingAfterBreak="0">
    <w:nsid w:val="19406501"/>
    <w:multiLevelType w:val="hybridMultilevel"/>
    <w:tmpl w:val="33141502"/>
    <w:lvl w:ilvl="0" w:tplc="04090019">
      <w:start w:val="1"/>
      <w:numFmt w:val="lowerLetter"/>
      <w:lvlText w:val="%1."/>
      <w:lvlJc w:val="left"/>
      <w:pPr>
        <w:ind w:left="720" w:hanging="360"/>
      </w:pPr>
    </w:lvl>
    <w:lvl w:ilvl="1" w:tplc="60B463E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F751C"/>
    <w:multiLevelType w:val="hybridMultilevel"/>
    <w:tmpl w:val="A1C81BB0"/>
    <w:lvl w:ilvl="0" w:tplc="A38A71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D00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53443B"/>
    <w:multiLevelType w:val="hybridMultilevel"/>
    <w:tmpl w:val="898E9314"/>
    <w:lvl w:ilvl="0" w:tplc="AC60543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0271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897433"/>
    <w:multiLevelType w:val="hybridMultilevel"/>
    <w:tmpl w:val="EC484F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D30E3A"/>
    <w:multiLevelType w:val="hybridMultilevel"/>
    <w:tmpl w:val="07C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0B56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52528D3"/>
    <w:multiLevelType w:val="hybridMultilevel"/>
    <w:tmpl w:val="9D0072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B134CF"/>
    <w:multiLevelType w:val="hybridMultilevel"/>
    <w:tmpl w:val="4A564838"/>
    <w:lvl w:ilvl="0" w:tplc="0409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15:restartNumberingAfterBreak="0">
    <w:nsid w:val="26E55B45"/>
    <w:multiLevelType w:val="hybridMultilevel"/>
    <w:tmpl w:val="33141502"/>
    <w:lvl w:ilvl="0" w:tplc="04090019">
      <w:start w:val="1"/>
      <w:numFmt w:val="lowerLetter"/>
      <w:lvlText w:val="%1."/>
      <w:lvlJc w:val="left"/>
      <w:pPr>
        <w:ind w:left="720" w:hanging="360"/>
      </w:pPr>
    </w:lvl>
    <w:lvl w:ilvl="1" w:tplc="60B463E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6F0273"/>
    <w:multiLevelType w:val="hybridMultilevel"/>
    <w:tmpl w:val="303CDD98"/>
    <w:lvl w:ilvl="0" w:tplc="0460346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9C0B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4D10465"/>
    <w:multiLevelType w:val="hybridMultilevel"/>
    <w:tmpl w:val="CED8AD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E02164"/>
    <w:multiLevelType w:val="hybridMultilevel"/>
    <w:tmpl w:val="D6DA1E7A"/>
    <w:lvl w:ilvl="0" w:tplc="442E06F2">
      <w:start w:val="5"/>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A1378C"/>
    <w:multiLevelType w:val="hybridMultilevel"/>
    <w:tmpl w:val="AABC6B7A"/>
    <w:lvl w:ilvl="0" w:tplc="1A6A9BF6">
      <w:start w:val="1"/>
      <w:numFmt w:val="lowerLetter"/>
      <w:lvlText w:val="%1."/>
      <w:lvlJc w:val="left"/>
      <w:pPr>
        <w:ind w:left="786" w:hanging="360"/>
      </w:p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start w:val="1"/>
      <w:numFmt w:val="decimal"/>
      <w:lvlText w:val="%4."/>
      <w:lvlJc w:val="left"/>
      <w:pPr>
        <w:ind w:left="2946" w:hanging="360"/>
      </w:pPr>
    </w:lvl>
    <w:lvl w:ilvl="4" w:tplc="04070019">
      <w:start w:val="1"/>
      <w:numFmt w:val="lowerLetter"/>
      <w:lvlText w:val="%5."/>
      <w:lvlJc w:val="left"/>
      <w:pPr>
        <w:ind w:left="3666" w:hanging="360"/>
      </w:pPr>
    </w:lvl>
    <w:lvl w:ilvl="5" w:tplc="0407001B">
      <w:start w:val="1"/>
      <w:numFmt w:val="lowerRoman"/>
      <w:lvlText w:val="%6."/>
      <w:lvlJc w:val="right"/>
      <w:pPr>
        <w:ind w:left="4386" w:hanging="180"/>
      </w:pPr>
    </w:lvl>
    <w:lvl w:ilvl="6" w:tplc="0407000F">
      <w:start w:val="1"/>
      <w:numFmt w:val="decimal"/>
      <w:lvlText w:val="%7."/>
      <w:lvlJc w:val="left"/>
      <w:pPr>
        <w:ind w:left="5106" w:hanging="360"/>
      </w:pPr>
    </w:lvl>
    <w:lvl w:ilvl="7" w:tplc="04070019">
      <w:start w:val="1"/>
      <w:numFmt w:val="lowerLetter"/>
      <w:lvlText w:val="%8."/>
      <w:lvlJc w:val="left"/>
      <w:pPr>
        <w:ind w:left="5826" w:hanging="360"/>
      </w:pPr>
    </w:lvl>
    <w:lvl w:ilvl="8" w:tplc="0407001B">
      <w:start w:val="1"/>
      <w:numFmt w:val="lowerRoman"/>
      <w:lvlText w:val="%9."/>
      <w:lvlJc w:val="right"/>
      <w:pPr>
        <w:ind w:left="6546" w:hanging="180"/>
      </w:pPr>
    </w:lvl>
  </w:abstractNum>
  <w:abstractNum w:abstractNumId="25" w15:restartNumberingAfterBreak="0">
    <w:nsid w:val="402751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5C4E49"/>
    <w:multiLevelType w:val="hybridMultilevel"/>
    <w:tmpl w:val="FA24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E6029A"/>
    <w:multiLevelType w:val="hybridMultilevel"/>
    <w:tmpl w:val="1AFE0A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6D4D93"/>
    <w:multiLevelType w:val="multilevel"/>
    <w:tmpl w:val="9C109B1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B455DE2"/>
    <w:multiLevelType w:val="hybridMultilevel"/>
    <w:tmpl w:val="D47C1468"/>
    <w:lvl w:ilvl="0" w:tplc="442E06F2">
      <w:start w:val="5"/>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D2487B"/>
    <w:multiLevelType w:val="hybridMultilevel"/>
    <w:tmpl w:val="BD982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4645E4"/>
    <w:multiLevelType w:val="hybridMultilevel"/>
    <w:tmpl w:val="A6929E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8D19BC"/>
    <w:multiLevelType w:val="hybridMultilevel"/>
    <w:tmpl w:val="09EC0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130AA2"/>
    <w:multiLevelType w:val="hybridMultilevel"/>
    <w:tmpl w:val="1CC884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CB21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0A6DC4"/>
    <w:multiLevelType w:val="hybridMultilevel"/>
    <w:tmpl w:val="A3C2ECAA"/>
    <w:lvl w:ilvl="0" w:tplc="726AE7A0">
      <w:start w:val="2"/>
      <w:numFmt w:val="bullet"/>
      <w:lvlText w:val="-"/>
      <w:lvlJc w:val="left"/>
      <w:pPr>
        <w:ind w:left="720" w:hanging="360"/>
      </w:pPr>
      <w:rPr>
        <w:rFonts w:ascii="Minion Pro" w:eastAsiaTheme="minorEastAsia" w:hAnsi="Minion Pro" w:hint="default"/>
        <w:color w:val="008080"/>
        <w:u w:val="singl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9D3067D"/>
    <w:multiLevelType w:val="hybridMultilevel"/>
    <w:tmpl w:val="AABC6B7A"/>
    <w:lvl w:ilvl="0" w:tplc="1A6A9BF6">
      <w:start w:val="1"/>
      <w:numFmt w:val="lowerLetter"/>
      <w:lvlText w:val="%1."/>
      <w:lvlJc w:val="left"/>
      <w:pPr>
        <w:ind w:left="786" w:hanging="360"/>
      </w:p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start w:val="1"/>
      <w:numFmt w:val="decimal"/>
      <w:lvlText w:val="%4."/>
      <w:lvlJc w:val="left"/>
      <w:pPr>
        <w:ind w:left="2946" w:hanging="360"/>
      </w:pPr>
    </w:lvl>
    <w:lvl w:ilvl="4" w:tplc="04070019">
      <w:start w:val="1"/>
      <w:numFmt w:val="lowerLetter"/>
      <w:lvlText w:val="%5."/>
      <w:lvlJc w:val="left"/>
      <w:pPr>
        <w:ind w:left="3666" w:hanging="360"/>
      </w:pPr>
    </w:lvl>
    <w:lvl w:ilvl="5" w:tplc="0407001B">
      <w:start w:val="1"/>
      <w:numFmt w:val="lowerRoman"/>
      <w:lvlText w:val="%6."/>
      <w:lvlJc w:val="right"/>
      <w:pPr>
        <w:ind w:left="4386" w:hanging="180"/>
      </w:pPr>
    </w:lvl>
    <w:lvl w:ilvl="6" w:tplc="0407000F">
      <w:start w:val="1"/>
      <w:numFmt w:val="decimal"/>
      <w:lvlText w:val="%7."/>
      <w:lvlJc w:val="left"/>
      <w:pPr>
        <w:ind w:left="5106" w:hanging="360"/>
      </w:pPr>
    </w:lvl>
    <w:lvl w:ilvl="7" w:tplc="04070019">
      <w:start w:val="1"/>
      <w:numFmt w:val="lowerLetter"/>
      <w:lvlText w:val="%8."/>
      <w:lvlJc w:val="left"/>
      <w:pPr>
        <w:ind w:left="5826" w:hanging="360"/>
      </w:pPr>
    </w:lvl>
    <w:lvl w:ilvl="8" w:tplc="0407001B">
      <w:start w:val="1"/>
      <w:numFmt w:val="lowerRoman"/>
      <w:lvlText w:val="%9."/>
      <w:lvlJc w:val="right"/>
      <w:pPr>
        <w:ind w:left="6546" w:hanging="180"/>
      </w:pPr>
    </w:lvl>
  </w:abstractNum>
  <w:abstractNum w:abstractNumId="37" w15:restartNumberingAfterBreak="0">
    <w:nsid w:val="69D85261"/>
    <w:multiLevelType w:val="hybridMultilevel"/>
    <w:tmpl w:val="4F0606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F515D1"/>
    <w:multiLevelType w:val="multilevel"/>
    <w:tmpl w:val="F27E5364"/>
    <w:lvl w:ilvl="0">
      <w:start w:val="1"/>
      <w:numFmt w:val="decimal"/>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7554C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150268"/>
    <w:multiLevelType w:val="hybridMultilevel"/>
    <w:tmpl w:val="0EF63B78"/>
    <w:lvl w:ilvl="0" w:tplc="442E06F2">
      <w:start w:val="5"/>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653390"/>
    <w:multiLevelType w:val="hybridMultilevel"/>
    <w:tmpl w:val="AABC6B7A"/>
    <w:lvl w:ilvl="0" w:tplc="1A6A9BF6">
      <w:start w:val="1"/>
      <w:numFmt w:val="lowerLetter"/>
      <w:lvlText w:val="%1."/>
      <w:lvlJc w:val="left"/>
      <w:pPr>
        <w:ind w:left="786" w:hanging="360"/>
      </w:p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start w:val="1"/>
      <w:numFmt w:val="decimal"/>
      <w:lvlText w:val="%4."/>
      <w:lvlJc w:val="left"/>
      <w:pPr>
        <w:ind w:left="2946" w:hanging="360"/>
      </w:pPr>
    </w:lvl>
    <w:lvl w:ilvl="4" w:tplc="04070019">
      <w:start w:val="1"/>
      <w:numFmt w:val="lowerLetter"/>
      <w:lvlText w:val="%5."/>
      <w:lvlJc w:val="left"/>
      <w:pPr>
        <w:ind w:left="3666" w:hanging="360"/>
      </w:pPr>
    </w:lvl>
    <w:lvl w:ilvl="5" w:tplc="0407001B">
      <w:start w:val="1"/>
      <w:numFmt w:val="lowerRoman"/>
      <w:lvlText w:val="%6."/>
      <w:lvlJc w:val="right"/>
      <w:pPr>
        <w:ind w:left="4386" w:hanging="180"/>
      </w:pPr>
    </w:lvl>
    <w:lvl w:ilvl="6" w:tplc="0407000F">
      <w:start w:val="1"/>
      <w:numFmt w:val="decimal"/>
      <w:lvlText w:val="%7."/>
      <w:lvlJc w:val="left"/>
      <w:pPr>
        <w:ind w:left="5106" w:hanging="360"/>
      </w:pPr>
    </w:lvl>
    <w:lvl w:ilvl="7" w:tplc="04070019">
      <w:start w:val="1"/>
      <w:numFmt w:val="lowerLetter"/>
      <w:lvlText w:val="%8."/>
      <w:lvlJc w:val="left"/>
      <w:pPr>
        <w:ind w:left="5826" w:hanging="360"/>
      </w:pPr>
    </w:lvl>
    <w:lvl w:ilvl="8" w:tplc="0407001B">
      <w:start w:val="1"/>
      <w:numFmt w:val="lowerRoman"/>
      <w:lvlText w:val="%9."/>
      <w:lvlJc w:val="right"/>
      <w:pPr>
        <w:ind w:left="6546" w:hanging="180"/>
      </w:pPr>
    </w:lvl>
  </w:abstractNum>
  <w:abstractNum w:abstractNumId="42" w15:restartNumberingAfterBreak="0">
    <w:nsid w:val="7E6E0658"/>
    <w:multiLevelType w:val="hybridMultilevel"/>
    <w:tmpl w:val="AB80F4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EA96A04"/>
    <w:multiLevelType w:val="hybridMultilevel"/>
    <w:tmpl w:val="E9B0B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F856F7"/>
    <w:multiLevelType w:val="hybridMultilevel"/>
    <w:tmpl w:val="F00C7B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EF35B8"/>
    <w:multiLevelType w:val="multilevel"/>
    <w:tmpl w:val="5B7049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2"/>
  </w:num>
  <w:num w:numId="3">
    <w:abstractNumId w:val="1"/>
  </w:num>
  <w:num w:numId="4">
    <w:abstractNumId w:val="13"/>
  </w:num>
  <w:num w:numId="5">
    <w:abstractNumId w:val="28"/>
  </w:num>
  <w:num w:numId="6">
    <w:abstractNumId w:val="38"/>
  </w:num>
  <w:num w:numId="7">
    <w:abstractNumId w:val="21"/>
  </w:num>
  <w:num w:numId="8">
    <w:abstractNumId w:val="34"/>
  </w:num>
  <w:num w:numId="9">
    <w:abstractNumId w:val="11"/>
  </w:num>
  <w:num w:numId="10">
    <w:abstractNumId w:val="39"/>
  </w:num>
  <w:num w:numId="11">
    <w:abstractNumId w:val="25"/>
  </w:num>
  <w:num w:numId="12">
    <w:abstractNumId w:val="35"/>
  </w:num>
  <w:num w:numId="13">
    <w:abstractNumId w:val="42"/>
  </w:num>
  <w:num w:numId="14">
    <w:abstractNumId w:val="12"/>
  </w:num>
  <w:num w:numId="15">
    <w:abstractNumId w:val="16"/>
  </w:num>
  <w:num w:numId="16">
    <w:abstractNumId w:val="4"/>
  </w:num>
  <w:num w:numId="17">
    <w:abstractNumId w:val="26"/>
  </w:num>
  <w:num w:numId="18">
    <w:abstractNumId w:val="15"/>
  </w:num>
  <w:num w:numId="19">
    <w:abstractNumId w:val="43"/>
  </w:num>
  <w:num w:numId="20">
    <w:abstractNumId w:val="5"/>
  </w:num>
  <w:num w:numId="21">
    <w:abstractNumId w:val="0"/>
  </w:num>
  <w:num w:numId="22">
    <w:abstractNumId w:val="45"/>
  </w:num>
  <w:num w:numId="23">
    <w:abstractNumId w:val="2"/>
  </w:num>
  <w:num w:numId="24">
    <w:abstractNumId w:val="14"/>
  </w:num>
  <w:num w:numId="25">
    <w:abstractNumId w:val="17"/>
  </w:num>
  <w:num w:numId="26">
    <w:abstractNumId w:val="3"/>
  </w:num>
  <w:num w:numId="27">
    <w:abstractNumId w:val="32"/>
  </w:num>
  <w:num w:numId="28">
    <w:abstractNumId w:val="10"/>
  </w:num>
  <w:num w:numId="29">
    <w:abstractNumId w:val="7"/>
  </w:num>
  <w:num w:numId="30">
    <w:abstractNumId w:val="18"/>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6"/>
  </w:num>
  <w:num w:numId="34">
    <w:abstractNumId w:val="36"/>
  </w:num>
  <w:num w:numId="35">
    <w:abstractNumId w:val="41"/>
  </w:num>
  <w:num w:numId="36">
    <w:abstractNumId w:val="8"/>
  </w:num>
  <w:num w:numId="37">
    <w:abstractNumId w:val="27"/>
  </w:num>
  <w:num w:numId="38">
    <w:abstractNumId w:val="44"/>
  </w:num>
  <w:num w:numId="39">
    <w:abstractNumId w:val="19"/>
  </w:num>
  <w:num w:numId="40">
    <w:abstractNumId w:val="30"/>
  </w:num>
  <w:num w:numId="41">
    <w:abstractNumId w:val="20"/>
  </w:num>
  <w:num w:numId="42">
    <w:abstractNumId w:val="37"/>
  </w:num>
  <w:num w:numId="43">
    <w:abstractNumId w:val="9"/>
  </w:num>
  <w:num w:numId="44">
    <w:abstractNumId w:val="31"/>
  </w:num>
  <w:num w:numId="45">
    <w:abstractNumId w:val="23"/>
  </w:num>
  <w:num w:numId="46">
    <w:abstractNumId w:val="29"/>
  </w:num>
  <w:num w:numId="47">
    <w:abstractNumId w:val="40"/>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BA1"/>
    <w:rsid w:val="0000281B"/>
    <w:rsid w:val="0000590B"/>
    <w:rsid w:val="00010AFD"/>
    <w:rsid w:val="00037494"/>
    <w:rsid w:val="00037C87"/>
    <w:rsid w:val="000579AD"/>
    <w:rsid w:val="00074277"/>
    <w:rsid w:val="00082AA1"/>
    <w:rsid w:val="000907D5"/>
    <w:rsid w:val="00091C04"/>
    <w:rsid w:val="000A3C78"/>
    <w:rsid w:val="000A4D70"/>
    <w:rsid w:val="000B581C"/>
    <w:rsid w:val="000B6A57"/>
    <w:rsid w:val="000D2704"/>
    <w:rsid w:val="000E328E"/>
    <w:rsid w:val="000E6CDD"/>
    <w:rsid w:val="001005EE"/>
    <w:rsid w:val="00105304"/>
    <w:rsid w:val="0011214F"/>
    <w:rsid w:val="00116652"/>
    <w:rsid w:val="00131D51"/>
    <w:rsid w:val="00135DFF"/>
    <w:rsid w:val="00152852"/>
    <w:rsid w:val="00154304"/>
    <w:rsid w:val="00155D44"/>
    <w:rsid w:val="001657C0"/>
    <w:rsid w:val="00173D35"/>
    <w:rsid w:val="0019264E"/>
    <w:rsid w:val="001E21A8"/>
    <w:rsid w:val="001E6467"/>
    <w:rsid w:val="001F158E"/>
    <w:rsid w:val="00205314"/>
    <w:rsid w:val="00237137"/>
    <w:rsid w:val="00246B59"/>
    <w:rsid w:val="00262314"/>
    <w:rsid w:val="00262477"/>
    <w:rsid w:val="002672BD"/>
    <w:rsid w:val="0027134F"/>
    <w:rsid w:val="0027324F"/>
    <w:rsid w:val="00274960"/>
    <w:rsid w:val="00287CBD"/>
    <w:rsid w:val="002A25AA"/>
    <w:rsid w:val="002B2738"/>
    <w:rsid w:val="002C3544"/>
    <w:rsid w:val="002D22FD"/>
    <w:rsid w:val="002D4EDA"/>
    <w:rsid w:val="002D5EC3"/>
    <w:rsid w:val="002F5723"/>
    <w:rsid w:val="00302E04"/>
    <w:rsid w:val="0030419E"/>
    <w:rsid w:val="00310D62"/>
    <w:rsid w:val="003377CA"/>
    <w:rsid w:val="003415AF"/>
    <w:rsid w:val="00350CB6"/>
    <w:rsid w:val="0035457B"/>
    <w:rsid w:val="003558FA"/>
    <w:rsid w:val="00375B0F"/>
    <w:rsid w:val="00396F67"/>
    <w:rsid w:val="003A5C36"/>
    <w:rsid w:val="003B7122"/>
    <w:rsid w:val="003B7ED7"/>
    <w:rsid w:val="003C74F8"/>
    <w:rsid w:val="003D0826"/>
    <w:rsid w:val="003D450F"/>
    <w:rsid w:val="003E2464"/>
    <w:rsid w:val="003F0024"/>
    <w:rsid w:val="003F5B7B"/>
    <w:rsid w:val="00400E23"/>
    <w:rsid w:val="0040438B"/>
    <w:rsid w:val="00425FAD"/>
    <w:rsid w:val="00442BA9"/>
    <w:rsid w:val="00447106"/>
    <w:rsid w:val="00451844"/>
    <w:rsid w:val="00452706"/>
    <w:rsid w:val="00480380"/>
    <w:rsid w:val="00480C4A"/>
    <w:rsid w:val="0048300D"/>
    <w:rsid w:val="00490F2F"/>
    <w:rsid w:val="00495C41"/>
    <w:rsid w:val="004A6909"/>
    <w:rsid w:val="004A6B5F"/>
    <w:rsid w:val="004A7C95"/>
    <w:rsid w:val="004B0648"/>
    <w:rsid w:val="004C4C3C"/>
    <w:rsid w:val="004C7038"/>
    <w:rsid w:val="004D1573"/>
    <w:rsid w:val="004F656B"/>
    <w:rsid w:val="004F67E9"/>
    <w:rsid w:val="00506503"/>
    <w:rsid w:val="005074D3"/>
    <w:rsid w:val="00507FF6"/>
    <w:rsid w:val="005122E7"/>
    <w:rsid w:val="00514321"/>
    <w:rsid w:val="00531689"/>
    <w:rsid w:val="005449F7"/>
    <w:rsid w:val="00554C29"/>
    <w:rsid w:val="00554DF3"/>
    <w:rsid w:val="0056512F"/>
    <w:rsid w:val="005652E8"/>
    <w:rsid w:val="00576CCD"/>
    <w:rsid w:val="005836CA"/>
    <w:rsid w:val="00597425"/>
    <w:rsid w:val="005A458B"/>
    <w:rsid w:val="005A469A"/>
    <w:rsid w:val="005D1890"/>
    <w:rsid w:val="005D6E5E"/>
    <w:rsid w:val="005F2C6C"/>
    <w:rsid w:val="006051E0"/>
    <w:rsid w:val="006058CF"/>
    <w:rsid w:val="00610EB1"/>
    <w:rsid w:val="00611DF1"/>
    <w:rsid w:val="006125CC"/>
    <w:rsid w:val="006148F9"/>
    <w:rsid w:val="00647604"/>
    <w:rsid w:val="006529AA"/>
    <w:rsid w:val="0066464A"/>
    <w:rsid w:val="00667D79"/>
    <w:rsid w:val="006A41BE"/>
    <w:rsid w:val="006B5EDC"/>
    <w:rsid w:val="006C15C1"/>
    <w:rsid w:val="006C7B79"/>
    <w:rsid w:val="006D2B68"/>
    <w:rsid w:val="006E13B1"/>
    <w:rsid w:val="006E6606"/>
    <w:rsid w:val="006E67E6"/>
    <w:rsid w:val="00700A69"/>
    <w:rsid w:val="00706724"/>
    <w:rsid w:val="00751C76"/>
    <w:rsid w:val="00766E69"/>
    <w:rsid w:val="0077645E"/>
    <w:rsid w:val="00777526"/>
    <w:rsid w:val="00786164"/>
    <w:rsid w:val="00790B3A"/>
    <w:rsid w:val="0079743C"/>
    <w:rsid w:val="007A2892"/>
    <w:rsid w:val="007A494E"/>
    <w:rsid w:val="007B501C"/>
    <w:rsid w:val="007B535F"/>
    <w:rsid w:val="007B5424"/>
    <w:rsid w:val="007C6F6B"/>
    <w:rsid w:val="007D0F5D"/>
    <w:rsid w:val="007D388B"/>
    <w:rsid w:val="007E3AD0"/>
    <w:rsid w:val="007E4D0C"/>
    <w:rsid w:val="007F0C69"/>
    <w:rsid w:val="007F3737"/>
    <w:rsid w:val="00802BE0"/>
    <w:rsid w:val="0082555D"/>
    <w:rsid w:val="00825662"/>
    <w:rsid w:val="00830754"/>
    <w:rsid w:val="008318FD"/>
    <w:rsid w:val="00837C2B"/>
    <w:rsid w:val="00841199"/>
    <w:rsid w:val="00855B2E"/>
    <w:rsid w:val="0086034F"/>
    <w:rsid w:val="00861CBC"/>
    <w:rsid w:val="008761FB"/>
    <w:rsid w:val="00880704"/>
    <w:rsid w:val="008817B3"/>
    <w:rsid w:val="00886BCC"/>
    <w:rsid w:val="0089056C"/>
    <w:rsid w:val="00893CAF"/>
    <w:rsid w:val="008940EA"/>
    <w:rsid w:val="008A7187"/>
    <w:rsid w:val="008A75A9"/>
    <w:rsid w:val="008B3260"/>
    <w:rsid w:val="008B4025"/>
    <w:rsid w:val="008B5499"/>
    <w:rsid w:val="008B6257"/>
    <w:rsid w:val="008D0E5F"/>
    <w:rsid w:val="008D2DD6"/>
    <w:rsid w:val="008E0E24"/>
    <w:rsid w:val="008E4643"/>
    <w:rsid w:val="008E7BBC"/>
    <w:rsid w:val="008F5A96"/>
    <w:rsid w:val="0090155E"/>
    <w:rsid w:val="0093117F"/>
    <w:rsid w:val="00946590"/>
    <w:rsid w:val="00955EF8"/>
    <w:rsid w:val="00960800"/>
    <w:rsid w:val="00961777"/>
    <w:rsid w:val="0096455B"/>
    <w:rsid w:val="00965069"/>
    <w:rsid w:val="00966D37"/>
    <w:rsid w:val="009755CE"/>
    <w:rsid w:val="0098706F"/>
    <w:rsid w:val="00990022"/>
    <w:rsid w:val="00992D47"/>
    <w:rsid w:val="0099508C"/>
    <w:rsid w:val="009A0BBA"/>
    <w:rsid w:val="009A1037"/>
    <w:rsid w:val="009A1786"/>
    <w:rsid w:val="009A1EC2"/>
    <w:rsid w:val="009B766E"/>
    <w:rsid w:val="009C7D50"/>
    <w:rsid w:val="009E15A4"/>
    <w:rsid w:val="009F3748"/>
    <w:rsid w:val="009F7A1B"/>
    <w:rsid w:val="00A0181E"/>
    <w:rsid w:val="00A16A73"/>
    <w:rsid w:val="00A222F0"/>
    <w:rsid w:val="00A2252A"/>
    <w:rsid w:val="00A235FD"/>
    <w:rsid w:val="00A24225"/>
    <w:rsid w:val="00A60908"/>
    <w:rsid w:val="00A60AB3"/>
    <w:rsid w:val="00A66E80"/>
    <w:rsid w:val="00A75D22"/>
    <w:rsid w:val="00A936B6"/>
    <w:rsid w:val="00A95449"/>
    <w:rsid w:val="00AA3FFC"/>
    <w:rsid w:val="00AA4048"/>
    <w:rsid w:val="00AB0B27"/>
    <w:rsid w:val="00AC1DB5"/>
    <w:rsid w:val="00AC1E54"/>
    <w:rsid w:val="00B11F85"/>
    <w:rsid w:val="00B36E88"/>
    <w:rsid w:val="00B443CC"/>
    <w:rsid w:val="00B45499"/>
    <w:rsid w:val="00B510E3"/>
    <w:rsid w:val="00B54960"/>
    <w:rsid w:val="00B67CAB"/>
    <w:rsid w:val="00B725DB"/>
    <w:rsid w:val="00B82A0E"/>
    <w:rsid w:val="00B86C06"/>
    <w:rsid w:val="00B87BAE"/>
    <w:rsid w:val="00B90F37"/>
    <w:rsid w:val="00B967A4"/>
    <w:rsid w:val="00BA076C"/>
    <w:rsid w:val="00BA0FF6"/>
    <w:rsid w:val="00BA1BA1"/>
    <w:rsid w:val="00BA501B"/>
    <w:rsid w:val="00BA729D"/>
    <w:rsid w:val="00BB5582"/>
    <w:rsid w:val="00BC321C"/>
    <w:rsid w:val="00BC3E71"/>
    <w:rsid w:val="00BC6F47"/>
    <w:rsid w:val="00BD28DC"/>
    <w:rsid w:val="00BE17E1"/>
    <w:rsid w:val="00BE7EEC"/>
    <w:rsid w:val="00C01E19"/>
    <w:rsid w:val="00C02E68"/>
    <w:rsid w:val="00C03BE2"/>
    <w:rsid w:val="00C13A4E"/>
    <w:rsid w:val="00C24361"/>
    <w:rsid w:val="00C56991"/>
    <w:rsid w:val="00C601AE"/>
    <w:rsid w:val="00C715BE"/>
    <w:rsid w:val="00C74A79"/>
    <w:rsid w:val="00C811D1"/>
    <w:rsid w:val="00C85632"/>
    <w:rsid w:val="00C940C5"/>
    <w:rsid w:val="00CA18D3"/>
    <w:rsid w:val="00CB7AC7"/>
    <w:rsid w:val="00CC3D2A"/>
    <w:rsid w:val="00CD4295"/>
    <w:rsid w:val="00CE03D3"/>
    <w:rsid w:val="00CE3B45"/>
    <w:rsid w:val="00CF0230"/>
    <w:rsid w:val="00CF025B"/>
    <w:rsid w:val="00D22E9B"/>
    <w:rsid w:val="00D2703B"/>
    <w:rsid w:val="00D3480E"/>
    <w:rsid w:val="00D46ADA"/>
    <w:rsid w:val="00D5530D"/>
    <w:rsid w:val="00D661C4"/>
    <w:rsid w:val="00D66976"/>
    <w:rsid w:val="00D66B29"/>
    <w:rsid w:val="00D753F5"/>
    <w:rsid w:val="00D84D41"/>
    <w:rsid w:val="00D93242"/>
    <w:rsid w:val="00DA091C"/>
    <w:rsid w:val="00DA4D82"/>
    <w:rsid w:val="00DD496E"/>
    <w:rsid w:val="00DD752F"/>
    <w:rsid w:val="00DF76BC"/>
    <w:rsid w:val="00E017F0"/>
    <w:rsid w:val="00E04673"/>
    <w:rsid w:val="00E10A24"/>
    <w:rsid w:val="00E116A6"/>
    <w:rsid w:val="00E453EF"/>
    <w:rsid w:val="00E45974"/>
    <w:rsid w:val="00E53B3C"/>
    <w:rsid w:val="00E6391E"/>
    <w:rsid w:val="00E70848"/>
    <w:rsid w:val="00E77615"/>
    <w:rsid w:val="00E86AEC"/>
    <w:rsid w:val="00E92197"/>
    <w:rsid w:val="00EA07D8"/>
    <w:rsid w:val="00EA0FBE"/>
    <w:rsid w:val="00EA7FBF"/>
    <w:rsid w:val="00EB1E11"/>
    <w:rsid w:val="00EC107A"/>
    <w:rsid w:val="00EC2203"/>
    <w:rsid w:val="00F15831"/>
    <w:rsid w:val="00F20FAF"/>
    <w:rsid w:val="00F25E9F"/>
    <w:rsid w:val="00F27ECF"/>
    <w:rsid w:val="00F43173"/>
    <w:rsid w:val="00F44463"/>
    <w:rsid w:val="00F46C35"/>
    <w:rsid w:val="00F477D6"/>
    <w:rsid w:val="00F618AB"/>
    <w:rsid w:val="00FA3258"/>
    <w:rsid w:val="00FA44FB"/>
    <w:rsid w:val="00FC2EC5"/>
    <w:rsid w:val="00FC54F6"/>
    <w:rsid w:val="00FC72A3"/>
    <w:rsid w:val="00FE2872"/>
    <w:rsid w:val="00FE4A2C"/>
    <w:rsid w:val="00FE533B"/>
    <w:rsid w:val="00FF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D9E80"/>
  <w15:chartTrackingRefBased/>
  <w15:docId w15:val="{2E6BAE86-DA0C-472F-BF9A-FD5FC53C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55EF8"/>
    <w:pPr>
      <w:keepNext/>
      <w:keepLines/>
      <w:spacing w:before="240" w:after="0"/>
      <w:outlineLvl w:val="0"/>
    </w:pPr>
    <w:rPr>
      <w:rFonts w:asciiTheme="majorHAnsi" w:eastAsiaTheme="majorEastAsia" w:hAnsiTheme="majorHAnsi" w:cstheme="majorBidi"/>
      <w:color w:val="C00000"/>
      <w:sz w:val="32"/>
      <w:szCs w:val="32"/>
    </w:rPr>
  </w:style>
  <w:style w:type="paragraph" w:styleId="Titre2">
    <w:name w:val="heading 2"/>
    <w:basedOn w:val="Normal"/>
    <w:next w:val="Normal"/>
    <w:link w:val="Titre2Car"/>
    <w:autoRedefine/>
    <w:uiPriority w:val="9"/>
    <w:unhideWhenUsed/>
    <w:qFormat/>
    <w:rsid w:val="00955EF8"/>
    <w:pPr>
      <w:keepNext/>
      <w:keepLines/>
      <w:numPr>
        <w:ilvl w:val="1"/>
        <w:numId w:val="6"/>
      </w:numPr>
      <w:spacing w:before="40" w:after="0"/>
      <w:outlineLvl w:val="1"/>
    </w:pPr>
    <w:rPr>
      <w:rFonts w:asciiTheme="majorHAnsi" w:eastAsiaTheme="majorEastAsia" w:hAnsiTheme="majorHAnsi" w:cstheme="majorBidi"/>
      <w:color w:val="C00000"/>
      <w:sz w:val="26"/>
      <w:szCs w:val="26"/>
    </w:rPr>
  </w:style>
  <w:style w:type="paragraph" w:styleId="Titre3">
    <w:name w:val="heading 3"/>
    <w:basedOn w:val="Normal"/>
    <w:next w:val="Normal"/>
    <w:link w:val="Titre3Car"/>
    <w:autoRedefine/>
    <w:uiPriority w:val="9"/>
    <w:unhideWhenUsed/>
    <w:qFormat/>
    <w:rsid w:val="00955EF8"/>
    <w:pPr>
      <w:keepNext/>
      <w:keepLines/>
      <w:numPr>
        <w:ilvl w:val="2"/>
        <w:numId w:val="6"/>
      </w:numPr>
      <w:spacing w:before="40" w:after="0"/>
      <w:outlineLvl w:val="2"/>
    </w:pPr>
    <w:rPr>
      <w:rFonts w:asciiTheme="majorHAnsi" w:eastAsiaTheme="majorEastAsia" w:hAnsiTheme="majorHAnsi" w:cs="Arial"/>
      <w:color w:val="C00000"/>
      <w:sz w:val="24"/>
      <w:szCs w:val="24"/>
    </w:rPr>
  </w:style>
  <w:style w:type="paragraph" w:styleId="Titre4">
    <w:name w:val="heading 4"/>
    <w:basedOn w:val="Normal"/>
    <w:next w:val="Normal"/>
    <w:link w:val="Titre4Car"/>
    <w:uiPriority w:val="9"/>
    <w:unhideWhenUsed/>
    <w:qFormat/>
    <w:rsid w:val="00955EF8"/>
    <w:pPr>
      <w:keepNext/>
      <w:keepLines/>
      <w:spacing w:before="40" w:after="0"/>
      <w:outlineLvl w:val="3"/>
    </w:pPr>
    <w:rPr>
      <w:rFonts w:asciiTheme="majorHAnsi" w:eastAsiaTheme="majorEastAsia" w:hAnsiTheme="majorHAnsi" w:cstheme="majorBidi"/>
      <w:i/>
      <w:iCs/>
      <w:color w:val="C00000"/>
    </w:rPr>
  </w:style>
  <w:style w:type="paragraph" w:styleId="Titre5">
    <w:name w:val="heading 5"/>
    <w:basedOn w:val="Normal"/>
    <w:next w:val="Normal"/>
    <w:link w:val="Titre5Car"/>
    <w:uiPriority w:val="9"/>
    <w:unhideWhenUsed/>
    <w:qFormat/>
    <w:rsid w:val="00955EF8"/>
    <w:pPr>
      <w:keepNext/>
      <w:keepLines/>
      <w:spacing w:before="40" w:after="0"/>
      <w:outlineLvl w:val="4"/>
    </w:pPr>
    <w:rPr>
      <w:rFonts w:asciiTheme="majorHAnsi" w:eastAsiaTheme="majorEastAsia" w:hAnsiTheme="majorHAnsi" w:cstheme="majorBidi"/>
      <w:color w:val="C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5EF8"/>
    <w:rPr>
      <w:rFonts w:asciiTheme="majorHAnsi" w:eastAsiaTheme="majorEastAsia" w:hAnsiTheme="majorHAnsi" w:cstheme="majorBidi"/>
      <w:color w:val="C00000"/>
      <w:sz w:val="32"/>
      <w:szCs w:val="32"/>
    </w:rPr>
  </w:style>
  <w:style w:type="paragraph" w:styleId="En-ttedetabledesmatires">
    <w:name w:val="TOC Heading"/>
    <w:basedOn w:val="Titre1"/>
    <w:next w:val="Normal"/>
    <w:uiPriority w:val="39"/>
    <w:unhideWhenUsed/>
    <w:qFormat/>
    <w:rsid w:val="00BA1BA1"/>
    <w:pPr>
      <w:outlineLvl w:val="9"/>
    </w:pPr>
  </w:style>
  <w:style w:type="character" w:customStyle="1" w:styleId="Titre2Car">
    <w:name w:val="Titre 2 Car"/>
    <w:basedOn w:val="Policepardfaut"/>
    <w:link w:val="Titre2"/>
    <w:uiPriority w:val="9"/>
    <w:rsid w:val="00955EF8"/>
    <w:rPr>
      <w:rFonts w:asciiTheme="majorHAnsi" w:eastAsiaTheme="majorEastAsia" w:hAnsiTheme="majorHAnsi" w:cstheme="majorBidi"/>
      <w:color w:val="C00000"/>
      <w:sz w:val="26"/>
      <w:szCs w:val="26"/>
    </w:rPr>
  </w:style>
  <w:style w:type="paragraph" w:styleId="TM1">
    <w:name w:val="toc 1"/>
    <w:basedOn w:val="Normal"/>
    <w:next w:val="Normal"/>
    <w:autoRedefine/>
    <w:uiPriority w:val="39"/>
    <w:unhideWhenUsed/>
    <w:rsid w:val="00BA1BA1"/>
    <w:pPr>
      <w:tabs>
        <w:tab w:val="left" w:pos="440"/>
        <w:tab w:val="right" w:leader="dot" w:pos="9350"/>
      </w:tabs>
      <w:spacing w:after="100"/>
    </w:pPr>
  </w:style>
  <w:style w:type="paragraph" w:styleId="TM2">
    <w:name w:val="toc 2"/>
    <w:basedOn w:val="Normal"/>
    <w:next w:val="Normal"/>
    <w:autoRedefine/>
    <w:uiPriority w:val="39"/>
    <w:unhideWhenUsed/>
    <w:rsid w:val="00BA1BA1"/>
    <w:pPr>
      <w:spacing w:after="100"/>
      <w:ind w:left="220"/>
    </w:pPr>
  </w:style>
  <w:style w:type="character" w:styleId="Lienhypertexte">
    <w:name w:val="Hyperlink"/>
    <w:basedOn w:val="Policepardfaut"/>
    <w:uiPriority w:val="99"/>
    <w:unhideWhenUsed/>
    <w:rsid w:val="00BA1BA1"/>
    <w:rPr>
      <w:color w:val="0563C1" w:themeColor="hyperlink"/>
      <w:u w:val="single"/>
    </w:rPr>
  </w:style>
  <w:style w:type="paragraph" w:styleId="Paragraphedeliste">
    <w:name w:val="List Paragraph"/>
    <w:basedOn w:val="Normal"/>
    <w:uiPriority w:val="34"/>
    <w:qFormat/>
    <w:rsid w:val="00BA1BA1"/>
    <w:pPr>
      <w:spacing w:after="0" w:line="240" w:lineRule="auto"/>
      <w:ind w:left="720"/>
      <w:contextualSpacing/>
      <w:jc w:val="both"/>
    </w:pPr>
    <w:rPr>
      <w:rFonts w:ascii="Arial" w:eastAsia="Times New Roman" w:hAnsi="Arial" w:cs="Times New Roman"/>
      <w:sz w:val="20"/>
      <w:szCs w:val="20"/>
      <w:lang w:val="en-GB" w:eastAsia="en-GB"/>
    </w:rPr>
  </w:style>
  <w:style w:type="character" w:customStyle="1" w:styleId="Titre3Car">
    <w:name w:val="Titre 3 Car"/>
    <w:basedOn w:val="Policepardfaut"/>
    <w:link w:val="Titre3"/>
    <w:uiPriority w:val="9"/>
    <w:rsid w:val="00955EF8"/>
    <w:rPr>
      <w:rFonts w:asciiTheme="majorHAnsi" w:eastAsiaTheme="majorEastAsia" w:hAnsiTheme="majorHAnsi" w:cs="Arial"/>
      <w:color w:val="C00000"/>
      <w:sz w:val="24"/>
      <w:szCs w:val="24"/>
    </w:rPr>
  </w:style>
  <w:style w:type="character" w:customStyle="1" w:styleId="Titre4Car">
    <w:name w:val="Titre 4 Car"/>
    <w:basedOn w:val="Policepardfaut"/>
    <w:link w:val="Titre4"/>
    <w:uiPriority w:val="9"/>
    <w:rsid w:val="00955EF8"/>
    <w:rPr>
      <w:rFonts w:asciiTheme="majorHAnsi" w:eastAsiaTheme="majorEastAsia" w:hAnsiTheme="majorHAnsi" w:cstheme="majorBidi"/>
      <w:i/>
      <w:iCs/>
      <w:color w:val="C00000"/>
    </w:rPr>
  </w:style>
  <w:style w:type="character" w:customStyle="1" w:styleId="Onopgelostemelding1">
    <w:name w:val="Onopgeloste melding1"/>
    <w:basedOn w:val="Policepardfaut"/>
    <w:uiPriority w:val="99"/>
    <w:semiHidden/>
    <w:unhideWhenUsed/>
    <w:rsid w:val="00BA076C"/>
    <w:rPr>
      <w:color w:val="808080"/>
      <w:shd w:val="clear" w:color="auto" w:fill="E6E6E6"/>
    </w:rPr>
  </w:style>
  <w:style w:type="paragraph" w:styleId="TM3">
    <w:name w:val="toc 3"/>
    <w:basedOn w:val="Normal"/>
    <w:next w:val="Normal"/>
    <w:autoRedefine/>
    <w:uiPriority w:val="39"/>
    <w:unhideWhenUsed/>
    <w:rsid w:val="001E21A8"/>
    <w:pPr>
      <w:spacing w:after="100"/>
      <w:ind w:left="440"/>
    </w:pPr>
  </w:style>
  <w:style w:type="table" w:styleId="Grilledutableau">
    <w:name w:val="Table Grid"/>
    <w:basedOn w:val="TableauNormal"/>
    <w:rsid w:val="00961777"/>
    <w:pPr>
      <w:spacing w:after="0" w:line="240" w:lineRule="auto"/>
    </w:pPr>
    <w:rPr>
      <w:rFonts w:eastAsiaTheme="minorEastAsia" w:cs="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E6391E"/>
    <w:pPr>
      <w:spacing w:after="0" w:line="240" w:lineRule="auto"/>
    </w:pPr>
    <w:rPr>
      <w:rFonts w:ascii="Arial" w:eastAsia="Times New Roman" w:hAnsi="Arial" w:cs="Times New Roman"/>
      <w:b/>
      <w:bCs/>
      <w:color w:val="4472C4" w:themeColor="accent1"/>
      <w:sz w:val="18"/>
      <w:szCs w:val="18"/>
      <w:lang w:val="en-GB" w:eastAsia="en-GB"/>
    </w:rPr>
  </w:style>
  <w:style w:type="character" w:customStyle="1" w:styleId="Titre5Car">
    <w:name w:val="Titre 5 Car"/>
    <w:basedOn w:val="Policepardfaut"/>
    <w:link w:val="Titre5"/>
    <w:uiPriority w:val="9"/>
    <w:rsid w:val="00955EF8"/>
    <w:rPr>
      <w:rFonts w:asciiTheme="majorHAnsi" w:eastAsiaTheme="majorEastAsia" w:hAnsiTheme="majorHAnsi" w:cstheme="majorBidi"/>
      <w:color w:val="C00000"/>
    </w:rPr>
  </w:style>
  <w:style w:type="paragraph" w:styleId="TM4">
    <w:name w:val="toc 4"/>
    <w:basedOn w:val="Normal"/>
    <w:next w:val="Normal"/>
    <w:autoRedefine/>
    <w:uiPriority w:val="39"/>
    <w:unhideWhenUsed/>
    <w:rsid w:val="0019264E"/>
    <w:pPr>
      <w:spacing w:after="100"/>
      <w:ind w:left="660"/>
    </w:pPr>
  </w:style>
  <w:style w:type="paragraph" w:styleId="TM5">
    <w:name w:val="toc 5"/>
    <w:basedOn w:val="Normal"/>
    <w:next w:val="Normal"/>
    <w:autoRedefine/>
    <w:uiPriority w:val="39"/>
    <w:unhideWhenUsed/>
    <w:rsid w:val="0019264E"/>
    <w:pPr>
      <w:spacing w:after="100"/>
      <w:ind w:left="880"/>
    </w:pPr>
  </w:style>
  <w:style w:type="character" w:styleId="Marquedecommentaire">
    <w:name w:val="annotation reference"/>
    <w:basedOn w:val="Policepardfaut"/>
    <w:uiPriority w:val="99"/>
    <w:unhideWhenUsed/>
    <w:rsid w:val="008B6257"/>
    <w:rPr>
      <w:sz w:val="16"/>
      <w:szCs w:val="16"/>
    </w:rPr>
  </w:style>
  <w:style w:type="paragraph" w:styleId="Commentaire">
    <w:name w:val="annotation text"/>
    <w:basedOn w:val="Normal"/>
    <w:link w:val="CommentaireCar"/>
    <w:uiPriority w:val="99"/>
    <w:unhideWhenUsed/>
    <w:rsid w:val="008B6257"/>
    <w:pPr>
      <w:spacing w:line="240" w:lineRule="auto"/>
    </w:pPr>
    <w:rPr>
      <w:sz w:val="20"/>
      <w:szCs w:val="20"/>
    </w:rPr>
  </w:style>
  <w:style w:type="character" w:customStyle="1" w:styleId="CommentaireCar">
    <w:name w:val="Commentaire Car"/>
    <w:basedOn w:val="Policepardfaut"/>
    <w:link w:val="Commentaire"/>
    <w:uiPriority w:val="99"/>
    <w:rsid w:val="008B6257"/>
    <w:rPr>
      <w:sz w:val="20"/>
      <w:szCs w:val="20"/>
    </w:rPr>
  </w:style>
  <w:style w:type="paragraph" w:styleId="Objetducommentaire">
    <w:name w:val="annotation subject"/>
    <w:basedOn w:val="Commentaire"/>
    <w:next w:val="Commentaire"/>
    <w:link w:val="ObjetducommentaireCar"/>
    <w:uiPriority w:val="99"/>
    <w:semiHidden/>
    <w:unhideWhenUsed/>
    <w:rsid w:val="008B6257"/>
    <w:rPr>
      <w:b/>
      <w:bCs/>
    </w:rPr>
  </w:style>
  <w:style w:type="character" w:customStyle="1" w:styleId="ObjetducommentaireCar">
    <w:name w:val="Objet du commentaire Car"/>
    <w:basedOn w:val="CommentaireCar"/>
    <w:link w:val="Objetducommentaire"/>
    <w:uiPriority w:val="99"/>
    <w:semiHidden/>
    <w:rsid w:val="008B6257"/>
    <w:rPr>
      <w:b/>
      <w:bCs/>
      <w:sz w:val="20"/>
      <w:szCs w:val="20"/>
    </w:rPr>
  </w:style>
  <w:style w:type="paragraph" w:styleId="Textedebulles">
    <w:name w:val="Balloon Text"/>
    <w:basedOn w:val="Normal"/>
    <w:link w:val="TextedebullesCar"/>
    <w:uiPriority w:val="99"/>
    <w:semiHidden/>
    <w:unhideWhenUsed/>
    <w:rsid w:val="008B62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6257"/>
    <w:rPr>
      <w:rFonts w:ascii="Segoe UI" w:hAnsi="Segoe UI" w:cs="Segoe UI"/>
      <w:sz w:val="18"/>
      <w:szCs w:val="18"/>
    </w:rPr>
  </w:style>
  <w:style w:type="paragraph" w:styleId="Rvision">
    <w:name w:val="Revision"/>
    <w:hidden/>
    <w:uiPriority w:val="99"/>
    <w:semiHidden/>
    <w:rsid w:val="000A3C78"/>
    <w:pPr>
      <w:spacing w:after="0" w:line="240" w:lineRule="auto"/>
    </w:pPr>
  </w:style>
  <w:style w:type="paragraph" w:customStyle="1" w:styleId="Default">
    <w:name w:val="Default"/>
    <w:rsid w:val="00D661C4"/>
    <w:pPr>
      <w:autoSpaceDE w:val="0"/>
      <w:autoSpaceDN w:val="0"/>
      <w:adjustRightInd w:val="0"/>
      <w:spacing w:after="0" w:line="240" w:lineRule="auto"/>
    </w:pPr>
    <w:rPr>
      <w:rFonts w:ascii="Arial" w:hAnsi="Arial" w:cs="Arial"/>
      <w:color w:val="000000"/>
      <w:sz w:val="24"/>
      <w:szCs w:val="24"/>
    </w:rPr>
  </w:style>
  <w:style w:type="paragraph" w:customStyle="1" w:styleId="Pa27">
    <w:name w:val="Pa27"/>
    <w:basedOn w:val="Default"/>
    <w:next w:val="Default"/>
    <w:uiPriority w:val="99"/>
    <w:rsid w:val="009755CE"/>
    <w:pPr>
      <w:spacing w:line="221" w:lineRule="atLeast"/>
    </w:pPr>
    <w:rPr>
      <w:rFonts w:ascii="Myriad Pro" w:hAnsi="Myriad Pro" w:cstheme="minorBidi"/>
      <w:color w:val="auto"/>
    </w:rPr>
  </w:style>
  <w:style w:type="paragraph" w:customStyle="1" w:styleId="Pa5">
    <w:name w:val="Pa5"/>
    <w:basedOn w:val="Default"/>
    <w:next w:val="Default"/>
    <w:uiPriority w:val="99"/>
    <w:rsid w:val="009755CE"/>
    <w:pPr>
      <w:spacing w:line="221" w:lineRule="atLeast"/>
    </w:pPr>
    <w:rPr>
      <w:rFonts w:ascii="Myriad Pro" w:hAnsi="Myriad Pro" w:cstheme="minorBidi"/>
      <w:color w:val="auto"/>
    </w:rPr>
  </w:style>
  <w:style w:type="character" w:customStyle="1" w:styleId="A11">
    <w:name w:val="A11"/>
    <w:uiPriority w:val="99"/>
    <w:rsid w:val="009755CE"/>
    <w:rPr>
      <w:rFonts w:ascii="Minion Pro" w:hAnsi="Minion Pro" w:cs="Minion Pro"/>
      <w:color w:val="000000"/>
      <w:sz w:val="22"/>
      <w:szCs w:val="22"/>
    </w:rPr>
  </w:style>
  <w:style w:type="character" w:customStyle="1" w:styleId="A7">
    <w:name w:val="A7"/>
    <w:uiPriority w:val="99"/>
    <w:rsid w:val="009755CE"/>
    <w:rPr>
      <w:rFonts w:ascii="Minion Pro" w:hAnsi="Minion Pro" w:cs="Minion Pro"/>
      <w:i/>
      <w:iCs/>
      <w:color w:val="000000"/>
      <w:sz w:val="20"/>
      <w:szCs w:val="20"/>
    </w:rPr>
  </w:style>
  <w:style w:type="paragraph" w:styleId="En-tte">
    <w:name w:val="header"/>
    <w:basedOn w:val="Normal"/>
    <w:link w:val="En-tteCar"/>
    <w:uiPriority w:val="99"/>
    <w:unhideWhenUsed/>
    <w:rsid w:val="00955EF8"/>
    <w:pPr>
      <w:tabs>
        <w:tab w:val="center" w:pos="4680"/>
        <w:tab w:val="right" w:pos="9360"/>
      </w:tabs>
      <w:spacing w:after="0" w:line="240" w:lineRule="auto"/>
    </w:pPr>
  </w:style>
  <w:style w:type="character" w:customStyle="1" w:styleId="En-tteCar">
    <w:name w:val="En-tête Car"/>
    <w:basedOn w:val="Policepardfaut"/>
    <w:link w:val="En-tte"/>
    <w:uiPriority w:val="99"/>
    <w:rsid w:val="00955EF8"/>
  </w:style>
  <w:style w:type="paragraph" w:styleId="Pieddepage">
    <w:name w:val="footer"/>
    <w:basedOn w:val="Normal"/>
    <w:link w:val="PieddepageCar"/>
    <w:uiPriority w:val="99"/>
    <w:unhideWhenUsed/>
    <w:rsid w:val="00955EF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55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310369">
      <w:bodyDiv w:val="1"/>
      <w:marLeft w:val="0"/>
      <w:marRight w:val="0"/>
      <w:marTop w:val="0"/>
      <w:marBottom w:val="0"/>
      <w:divBdr>
        <w:top w:val="none" w:sz="0" w:space="0" w:color="auto"/>
        <w:left w:val="none" w:sz="0" w:space="0" w:color="auto"/>
        <w:bottom w:val="none" w:sz="0" w:space="0" w:color="auto"/>
        <w:right w:val="none" w:sz="0" w:space="0" w:color="auto"/>
      </w:divBdr>
    </w:div>
    <w:div w:id="458493081">
      <w:bodyDiv w:val="1"/>
      <w:marLeft w:val="0"/>
      <w:marRight w:val="0"/>
      <w:marTop w:val="0"/>
      <w:marBottom w:val="0"/>
      <w:divBdr>
        <w:top w:val="none" w:sz="0" w:space="0" w:color="auto"/>
        <w:left w:val="none" w:sz="0" w:space="0" w:color="auto"/>
        <w:bottom w:val="none" w:sz="0" w:space="0" w:color="auto"/>
        <w:right w:val="none" w:sz="0" w:space="0" w:color="auto"/>
      </w:divBdr>
    </w:div>
    <w:div w:id="465196772">
      <w:bodyDiv w:val="1"/>
      <w:marLeft w:val="0"/>
      <w:marRight w:val="0"/>
      <w:marTop w:val="0"/>
      <w:marBottom w:val="0"/>
      <w:divBdr>
        <w:top w:val="none" w:sz="0" w:space="0" w:color="auto"/>
        <w:left w:val="none" w:sz="0" w:space="0" w:color="auto"/>
        <w:bottom w:val="none" w:sz="0" w:space="0" w:color="auto"/>
        <w:right w:val="none" w:sz="0" w:space="0" w:color="auto"/>
      </w:divBdr>
    </w:div>
    <w:div w:id="632061656">
      <w:bodyDiv w:val="1"/>
      <w:marLeft w:val="0"/>
      <w:marRight w:val="0"/>
      <w:marTop w:val="0"/>
      <w:marBottom w:val="0"/>
      <w:divBdr>
        <w:top w:val="none" w:sz="0" w:space="0" w:color="auto"/>
        <w:left w:val="none" w:sz="0" w:space="0" w:color="auto"/>
        <w:bottom w:val="none" w:sz="0" w:space="0" w:color="auto"/>
        <w:right w:val="none" w:sz="0" w:space="0" w:color="auto"/>
      </w:divBdr>
    </w:div>
    <w:div w:id="665059607">
      <w:bodyDiv w:val="1"/>
      <w:marLeft w:val="0"/>
      <w:marRight w:val="0"/>
      <w:marTop w:val="0"/>
      <w:marBottom w:val="0"/>
      <w:divBdr>
        <w:top w:val="none" w:sz="0" w:space="0" w:color="auto"/>
        <w:left w:val="none" w:sz="0" w:space="0" w:color="auto"/>
        <w:bottom w:val="none" w:sz="0" w:space="0" w:color="auto"/>
        <w:right w:val="none" w:sz="0" w:space="0" w:color="auto"/>
      </w:divBdr>
    </w:div>
    <w:div w:id="680165041">
      <w:bodyDiv w:val="1"/>
      <w:marLeft w:val="0"/>
      <w:marRight w:val="0"/>
      <w:marTop w:val="0"/>
      <w:marBottom w:val="0"/>
      <w:divBdr>
        <w:top w:val="none" w:sz="0" w:space="0" w:color="auto"/>
        <w:left w:val="none" w:sz="0" w:space="0" w:color="auto"/>
        <w:bottom w:val="none" w:sz="0" w:space="0" w:color="auto"/>
        <w:right w:val="none" w:sz="0" w:space="0" w:color="auto"/>
      </w:divBdr>
    </w:div>
    <w:div w:id="683826149">
      <w:bodyDiv w:val="1"/>
      <w:marLeft w:val="0"/>
      <w:marRight w:val="0"/>
      <w:marTop w:val="0"/>
      <w:marBottom w:val="0"/>
      <w:divBdr>
        <w:top w:val="none" w:sz="0" w:space="0" w:color="auto"/>
        <w:left w:val="none" w:sz="0" w:space="0" w:color="auto"/>
        <w:bottom w:val="none" w:sz="0" w:space="0" w:color="auto"/>
        <w:right w:val="none" w:sz="0" w:space="0" w:color="auto"/>
      </w:divBdr>
    </w:div>
    <w:div w:id="812335104">
      <w:bodyDiv w:val="1"/>
      <w:marLeft w:val="0"/>
      <w:marRight w:val="0"/>
      <w:marTop w:val="0"/>
      <w:marBottom w:val="0"/>
      <w:divBdr>
        <w:top w:val="none" w:sz="0" w:space="0" w:color="auto"/>
        <w:left w:val="none" w:sz="0" w:space="0" w:color="auto"/>
        <w:bottom w:val="none" w:sz="0" w:space="0" w:color="auto"/>
        <w:right w:val="none" w:sz="0" w:space="0" w:color="auto"/>
      </w:divBdr>
    </w:div>
    <w:div w:id="962032300">
      <w:bodyDiv w:val="1"/>
      <w:marLeft w:val="0"/>
      <w:marRight w:val="0"/>
      <w:marTop w:val="0"/>
      <w:marBottom w:val="0"/>
      <w:divBdr>
        <w:top w:val="none" w:sz="0" w:space="0" w:color="auto"/>
        <w:left w:val="none" w:sz="0" w:space="0" w:color="auto"/>
        <w:bottom w:val="none" w:sz="0" w:space="0" w:color="auto"/>
        <w:right w:val="none" w:sz="0" w:space="0" w:color="auto"/>
      </w:divBdr>
    </w:div>
    <w:div w:id="1119447028">
      <w:bodyDiv w:val="1"/>
      <w:marLeft w:val="0"/>
      <w:marRight w:val="0"/>
      <w:marTop w:val="0"/>
      <w:marBottom w:val="0"/>
      <w:divBdr>
        <w:top w:val="none" w:sz="0" w:space="0" w:color="auto"/>
        <w:left w:val="none" w:sz="0" w:space="0" w:color="auto"/>
        <w:bottom w:val="none" w:sz="0" w:space="0" w:color="auto"/>
        <w:right w:val="none" w:sz="0" w:space="0" w:color="auto"/>
      </w:divBdr>
    </w:div>
    <w:div w:id="1138498409">
      <w:bodyDiv w:val="1"/>
      <w:marLeft w:val="0"/>
      <w:marRight w:val="0"/>
      <w:marTop w:val="0"/>
      <w:marBottom w:val="0"/>
      <w:divBdr>
        <w:top w:val="none" w:sz="0" w:space="0" w:color="auto"/>
        <w:left w:val="none" w:sz="0" w:space="0" w:color="auto"/>
        <w:bottom w:val="none" w:sz="0" w:space="0" w:color="auto"/>
        <w:right w:val="none" w:sz="0" w:space="0" w:color="auto"/>
      </w:divBdr>
    </w:div>
    <w:div w:id="1392382842">
      <w:bodyDiv w:val="1"/>
      <w:marLeft w:val="0"/>
      <w:marRight w:val="0"/>
      <w:marTop w:val="0"/>
      <w:marBottom w:val="0"/>
      <w:divBdr>
        <w:top w:val="none" w:sz="0" w:space="0" w:color="auto"/>
        <w:left w:val="none" w:sz="0" w:space="0" w:color="auto"/>
        <w:bottom w:val="none" w:sz="0" w:space="0" w:color="auto"/>
        <w:right w:val="none" w:sz="0" w:space="0" w:color="auto"/>
      </w:divBdr>
    </w:div>
    <w:div w:id="1440494261">
      <w:bodyDiv w:val="1"/>
      <w:marLeft w:val="0"/>
      <w:marRight w:val="0"/>
      <w:marTop w:val="0"/>
      <w:marBottom w:val="0"/>
      <w:divBdr>
        <w:top w:val="none" w:sz="0" w:space="0" w:color="auto"/>
        <w:left w:val="none" w:sz="0" w:space="0" w:color="auto"/>
        <w:bottom w:val="none" w:sz="0" w:space="0" w:color="auto"/>
        <w:right w:val="none" w:sz="0" w:space="0" w:color="auto"/>
      </w:divBdr>
    </w:div>
    <w:div w:id="1503424320">
      <w:bodyDiv w:val="1"/>
      <w:marLeft w:val="0"/>
      <w:marRight w:val="0"/>
      <w:marTop w:val="0"/>
      <w:marBottom w:val="0"/>
      <w:divBdr>
        <w:top w:val="none" w:sz="0" w:space="0" w:color="auto"/>
        <w:left w:val="none" w:sz="0" w:space="0" w:color="auto"/>
        <w:bottom w:val="none" w:sz="0" w:space="0" w:color="auto"/>
        <w:right w:val="none" w:sz="0" w:space="0" w:color="auto"/>
      </w:divBdr>
    </w:div>
    <w:div w:id="1617909194">
      <w:bodyDiv w:val="1"/>
      <w:marLeft w:val="0"/>
      <w:marRight w:val="0"/>
      <w:marTop w:val="0"/>
      <w:marBottom w:val="0"/>
      <w:divBdr>
        <w:top w:val="none" w:sz="0" w:space="0" w:color="auto"/>
        <w:left w:val="none" w:sz="0" w:space="0" w:color="auto"/>
        <w:bottom w:val="none" w:sz="0" w:space="0" w:color="auto"/>
        <w:right w:val="none" w:sz="0" w:space="0" w:color="auto"/>
      </w:divBdr>
    </w:div>
    <w:div w:id="1629436685">
      <w:bodyDiv w:val="1"/>
      <w:marLeft w:val="0"/>
      <w:marRight w:val="0"/>
      <w:marTop w:val="0"/>
      <w:marBottom w:val="0"/>
      <w:divBdr>
        <w:top w:val="none" w:sz="0" w:space="0" w:color="auto"/>
        <w:left w:val="none" w:sz="0" w:space="0" w:color="auto"/>
        <w:bottom w:val="none" w:sz="0" w:space="0" w:color="auto"/>
        <w:right w:val="none" w:sz="0" w:space="0" w:color="auto"/>
      </w:divBdr>
    </w:div>
    <w:div w:id="1629511698">
      <w:bodyDiv w:val="1"/>
      <w:marLeft w:val="0"/>
      <w:marRight w:val="0"/>
      <w:marTop w:val="0"/>
      <w:marBottom w:val="0"/>
      <w:divBdr>
        <w:top w:val="none" w:sz="0" w:space="0" w:color="auto"/>
        <w:left w:val="none" w:sz="0" w:space="0" w:color="auto"/>
        <w:bottom w:val="none" w:sz="0" w:space="0" w:color="auto"/>
        <w:right w:val="none" w:sz="0" w:space="0" w:color="auto"/>
      </w:divBdr>
    </w:div>
    <w:div w:id="1686401354">
      <w:bodyDiv w:val="1"/>
      <w:marLeft w:val="0"/>
      <w:marRight w:val="0"/>
      <w:marTop w:val="0"/>
      <w:marBottom w:val="0"/>
      <w:divBdr>
        <w:top w:val="none" w:sz="0" w:space="0" w:color="auto"/>
        <w:left w:val="none" w:sz="0" w:space="0" w:color="auto"/>
        <w:bottom w:val="none" w:sz="0" w:space="0" w:color="auto"/>
        <w:right w:val="none" w:sz="0" w:space="0" w:color="auto"/>
      </w:divBdr>
    </w:div>
    <w:div w:id="1802111699">
      <w:bodyDiv w:val="1"/>
      <w:marLeft w:val="0"/>
      <w:marRight w:val="0"/>
      <w:marTop w:val="0"/>
      <w:marBottom w:val="0"/>
      <w:divBdr>
        <w:top w:val="none" w:sz="0" w:space="0" w:color="auto"/>
        <w:left w:val="none" w:sz="0" w:space="0" w:color="auto"/>
        <w:bottom w:val="none" w:sz="0" w:space="0" w:color="auto"/>
        <w:right w:val="none" w:sz="0" w:space="0" w:color="auto"/>
      </w:divBdr>
    </w:div>
    <w:div w:id="2050182941">
      <w:bodyDiv w:val="1"/>
      <w:marLeft w:val="0"/>
      <w:marRight w:val="0"/>
      <w:marTop w:val="0"/>
      <w:marBottom w:val="0"/>
      <w:divBdr>
        <w:top w:val="none" w:sz="0" w:space="0" w:color="auto"/>
        <w:left w:val="none" w:sz="0" w:space="0" w:color="auto"/>
        <w:bottom w:val="none" w:sz="0" w:space="0" w:color="auto"/>
        <w:right w:val="none" w:sz="0" w:space="0" w:color="auto"/>
      </w:divBdr>
    </w:div>
    <w:div w:id="21405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c.europa.eu/jrc/sites/jrcsh/files/jacubowska_jrc121622_jrc121622-kitchenware-conditions-2020-plasticmetals-protected.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C6870-4742-4B6C-AC64-2D311027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5331</Words>
  <Characters>29324</Characters>
  <Application>Microsoft Office Word</Application>
  <DocSecurity>0</DocSecurity>
  <Lines>244</Lines>
  <Paragraphs>69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Heyvaert Els</dc:creator>
  <cp:keywords/>
  <dc:description/>
  <cp:lastModifiedBy>Rigaut Dominique</cp:lastModifiedBy>
  <cp:revision>5</cp:revision>
  <cp:lastPrinted>2021-03-11T16:47:00Z</cp:lastPrinted>
  <dcterms:created xsi:type="dcterms:W3CDTF">2021-03-09T15:24:00Z</dcterms:created>
  <dcterms:modified xsi:type="dcterms:W3CDTF">2021-03-16T10:51:00Z</dcterms:modified>
</cp:coreProperties>
</file>