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EA433" w14:textId="6CAA5360" w:rsidR="003765F4" w:rsidRPr="009B21B5" w:rsidRDefault="004B0282" w:rsidP="00AD727F">
      <w:pPr>
        <w:spacing w:before="120" w:after="120" w:line="264" w:lineRule="auto"/>
        <w:rPr>
          <w:rFonts w:cstheme="minorHAnsi"/>
          <w:smallCaps/>
          <w:sz w:val="20"/>
          <w:szCs w:val="20"/>
          <w:lang w:val="nl-BE"/>
          <w14:shadow w14:blurRad="63500" w14:dist="50800" w14:dir="13500000" w14:sx="0" w14:sy="0" w14:kx="0" w14:ky="0" w14:algn="none">
            <w14:srgbClr w14:val="000000">
              <w14:alpha w14:val="50000"/>
            </w14:srgbClr>
          </w14:shadow>
        </w:rPr>
      </w:pPr>
      <w:r w:rsidRPr="009B21B5">
        <w:rPr>
          <w:rFonts w:cstheme="minorHAnsi"/>
          <w:smallCaps/>
          <w:sz w:val="20"/>
          <w:szCs w:val="20"/>
          <w:lang w:val="nl-BE"/>
          <w14:shadow w14:blurRad="63500" w14:dist="50800" w14:dir="13500000" w14:sx="0" w14:sy="0" w14:kx="0" w14:ky="0" w14:algn="none">
            <w14:srgbClr w14:val="000000">
              <w14:alpha w14:val="50000"/>
            </w14:srgbClr>
          </w14:shadow>
        </w:rPr>
        <w:t>Versie 21/07/2021</w:t>
      </w:r>
    </w:p>
    <w:p w14:paraId="03DE24CD" w14:textId="77777777" w:rsidR="003765F4" w:rsidRPr="009B21B5" w:rsidRDefault="003765F4" w:rsidP="00AD727F">
      <w:pPr>
        <w:spacing w:before="120" w:after="120" w:line="264" w:lineRule="auto"/>
        <w:jc w:val="center"/>
        <w:rPr>
          <w:rFonts w:asciiTheme="majorHAnsi" w:hAnsiTheme="majorHAnsi"/>
          <w:b/>
          <w:smallCaps/>
          <w:sz w:val="28"/>
          <w:szCs w:val="28"/>
          <w:lang w:val="nl-BE"/>
          <w14:shadow w14:blurRad="63500" w14:dist="50800" w14:dir="13500000" w14:sx="0" w14:sy="0" w14:kx="0" w14:ky="0" w14:algn="none">
            <w14:srgbClr w14:val="000000">
              <w14:alpha w14:val="50000"/>
            </w14:srgbClr>
          </w14:shadow>
        </w:rPr>
      </w:pPr>
      <w:proofErr w:type="spellStart"/>
      <w:r w:rsidRPr="009B21B5">
        <w:rPr>
          <w:rFonts w:asciiTheme="majorHAnsi" w:hAnsiTheme="majorHAnsi"/>
          <w:b/>
          <w:smallCaps/>
          <w:sz w:val="28"/>
          <w:szCs w:val="28"/>
          <w:lang w:val="nl-BE"/>
          <w14:shadow w14:blurRad="63500" w14:dist="50800" w14:dir="13500000" w14:sx="0" w14:sy="0" w14:kx="0" w14:ky="0" w14:algn="none">
            <w14:srgbClr w14:val="000000">
              <w14:alpha w14:val="50000"/>
            </w14:srgbClr>
          </w14:shadow>
        </w:rPr>
        <w:t>Veelgestelde</w:t>
      </w:r>
      <w:proofErr w:type="spellEnd"/>
      <w:r w:rsidRPr="009B21B5">
        <w:rPr>
          <w:rFonts w:asciiTheme="majorHAnsi" w:hAnsiTheme="majorHAnsi"/>
          <w:b/>
          <w:smallCaps/>
          <w:sz w:val="28"/>
          <w:szCs w:val="28"/>
          <w:lang w:val="nl-BE"/>
          <w14:shadow w14:blurRad="63500" w14:dist="50800" w14:dir="13500000" w14:sx="0" w14:sy="0" w14:kx="0" w14:ky="0" w14:algn="none">
            <w14:srgbClr w14:val="000000">
              <w14:alpha w14:val="50000"/>
            </w14:srgbClr>
          </w14:shadow>
        </w:rPr>
        <w:t xml:space="preserve"> vragen over de </w:t>
      </w:r>
      <w:proofErr w:type="spellStart"/>
      <w:r w:rsidRPr="009B21B5">
        <w:rPr>
          <w:rFonts w:asciiTheme="majorHAnsi" w:hAnsiTheme="majorHAnsi"/>
          <w:b/>
          <w:smallCaps/>
          <w:sz w:val="28"/>
          <w:szCs w:val="28"/>
          <w:lang w:val="nl-BE"/>
          <w14:shadow w14:blurRad="63500" w14:dist="50800" w14:dir="13500000" w14:sx="0" w14:sy="0" w14:kx="0" w14:ky="0" w14:algn="none">
            <w14:srgbClr w14:val="000000">
              <w14:alpha w14:val="50000"/>
            </w14:srgbClr>
          </w14:shadow>
        </w:rPr>
        <w:t>Nutri</w:t>
      </w:r>
      <w:proofErr w:type="spellEnd"/>
      <w:r w:rsidRPr="009B21B5">
        <w:rPr>
          <w:rFonts w:asciiTheme="majorHAnsi" w:hAnsiTheme="majorHAnsi"/>
          <w:b/>
          <w:smallCaps/>
          <w:sz w:val="28"/>
          <w:szCs w:val="28"/>
          <w:lang w:val="nl-BE"/>
          <w14:shadow w14:blurRad="63500" w14:dist="50800" w14:dir="13500000" w14:sx="0" w14:sy="0" w14:kx="0" w14:ky="0" w14:algn="none">
            <w14:srgbClr w14:val="000000">
              <w14:alpha w14:val="50000"/>
            </w14:srgbClr>
          </w14:shadow>
        </w:rPr>
        <w:t>-Score</w:t>
      </w:r>
    </w:p>
    <w:p w14:paraId="7C369201" w14:textId="77777777" w:rsidR="007C2D04" w:rsidRPr="009B21B5" w:rsidRDefault="007C2D04" w:rsidP="00AD727F">
      <w:pPr>
        <w:spacing w:before="120" w:after="120" w:line="264" w:lineRule="auto"/>
        <w:jc w:val="center"/>
        <w:rPr>
          <w:rFonts w:asciiTheme="majorHAnsi" w:hAnsiTheme="majorHAnsi"/>
          <w:b/>
          <w:smallCaps/>
          <w:sz w:val="28"/>
          <w:szCs w:val="28"/>
          <w:lang w:val="nl-BE"/>
          <w14:shadow w14:blurRad="63500" w14:dist="50800" w14:dir="13500000" w14:sx="0" w14:sy="0" w14:kx="0" w14:ky="0" w14:algn="none">
            <w14:srgbClr w14:val="000000">
              <w14:alpha w14:val="50000"/>
            </w14:srgbClr>
          </w14:shadow>
        </w:rPr>
      </w:pPr>
    </w:p>
    <w:p w14:paraId="548C1FC8" w14:textId="77777777" w:rsidR="007C2D04" w:rsidRDefault="00A74A00"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proofErr w:type="spellStart"/>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Wetenschappelijk</w:t>
      </w:r>
      <w:proofErr w:type="spellEnd"/>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 xml:space="preserve"> &amp; </w:t>
      </w:r>
      <w:proofErr w:type="spellStart"/>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Technisch</w:t>
      </w:r>
      <w:proofErr w:type="spellEnd"/>
      <w: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t xml:space="preserve"> </w:t>
      </w:r>
    </w:p>
    <w:p w14:paraId="1EAC1965" w14:textId="77777777" w:rsidR="00D90807" w:rsidRPr="003765F4" w:rsidRDefault="00D90807" w:rsidP="00AD727F">
      <w:pPr>
        <w:spacing w:before="120" w:after="120" w:line="264" w:lineRule="auto"/>
        <w:jc w:val="center"/>
        <w:rPr>
          <w:rFonts w:asciiTheme="majorHAnsi" w:hAnsiTheme="majorHAnsi"/>
          <w:b/>
          <w:smallCaps/>
          <w:color w:val="948A54" w:themeColor="background2" w:themeShade="80"/>
          <w:sz w:val="28"/>
          <w:szCs w:val="28"/>
          <w14:shadow w14:blurRad="63500" w14:dist="50800" w14:dir="13500000" w14:sx="0" w14:sy="0" w14:kx="0" w14:ky="0" w14:algn="none">
            <w14:srgbClr w14:val="000000">
              <w14:alpha w14:val="50000"/>
            </w14:srgbClr>
          </w14:shadow>
        </w:rPr>
      </w:pPr>
    </w:p>
    <w:p w14:paraId="4B56F415" w14:textId="77777777" w:rsidR="003765F4" w:rsidRPr="003765F4" w:rsidRDefault="00D90807" w:rsidP="00AD727F">
      <w:pPr>
        <w:spacing w:before="120" w:after="120" w:line="264" w:lineRule="auto"/>
        <w:jc w:val="center"/>
        <w:rPr>
          <w:rFonts w:asciiTheme="majorHAnsi" w:hAnsiTheme="majorHAnsi"/>
          <w:b/>
          <w:smallCaps/>
          <w:sz w:val="28"/>
          <w:szCs w:val="28"/>
          <w14:shadow w14:blurRad="63500" w14:dist="50800" w14:dir="13500000" w14:sx="0" w14:sy="0" w14:kx="0" w14:ky="0" w14:algn="none">
            <w14:srgbClr w14:val="000000">
              <w14:alpha w14:val="50000"/>
            </w14:srgbClr>
          </w14:shadow>
        </w:rPr>
      </w:pPr>
      <w:r>
        <w:rPr>
          <w:rFonts w:asciiTheme="majorHAnsi" w:hAnsiTheme="majorHAnsi"/>
          <w:b/>
          <w:smallCaps/>
          <w:noProof/>
          <w:sz w:val="28"/>
          <w:szCs w:val="28"/>
          <w:lang w:eastAsia="nl"/>
          <w14:shadow w14:blurRad="63500" w14:dist="50800" w14:dir="13500000" w14:sx="0" w14:sy="0" w14:kx="0" w14:ky="0" w14:algn="none">
            <w14:srgbClr w14:val="000000">
              <w14:alpha w14:val="50000"/>
            </w14:srgbClr>
          </w14:shadow>
        </w:rPr>
        <w:drawing>
          <wp:inline distT="0" distB="0" distL="0" distR="0" wp14:anchorId="1CFFB8E0" wp14:editId="196418BB">
            <wp:extent cx="5893042" cy="6648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61"/>
                    <a:stretch/>
                  </pic:blipFill>
                  <pic:spPr bwMode="auto">
                    <a:xfrm>
                      <a:off x="0" y="0"/>
                      <a:ext cx="5954122" cy="671736"/>
                    </a:xfrm>
                    <a:prstGeom prst="rect">
                      <a:avLst/>
                    </a:prstGeom>
                    <a:noFill/>
                    <a:ln>
                      <a:noFill/>
                    </a:ln>
                    <a:extLst>
                      <a:ext uri="{53640926-AAD7-44D8-BBD7-CCE9431645EC}">
                        <a14:shadowObscured xmlns:a14="http://schemas.microsoft.com/office/drawing/2010/main"/>
                      </a:ext>
                    </a:extLst>
                  </pic:spPr>
                </pic:pic>
              </a:graphicData>
            </a:graphic>
          </wp:inline>
        </w:drawing>
      </w:r>
    </w:p>
    <w:p w14:paraId="61DEB2E7" w14:textId="77777777" w:rsidR="00A74A00" w:rsidRPr="007F660A" w:rsidRDefault="00A74A00" w:rsidP="00AD727F">
      <w:pPr>
        <w:spacing w:before="120" w:after="120" w:line="264" w:lineRule="auto"/>
        <w:rPr>
          <w:rFonts w:asciiTheme="majorHAnsi" w:hAnsiTheme="majorHAnsi"/>
          <w:i/>
        </w:rPr>
      </w:pPr>
    </w:p>
    <w:sdt>
      <w:sdtPr>
        <w:rPr>
          <w:b/>
          <w:bCs/>
        </w:rPr>
        <w:id w:val="2003008651"/>
        <w:docPartObj>
          <w:docPartGallery w:val="Table of Contents"/>
          <w:docPartUnique/>
        </w:docPartObj>
      </w:sdtPr>
      <w:sdtEndPr>
        <w:rPr>
          <w:b w:val="0"/>
          <w:bCs w:val="0"/>
        </w:rPr>
      </w:sdtEndPr>
      <w:sdtContent>
        <w:p w14:paraId="378229A0" w14:textId="77777777" w:rsidR="003358B4" w:rsidRDefault="003358B4" w:rsidP="00AD727F">
          <w:pPr>
            <w:spacing w:before="120" w:after="120" w:line="264" w:lineRule="auto"/>
          </w:pPr>
          <w:proofErr w:type="spellStart"/>
          <w:r>
            <w:t>Inhoudsopgave</w:t>
          </w:r>
          <w:proofErr w:type="spellEnd"/>
        </w:p>
        <w:p w14:paraId="39445F4C" w14:textId="1CC27BB3" w:rsidR="009B21B5" w:rsidRDefault="003358B4">
          <w:pPr>
            <w:pStyle w:val="TM1"/>
            <w:tabs>
              <w:tab w:val="left" w:pos="440"/>
              <w:tab w:val="right" w:leader="dot" w:pos="9488"/>
            </w:tabs>
            <w:rPr>
              <w:rFonts w:eastAsiaTheme="minorEastAsia" w:cstheme="minorBidi"/>
              <w:b w:val="0"/>
              <w:bCs w:val="0"/>
              <w:caps w:val="0"/>
              <w:noProof/>
              <w:sz w:val="22"/>
              <w:szCs w:val="22"/>
              <w:lang w:val="nl-BE" w:eastAsia="nl-BE"/>
            </w:rPr>
          </w:pPr>
          <w:r>
            <w:rPr>
              <w:b w:val="0"/>
              <w:bCs w:val="0"/>
              <w:smallCaps/>
            </w:rPr>
            <w:fldChar w:fldCharType="begin"/>
          </w:r>
          <w:r>
            <w:instrText xml:space="preserve"> TOC \o "1-3" \h \z \u </w:instrText>
          </w:r>
          <w:r>
            <w:rPr>
              <w:b w:val="0"/>
              <w:bCs w:val="0"/>
              <w:smallCaps/>
            </w:rPr>
            <w:fldChar w:fldCharType="separate"/>
          </w:r>
          <w:hyperlink w:anchor="_Toc83375072" w:history="1">
            <w:r w:rsidR="009B21B5" w:rsidRPr="00743EE1">
              <w:rPr>
                <w:rStyle w:val="Lienhypertexte"/>
                <w:noProof/>
              </w:rPr>
              <w:t>I.</w:t>
            </w:r>
            <w:r w:rsidR="009B21B5">
              <w:rPr>
                <w:rFonts w:eastAsiaTheme="minorEastAsia" w:cstheme="minorBidi"/>
                <w:b w:val="0"/>
                <w:bCs w:val="0"/>
                <w:caps w:val="0"/>
                <w:noProof/>
                <w:sz w:val="22"/>
                <w:szCs w:val="22"/>
                <w:lang w:val="nl-BE" w:eastAsia="nl-BE"/>
              </w:rPr>
              <w:tab/>
            </w:r>
            <w:r w:rsidR="009B21B5" w:rsidRPr="00743EE1">
              <w:rPr>
                <w:rStyle w:val="Lienhypertexte"/>
                <w:noProof/>
              </w:rPr>
              <w:t>Berekening van de score</w:t>
            </w:r>
            <w:r w:rsidR="009B21B5">
              <w:rPr>
                <w:noProof/>
                <w:webHidden/>
              </w:rPr>
              <w:tab/>
            </w:r>
            <w:r w:rsidR="009B21B5">
              <w:rPr>
                <w:noProof/>
                <w:webHidden/>
              </w:rPr>
              <w:fldChar w:fldCharType="begin"/>
            </w:r>
            <w:r w:rsidR="009B21B5">
              <w:rPr>
                <w:noProof/>
                <w:webHidden/>
              </w:rPr>
              <w:instrText xml:space="preserve"> PAGEREF _Toc83375072 \h </w:instrText>
            </w:r>
            <w:r w:rsidR="009B21B5">
              <w:rPr>
                <w:noProof/>
                <w:webHidden/>
              </w:rPr>
            </w:r>
            <w:r w:rsidR="009B21B5">
              <w:rPr>
                <w:noProof/>
                <w:webHidden/>
              </w:rPr>
              <w:fldChar w:fldCharType="separate"/>
            </w:r>
            <w:r w:rsidR="009B21B5">
              <w:rPr>
                <w:noProof/>
                <w:webHidden/>
              </w:rPr>
              <w:t>3</w:t>
            </w:r>
            <w:r w:rsidR="009B21B5">
              <w:rPr>
                <w:noProof/>
                <w:webHidden/>
              </w:rPr>
              <w:fldChar w:fldCharType="end"/>
            </w:r>
          </w:hyperlink>
        </w:p>
        <w:p w14:paraId="0F08BA88" w14:textId="4257A8D4" w:rsidR="009B21B5" w:rsidRDefault="009B21B5">
          <w:pPr>
            <w:pStyle w:val="TM2"/>
            <w:rPr>
              <w:rFonts w:eastAsiaTheme="minorEastAsia" w:cstheme="minorBidi"/>
              <w:bCs w:val="0"/>
              <w:smallCaps w:val="0"/>
              <w:sz w:val="22"/>
              <w:szCs w:val="22"/>
              <w:lang w:val="nl-BE" w:eastAsia="nl-BE"/>
            </w:rPr>
          </w:pPr>
          <w:hyperlink w:anchor="_Toc83375073" w:history="1">
            <w:r w:rsidRPr="00743EE1">
              <w:rPr>
                <w:rStyle w:val="Lienhypertexte"/>
                <w:lang w:val="nl-BE"/>
              </w:rPr>
              <w:t>Op basis waarvan wordt de voedingsscore berekend?</w:t>
            </w:r>
            <w:r>
              <w:rPr>
                <w:webHidden/>
              </w:rPr>
              <w:tab/>
            </w:r>
            <w:r>
              <w:rPr>
                <w:webHidden/>
              </w:rPr>
              <w:fldChar w:fldCharType="begin"/>
            </w:r>
            <w:r>
              <w:rPr>
                <w:webHidden/>
              </w:rPr>
              <w:instrText xml:space="preserve"> PAGEREF _Toc83375073 \h </w:instrText>
            </w:r>
            <w:r>
              <w:rPr>
                <w:webHidden/>
              </w:rPr>
            </w:r>
            <w:r>
              <w:rPr>
                <w:webHidden/>
              </w:rPr>
              <w:fldChar w:fldCharType="separate"/>
            </w:r>
            <w:r>
              <w:rPr>
                <w:webHidden/>
              </w:rPr>
              <w:t>3</w:t>
            </w:r>
            <w:r>
              <w:rPr>
                <w:webHidden/>
              </w:rPr>
              <w:fldChar w:fldCharType="end"/>
            </w:r>
          </w:hyperlink>
        </w:p>
        <w:p w14:paraId="5CE8B7AA" w14:textId="467639D0" w:rsidR="009B21B5" w:rsidRDefault="009B21B5">
          <w:pPr>
            <w:pStyle w:val="TM2"/>
            <w:rPr>
              <w:rFonts w:eastAsiaTheme="minorEastAsia" w:cstheme="minorBidi"/>
              <w:bCs w:val="0"/>
              <w:smallCaps w:val="0"/>
              <w:sz w:val="22"/>
              <w:szCs w:val="22"/>
              <w:lang w:val="nl-BE" w:eastAsia="nl-BE"/>
            </w:rPr>
          </w:pPr>
          <w:hyperlink w:anchor="_Toc83375074" w:history="1">
            <w:r w:rsidRPr="00743EE1">
              <w:rPr>
                <w:rStyle w:val="Lienhypertexte"/>
                <w:lang w:val="nl-BE"/>
              </w:rPr>
              <w:t>Welke referentie wordt er gehanteerd om te berekenen hoeveel 'fruit, groenten, peulvruchten, noten, koolzaad-, noten- en olijfolie' er in verwerkte producten zitten?</w:t>
            </w:r>
            <w:r>
              <w:rPr>
                <w:webHidden/>
              </w:rPr>
              <w:tab/>
            </w:r>
            <w:r>
              <w:rPr>
                <w:webHidden/>
              </w:rPr>
              <w:fldChar w:fldCharType="begin"/>
            </w:r>
            <w:r>
              <w:rPr>
                <w:webHidden/>
              </w:rPr>
              <w:instrText xml:space="preserve"> PAGEREF _Toc83375074 \h </w:instrText>
            </w:r>
            <w:r>
              <w:rPr>
                <w:webHidden/>
              </w:rPr>
            </w:r>
            <w:r>
              <w:rPr>
                <w:webHidden/>
              </w:rPr>
              <w:fldChar w:fldCharType="separate"/>
            </w:r>
            <w:r>
              <w:rPr>
                <w:webHidden/>
              </w:rPr>
              <w:t>3</w:t>
            </w:r>
            <w:r>
              <w:rPr>
                <w:webHidden/>
              </w:rPr>
              <w:fldChar w:fldCharType="end"/>
            </w:r>
          </w:hyperlink>
        </w:p>
        <w:p w14:paraId="66DAE0CD" w14:textId="29FC686C" w:rsidR="009B21B5" w:rsidRDefault="009B21B5">
          <w:pPr>
            <w:pStyle w:val="TM2"/>
            <w:rPr>
              <w:rFonts w:eastAsiaTheme="minorEastAsia" w:cstheme="minorBidi"/>
              <w:bCs w:val="0"/>
              <w:smallCaps w:val="0"/>
              <w:sz w:val="22"/>
              <w:szCs w:val="22"/>
              <w:lang w:val="nl-BE" w:eastAsia="nl-BE"/>
            </w:rPr>
          </w:pPr>
          <w:hyperlink w:anchor="_Toc83375075" w:history="1">
            <w:r w:rsidRPr="00743EE1">
              <w:rPr>
                <w:rStyle w:val="Lienhypertexte"/>
                <w:lang w:val="nl-BE"/>
              </w:rPr>
              <w:t>Tellen geconcentreerde sappen mee in de berekening van de hoeveelheid 'fruit, groenten, peulvruchten, noten, koolzaad-, noten- en olijfolie'?</w:t>
            </w:r>
            <w:r>
              <w:rPr>
                <w:webHidden/>
              </w:rPr>
              <w:tab/>
            </w:r>
            <w:r>
              <w:rPr>
                <w:webHidden/>
              </w:rPr>
              <w:fldChar w:fldCharType="begin"/>
            </w:r>
            <w:r>
              <w:rPr>
                <w:webHidden/>
              </w:rPr>
              <w:instrText xml:space="preserve"> PAGEREF _Toc83375075 \h </w:instrText>
            </w:r>
            <w:r>
              <w:rPr>
                <w:webHidden/>
              </w:rPr>
            </w:r>
            <w:r>
              <w:rPr>
                <w:webHidden/>
              </w:rPr>
              <w:fldChar w:fldCharType="separate"/>
            </w:r>
            <w:r>
              <w:rPr>
                <w:webHidden/>
              </w:rPr>
              <w:t>3</w:t>
            </w:r>
            <w:r>
              <w:rPr>
                <w:webHidden/>
              </w:rPr>
              <w:fldChar w:fldCharType="end"/>
            </w:r>
          </w:hyperlink>
        </w:p>
        <w:p w14:paraId="75EF15D3" w14:textId="51CA1165" w:rsidR="009B21B5" w:rsidRDefault="009B21B5">
          <w:pPr>
            <w:pStyle w:val="TM2"/>
            <w:rPr>
              <w:rFonts w:eastAsiaTheme="minorEastAsia" w:cstheme="minorBidi"/>
              <w:bCs w:val="0"/>
              <w:smallCaps w:val="0"/>
              <w:sz w:val="22"/>
              <w:szCs w:val="22"/>
              <w:lang w:val="nl-BE" w:eastAsia="nl-BE"/>
            </w:rPr>
          </w:pPr>
          <w:hyperlink w:anchor="_Toc83375076" w:history="1">
            <w:r w:rsidRPr="00743EE1">
              <w:rPr>
                <w:rStyle w:val="Lienhypertexte"/>
                <w:lang w:val="nl-BE"/>
              </w:rPr>
              <w:t>Welke methode is toegelaten om het gehalte aan vezels te bepalen?</w:t>
            </w:r>
            <w:r>
              <w:rPr>
                <w:webHidden/>
              </w:rPr>
              <w:tab/>
            </w:r>
            <w:r>
              <w:rPr>
                <w:webHidden/>
              </w:rPr>
              <w:fldChar w:fldCharType="begin"/>
            </w:r>
            <w:r>
              <w:rPr>
                <w:webHidden/>
              </w:rPr>
              <w:instrText xml:space="preserve"> PAGEREF _Toc83375076 \h </w:instrText>
            </w:r>
            <w:r>
              <w:rPr>
                <w:webHidden/>
              </w:rPr>
            </w:r>
            <w:r>
              <w:rPr>
                <w:webHidden/>
              </w:rPr>
              <w:fldChar w:fldCharType="separate"/>
            </w:r>
            <w:r>
              <w:rPr>
                <w:webHidden/>
              </w:rPr>
              <w:t>4</w:t>
            </w:r>
            <w:r>
              <w:rPr>
                <w:webHidden/>
              </w:rPr>
              <w:fldChar w:fldCharType="end"/>
            </w:r>
          </w:hyperlink>
        </w:p>
        <w:p w14:paraId="70253B6E" w14:textId="309A0D06" w:rsidR="009B21B5" w:rsidRDefault="009B21B5">
          <w:pPr>
            <w:pStyle w:val="TM2"/>
            <w:rPr>
              <w:rFonts w:eastAsiaTheme="minorEastAsia" w:cstheme="minorBidi"/>
              <w:bCs w:val="0"/>
              <w:smallCaps w:val="0"/>
              <w:sz w:val="22"/>
              <w:szCs w:val="22"/>
              <w:lang w:val="nl-BE" w:eastAsia="nl-BE"/>
            </w:rPr>
          </w:pPr>
          <w:hyperlink w:anchor="_Toc83375077" w:history="1">
            <w:r w:rsidRPr="00743EE1">
              <w:rPr>
                <w:rStyle w:val="Lienhypertexte"/>
                <w:lang w:val="nl-BE"/>
              </w:rPr>
              <w:t>Wat moet er onder de (enkelvoudige) suikers worden gerekend?</w:t>
            </w:r>
            <w:r>
              <w:rPr>
                <w:webHidden/>
              </w:rPr>
              <w:tab/>
            </w:r>
            <w:r>
              <w:rPr>
                <w:webHidden/>
              </w:rPr>
              <w:fldChar w:fldCharType="begin"/>
            </w:r>
            <w:r>
              <w:rPr>
                <w:webHidden/>
              </w:rPr>
              <w:instrText xml:space="preserve"> PAGEREF _Toc83375077 \h </w:instrText>
            </w:r>
            <w:r>
              <w:rPr>
                <w:webHidden/>
              </w:rPr>
            </w:r>
            <w:r>
              <w:rPr>
                <w:webHidden/>
              </w:rPr>
              <w:fldChar w:fldCharType="separate"/>
            </w:r>
            <w:r>
              <w:rPr>
                <w:webHidden/>
              </w:rPr>
              <w:t>4</w:t>
            </w:r>
            <w:r>
              <w:rPr>
                <w:webHidden/>
              </w:rPr>
              <w:fldChar w:fldCharType="end"/>
            </w:r>
          </w:hyperlink>
        </w:p>
        <w:p w14:paraId="5F65EDDC" w14:textId="5F3DA44C" w:rsidR="009B21B5" w:rsidRDefault="009B21B5">
          <w:pPr>
            <w:pStyle w:val="TM2"/>
            <w:rPr>
              <w:rFonts w:eastAsiaTheme="minorEastAsia" w:cstheme="minorBidi"/>
              <w:bCs w:val="0"/>
              <w:smallCaps w:val="0"/>
              <w:sz w:val="22"/>
              <w:szCs w:val="22"/>
              <w:lang w:val="nl-BE" w:eastAsia="nl-BE"/>
            </w:rPr>
          </w:pPr>
          <w:hyperlink w:anchor="_Toc83375078" w:history="1">
            <w:r w:rsidRPr="00743EE1">
              <w:rPr>
                <w:rStyle w:val="Lienhypertexte"/>
                <w:lang w:val="nl-BE"/>
              </w:rPr>
              <w:t>Hoe wordt de definitieve score berekend?</w:t>
            </w:r>
            <w:r>
              <w:rPr>
                <w:webHidden/>
              </w:rPr>
              <w:tab/>
            </w:r>
            <w:r>
              <w:rPr>
                <w:webHidden/>
              </w:rPr>
              <w:fldChar w:fldCharType="begin"/>
            </w:r>
            <w:r>
              <w:rPr>
                <w:webHidden/>
              </w:rPr>
              <w:instrText xml:space="preserve"> PAGEREF _Toc83375078 \h </w:instrText>
            </w:r>
            <w:r>
              <w:rPr>
                <w:webHidden/>
              </w:rPr>
            </w:r>
            <w:r>
              <w:rPr>
                <w:webHidden/>
              </w:rPr>
              <w:fldChar w:fldCharType="separate"/>
            </w:r>
            <w:r>
              <w:rPr>
                <w:webHidden/>
              </w:rPr>
              <w:t>4</w:t>
            </w:r>
            <w:r>
              <w:rPr>
                <w:webHidden/>
              </w:rPr>
              <w:fldChar w:fldCharType="end"/>
            </w:r>
          </w:hyperlink>
        </w:p>
        <w:p w14:paraId="6462F759" w14:textId="5A1030DF" w:rsidR="009B21B5" w:rsidRDefault="009B21B5">
          <w:pPr>
            <w:pStyle w:val="TM2"/>
            <w:rPr>
              <w:rFonts w:eastAsiaTheme="minorEastAsia" w:cstheme="minorBidi"/>
              <w:bCs w:val="0"/>
              <w:smallCaps w:val="0"/>
              <w:sz w:val="22"/>
              <w:szCs w:val="22"/>
              <w:lang w:val="nl-BE" w:eastAsia="nl-BE"/>
            </w:rPr>
          </w:pPr>
          <w:hyperlink w:anchor="_Toc83375079" w:history="1">
            <w:r w:rsidRPr="00743EE1">
              <w:rPr>
                <w:rStyle w:val="Lienhypertexte"/>
                <w:lang w:val="nl-BE"/>
              </w:rPr>
              <w:t>Moeten de resultaten afgerond worden bij de berekening van de score?</w:t>
            </w:r>
            <w:r>
              <w:rPr>
                <w:webHidden/>
              </w:rPr>
              <w:tab/>
            </w:r>
            <w:r>
              <w:rPr>
                <w:webHidden/>
              </w:rPr>
              <w:fldChar w:fldCharType="begin"/>
            </w:r>
            <w:r>
              <w:rPr>
                <w:webHidden/>
              </w:rPr>
              <w:instrText xml:space="preserve"> PAGEREF _Toc83375079 \h </w:instrText>
            </w:r>
            <w:r>
              <w:rPr>
                <w:webHidden/>
              </w:rPr>
            </w:r>
            <w:r>
              <w:rPr>
                <w:webHidden/>
              </w:rPr>
              <w:fldChar w:fldCharType="separate"/>
            </w:r>
            <w:r>
              <w:rPr>
                <w:webHidden/>
              </w:rPr>
              <w:t>4</w:t>
            </w:r>
            <w:r>
              <w:rPr>
                <w:webHidden/>
              </w:rPr>
              <w:fldChar w:fldCharType="end"/>
            </w:r>
          </w:hyperlink>
        </w:p>
        <w:p w14:paraId="43B7F6C9" w14:textId="5C5F8B02" w:rsidR="009B21B5" w:rsidRDefault="009B21B5">
          <w:pPr>
            <w:pStyle w:val="TM2"/>
            <w:rPr>
              <w:rFonts w:eastAsiaTheme="minorEastAsia" w:cstheme="minorBidi"/>
              <w:bCs w:val="0"/>
              <w:smallCaps w:val="0"/>
              <w:sz w:val="22"/>
              <w:szCs w:val="22"/>
              <w:lang w:val="nl-BE" w:eastAsia="nl-BE"/>
            </w:rPr>
          </w:pPr>
          <w:hyperlink w:anchor="_Toc83375080" w:history="1">
            <w:r w:rsidRPr="00743EE1">
              <w:rPr>
                <w:rStyle w:val="Lienhypertexte"/>
                <w:lang w:val="nl-BE"/>
              </w:rPr>
              <w:t>Hoe de omzetting zout-natrium berekenen?</w:t>
            </w:r>
            <w:r>
              <w:rPr>
                <w:webHidden/>
              </w:rPr>
              <w:tab/>
            </w:r>
            <w:r>
              <w:rPr>
                <w:webHidden/>
              </w:rPr>
              <w:fldChar w:fldCharType="begin"/>
            </w:r>
            <w:r>
              <w:rPr>
                <w:webHidden/>
              </w:rPr>
              <w:instrText xml:space="preserve"> PAGEREF _Toc83375080 \h </w:instrText>
            </w:r>
            <w:r>
              <w:rPr>
                <w:webHidden/>
              </w:rPr>
            </w:r>
            <w:r>
              <w:rPr>
                <w:webHidden/>
              </w:rPr>
              <w:fldChar w:fldCharType="separate"/>
            </w:r>
            <w:r>
              <w:rPr>
                <w:webHidden/>
              </w:rPr>
              <w:t>4</w:t>
            </w:r>
            <w:r>
              <w:rPr>
                <w:webHidden/>
              </w:rPr>
              <w:fldChar w:fldCharType="end"/>
            </w:r>
          </w:hyperlink>
        </w:p>
        <w:p w14:paraId="0383549D" w14:textId="7B41CD55" w:rsidR="009B21B5" w:rsidRDefault="009B21B5">
          <w:pPr>
            <w:pStyle w:val="TM2"/>
            <w:rPr>
              <w:rFonts w:eastAsiaTheme="minorEastAsia" w:cstheme="minorBidi"/>
              <w:bCs w:val="0"/>
              <w:smallCaps w:val="0"/>
              <w:sz w:val="22"/>
              <w:szCs w:val="22"/>
              <w:lang w:val="nl-BE" w:eastAsia="nl-BE"/>
            </w:rPr>
          </w:pPr>
          <w:hyperlink w:anchor="_Toc83375081" w:history="1">
            <w:r w:rsidRPr="00743EE1">
              <w:rPr>
                <w:rStyle w:val="Lienhypertexte"/>
                <w:lang w:val="nl-BE"/>
              </w:rPr>
              <w:t>Hoe gebeurt de berekening voor samengestelde producten?</w:t>
            </w:r>
            <w:r>
              <w:rPr>
                <w:webHidden/>
              </w:rPr>
              <w:tab/>
            </w:r>
            <w:r>
              <w:rPr>
                <w:webHidden/>
              </w:rPr>
              <w:fldChar w:fldCharType="begin"/>
            </w:r>
            <w:r>
              <w:rPr>
                <w:webHidden/>
              </w:rPr>
              <w:instrText xml:space="preserve"> PAGEREF _Toc83375081 \h </w:instrText>
            </w:r>
            <w:r>
              <w:rPr>
                <w:webHidden/>
              </w:rPr>
            </w:r>
            <w:r>
              <w:rPr>
                <w:webHidden/>
              </w:rPr>
              <w:fldChar w:fldCharType="separate"/>
            </w:r>
            <w:r>
              <w:rPr>
                <w:webHidden/>
              </w:rPr>
              <w:t>5</w:t>
            </w:r>
            <w:r>
              <w:rPr>
                <w:webHidden/>
              </w:rPr>
              <w:fldChar w:fldCharType="end"/>
            </w:r>
          </w:hyperlink>
        </w:p>
        <w:p w14:paraId="6051CB79" w14:textId="20C441EA" w:rsidR="009B21B5" w:rsidRDefault="009B21B5">
          <w:pPr>
            <w:pStyle w:val="TM2"/>
            <w:rPr>
              <w:rFonts w:eastAsiaTheme="minorEastAsia" w:cstheme="minorBidi"/>
              <w:bCs w:val="0"/>
              <w:smallCaps w:val="0"/>
              <w:sz w:val="22"/>
              <w:szCs w:val="22"/>
              <w:lang w:val="nl-BE" w:eastAsia="nl-BE"/>
            </w:rPr>
          </w:pPr>
          <w:hyperlink w:anchor="_Toc83375082" w:history="1">
            <w:r w:rsidRPr="00743EE1">
              <w:rPr>
                <w:rStyle w:val="Lienhypertexte"/>
                <w:lang w:val="nl-BE"/>
              </w:rPr>
              <w:t>Moet de Nutri-Score berekend worden op het product zoals het verkocht wordt of op het product zoals het bereid is?</w:t>
            </w:r>
            <w:r>
              <w:rPr>
                <w:webHidden/>
              </w:rPr>
              <w:tab/>
            </w:r>
            <w:r>
              <w:rPr>
                <w:webHidden/>
              </w:rPr>
              <w:fldChar w:fldCharType="begin"/>
            </w:r>
            <w:r>
              <w:rPr>
                <w:webHidden/>
              </w:rPr>
              <w:instrText xml:space="preserve"> PAGEREF _Toc83375082 \h </w:instrText>
            </w:r>
            <w:r>
              <w:rPr>
                <w:webHidden/>
              </w:rPr>
            </w:r>
            <w:r>
              <w:rPr>
                <w:webHidden/>
              </w:rPr>
              <w:fldChar w:fldCharType="separate"/>
            </w:r>
            <w:r>
              <w:rPr>
                <w:webHidden/>
              </w:rPr>
              <w:t>5</w:t>
            </w:r>
            <w:r>
              <w:rPr>
                <w:webHidden/>
              </w:rPr>
              <w:fldChar w:fldCharType="end"/>
            </w:r>
          </w:hyperlink>
        </w:p>
        <w:p w14:paraId="3CF7C2E4" w14:textId="5B395840" w:rsidR="009B21B5" w:rsidRDefault="009B21B5">
          <w:pPr>
            <w:pStyle w:val="TM2"/>
            <w:rPr>
              <w:rFonts w:eastAsiaTheme="minorEastAsia" w:cstheme="minorBidi"/>
              <w:bCs w:val="0"/>
              <w:smallCaps w:val="0"/>
              <w:sz w:val="22"/>
              <w:szCs w:val="22"/>
              <w:lang w:val="nl-BE" w:eastAsia="nl-BE"/>
            </w:rPr>
          </w:pPr>
          <w:hyperlink w:anchor="_Toc83375083" w:history="1">
            <w:r w:rsidRPr="00743EE1">
              <w:rPr>
                <w:rStyle w:val="Lienhypertexte"/>
                <w:lang w:val="nl-BE"/>
              </w:rPr>
              <w:t>Welke Nutri-Score voor gebakken producten?</w:t>
            </w:r>
            <w:r>
              <w:rPr>
                <w:webHidden/>
              </w:rPr>
              <w:tab/>
            </w:r>
            <w:r>
              <w:rPr>
                <w:webHidden/>
              </w:rPr>
              <w:fldChar w:fldCharType="begin"/>
            </w:r>
            <w:r>
              <w:rPr>
                <w:webHidden/>
              </w:rPr>
              <w:instrText xml:space="preserve"> PAGEREF _Toc83375083 \h </w:instrText>
            </w:r>
            <w:r>
              <w:rPr>
                <w:webHidden/>
              </w:rPr>
            </w:r>
            <w:r>
              <w:rPr>
                <w:webHidden/>
              </w:rPr>
              <w:fldChar w:fldCharType="separate"/>
            </w:r>
            <w:r>
              <w:rPr>
                <w:webHidden/>
              </w:rPr>
              <w:t>5</w:t>
            </w:r>
            <w:r>
              <w:rPr>
                <w:webHidden/>
              </w:rPr>
              <w:fldChar w:fldCharType="end"/>
            </w:r>
          </w:hyperlink>
        </w:p>
        <w:p w14:paraId="07FC67D1" w14:textId="46083356" w:rsidR="009B21B5" w:rsidRDefault="009B21B5">
          <w:pPr>
            <w:pStyle w:val="TM2"/>
            <w:rPr>
              <w:rFonts w:eastAsiaTheme="minorEastAsia" w:cstheme="minorBidi"/>
              <w:bCs w:val="0"/>
              <w:smallCaps w:val="0"/>
              <w:sz w:val="22"/>
              <w:szCs w:val="22"/>
              <w:lang w:val="nl-BE" w:eastAsia="nl-BE"/>
            </w:rPr>
          </w:pPr>
          <w:hyperlink w:anchor="_Toc83375084" w:history="1">
            <w:r w:rsidRPr="00743EE1">
              <w:rPr>
                <w:rStyle w:val="Lienhypertexte"/>
                <w:lang w:val="nl-BE"/>
              </w:rPr>
              <w:t>Wordt bij de berekening van de Nutri-Score ook de opgietvloeistof meegerekend?</w:t>
            </w:r>
            <w:r>
              <w:rPr>
                <w:webHidden/>
              </w:rPr>
              <w:tab/>
            </w:r>
            <w:r>
              <w:rPr>
                <w:webHidden/>
              </w:rPr>
              <w:fldChar w:fldCharType="begin"/>
            </w:r>
            <w:r>
              <w:rPr>
                <w:webHidden/>
              </w:rPr>
              <w:instrText xml:space="preserve"> PAGEREF _Toc83375084 \h </w:instrText>
            </w:r>
            <w:r>
              <w:rPr>
                <w:webHidden/>
              </w:rPr>
            </w:r>
            <w:r>
              <w:rPr>
                <w:webHidden/>
              </w:rPr>
              <w:fldChar w:fldCharType="separate"/>
            </w:r>
            <w:r>
              <w:rPr>
                <w:webHidden/>
              </w:rPr>
              <w:t>6</w:t>
            </w:r>
            <w:r>
              <w:rPr>
                <w:webHidden/>
              </w:rPr>
              <w:fldChar w:fldCharType="end"/>
            </w:r>
          </w:hyperlink>
        </w:p>
        <w:p w14:paraId="79277F3C" w14:textId="6A8DBD48" w:rsidR="009B21B5" w:rsidRDefault="009B21B5">
          <w:pPr>
            <w:pStyle w:val="TM2"/>
            <w:rPr>
              <w:rFonts w:eastAsiaTheme="minorEastAsia" w:cstheme="minorBidi"/>
              <w:bCs w:val="0"/>
              <w:smallCaps w:val="0"/>
              <w:sz w:val="22"/>
              <w:szCs w:val="22"/>
              <w:lang w:val="nl-BE" w:eastAsia="nl-BE"/>
            </w:rPr>
          </w:pPr>
          <w:hyperlink w:anchor="_Toc83375085" w:history="1">
            <w:r w:rsidRPr="00743EE1">
              <w:rPr>
                <w:rStyle w:val="Lienhypertexte"/>
                <w:lang w:val="nl-BE"/>
              </w:rPr>
              <w:t>Wordt voor vloeibare etenswaren de score berekend voor 100 g of voor 100 ml?</w:t>
            </w:r>
            <w:r>
              <w:rPr>
                <w:webHidden/>
              </w:rPr>
              <w:tab/>
            </w:r>
            <w:r>
              <w:rPr>
                <w:webHidden/>
              </w:rPr>
              <w:fldChar w:fldCharType="begin"/>
            </w:r>
            <w:r>
              <w:rPr>
                <w:webHidden/>
              </w:rPr>
              <w:instrText xml:space="preserve"> PAGEREF _Toc83375085 \h </w:instrText>
            </w:r>
            <w:r>
              <w:rPr>
                <w:webHidden/>
              </w:rPr>
            </w:r>
            <w:r>
              <w:rPr>
                <w:webHidden/>
              </w:rPr>
              <w:fldChar w:fldCharType="separate"/>
            </w:r>
            <w:r>
              <w:rPr>
                <w:webHidden/>
              </w:rPr>
              <w:t>6</w:t>
            </w:r>
            <w:r>
              <w:rPr>
                <w:webHidden/>
              </w:rPr>
              <w:fldChar w:fldCharType="end"/>
            </w:r>
          </w:hyperlink>
        </w:p>
        <w:p w14:paraId="7B49177B" w14:textId="282E0217" w:rsidR="009B21B5" w:rsidRDefault="009B21B5">
          <w:pPr>
            <w:pStyle w:val="TM2"/>
            <w:rPr>
              <w:rFonts w:eastAsiaTheme="minorEastAsia" w:cstheme="minorBidi"/>
              <w:bCs w:val="0"/>
              <w:smallCaps w:val="0"/>
              <w:sz w:val="22"/>
              <w:szCs w:val="22"/>
              <w:lang w:val="nl-BE" w:eastAsia="nl-BE"/>
            </w:rPr>
          </w:pPr>
          <w:hyperlink w:anchor="_Toc83375086" w:history="1">
            <w:r w:rsidRPr="00743EE1">
              <w:rPr>
                <w:rStyle w:val="Lienhypertexte"/>
                <w:lang w:val="nl-BE"/>
              </w:rPr>
              <w:t>Waarom werd de component 'fruit, groenten, peulvruchten en noten' gewijzigd en binnen welke termijn moet men hieraan voldoen?</w:t>
            </w:r>
            <w:r>
              <w:rPr>
                <w:webHidden/>
              </w:rPr>
              <w:tab/>
            </w:r>
            <w:r>
              <w:rPr>
                <w:webHidden/>
              </w:rPr>
              <w:fldChar w:fldCharType="begin"/>
            </w:r>
            <w:r>
              <w:rPr>
                <w:webHidden/>
              </w:rPr>
              <w:instrText xml:space="preserve"> PAGEREF _Toc83375086 \h </w:instrText>
            </w:r>
            <w:r>
              <w:rPr>
                <w:webHidden/>
              </w:rPr>
            </w:r>
            <w:r>
              <w:rPr>
                <w:webHidden/>
              </w:rPr>
              <w:fldChar w:fldCharType="separate"/>
            </w:r>
            <w:r>
              <w:rPr>
                <w:webHidden/>
              </w:rPr>
              <w:t>6</w:t>
            </w:r>
            <w:r>
              <w:rPr>
                <w:webHidden/>
              </w:rPr>
              <w:fldChar w:fldCharType="end"/>
            </w:r>
          </w:hyperlink>
        </w:p>
        <w:p w14:paraId="3E16BF19" w14:textId="4BB31911" w:rsidR="009B21B5" w:rsidRDefault="009B21B5">
          <w:pPr>
            <w:pStyle w:val="TM1"/>
            <w:tabs>
              <w:tab w:val="left" w:pos="440"/>
              <w:tab w:val="right" w:leader="dot" w:pos="9488"/>
            </w:tabs>
            <w:rPr>
              <w:rFonts w:eastAsiaTheme="minorEastAsia" w:cstheme="minorBidi"/>
              <w:b w:val="0"/>
              <w:bCs w:val="0"/>
              <w:caps w:val="0"/>
              <w:noProof/>
              <w:sz w:val="22"/>
              <w:szCs w:val="22"/>
              <w:lang w:val="nl-BE" w:eastAsia="nl-BE"/>
            </w:rPr>
          </w:pPr>
          <w:hyperlink w:anchor="_Toc83375087" w:history="1">
            <w:r w:rsidRPr="00743EE1">
              <w:rPr>
                <w:rStyle w:val="Lienhypertexte"/>
                <w:noProof/>
                <w:lang w:val="nl-BE"/>
              </w:rPr>
              <w:t>II.</w:t>
            </w:r>
            <w:r>
              <w:rPr>
                <w:rFonts w:eastAsiaTheme="minorEastAsia" w:cstheme="minorBidi"/>
                <w:b w:val="0"/>
                <w:bCs w:val="0"/>
                <w:caps w:val="0"/>
                <w:noProof/>
                <w:sz w:val="22"/>
                <w:szCs w:val="22"/>
                <w:lang w:val="nl-BE" w:eastAsia="nl-BE"/>
              </w:rPr>
              <w:tab/>
            </w:r>
            <w:r w:rsidRPr="00743EE1">
              <w:rPr>
                <w:rStyle w:val="Lienhypertexte"/>
                <w:noProof/>
                <w:lang w:val="nl-BE"/>
              </w:rPr>
              <w:t>Aanpassing van de score voor bepaalde etenswaren en dranken</w:t>
            </w:r>
            <w:r>
              <w:rPr>
                <w:noProof/>
                <w:webHidden/>
              </w:rPr>
              <w:tab/>
            </w:r>
            <w:r>
              <w:rPr>
                <w:noProof/>
                <w:webHidden/>
              </w:rPr>
              <w:fldChar w:fldCharType="begin"/>
            </w:r>
            <w:r>
              <w:rPr>
                <w:noProof/>
                <w:webHidden/>
              </w:rPr>
              <w:instrText xml:space="preserve"> PAGEREF _Toc83375087 \h </w:instrText>
            </w:r>
            <w:r>
              <w:rPr>
                <w:noProof/>
                <w:webHidden/>
              </w:rPr>
            </w:r>
            <w:r>
              <w:rPr>
                <w:noProof/>
                <w:webHidden/>
              </w:rPr>
              <w:fldChar w:fldCharType="separate"/>
            </w:r>
            <w:r>
              <w:rPr>
                <w:noProof/>
                <w:webHidden/>
              </w:rPr>
              <w:t>7</w:t>
            </w:r>
            <w:r>
              <w:rPr>
                <w:noProof/>
                <w:webHidden/>
              </w:rPr>
              <w:fldChar w:fldCharType="end"/>
            </w:r>
          </w:hyperlink>
        </w:p>
        <w:p w14:paraId="09ADEDD7" w14:textId="443FBE91" w:rsidR="009B21B5" w:rsidRDefault="009B21B5">
          <w:pPr>
            <w:pStyle w:val="TM2"/>
            <w:rPr>
              <w:rFonts w:eastAsiaTheme="minorEastAsia" w:cstheme="minorBidi"/>
              <w:bCs w:val="0"/>
              <w:smallCaps w:val="0"/>
              <w:sz w:val="22"/>
              <w:szCs w:val="22"/>
              <w:lang w:val="nl-BE" w:eastAsia="nl-BE"/>
            </w:rPr>
          </w:pPr>
          <w:hyperlink w:anchor="_Toc83375088" w:history="1">
            <w:r w:rsidRPr="00743EE1">
              <w:rPr>
                <w:rStyle w:val="Lienhypertexte"/>
                <w:lang w:val="nl-BE"/>
              </w:rPr>
              <w:t>Voor welke toegevoegde vetten geldt de aangepaste Nutri-Score?</w:t>
            </w:r>
            <w:r>
              <w:rPr>
                <w:webHidden/>
              </w:rPr>
              <w:tab/>
            </w:r>
            <w:r>
              <w:rPr>
                <w:webHidden/>
              </w:rPr>
              <w:fldChar w:fldCharType="begin"/>
            </w:r>
            <w:r>
              <w:rPr>
                <w:webHidden/>
              </w:rPr>
              <w:instrText xml:space="preserve"> PAGEREF _Toc83375088 \h </w:instrText>
            </w:r>
            <w:r>
              <w:rPr>
                <w:webHidden/>
              </w:rPr>
            </w:r>
            <w:r>
              <w:rPr>
                <w:webHidden/>
              </w:rPr>
              <w:fldChar w:fldCharType="separate"/>
            </w:r>
            <w:r>
              <w:rPr>
                <w:webHidden/>
              </w:rPr>
              <w:t>7</w:t>
            </w:r>
            <w:r>
              <w:rPr>
                <w:webHidden/>
              </w:rPr>
              <w:fldChar w:fldCharType="end"/>
            </w:r>
          </w:hyperlink>
        </w:p>
        <w:p w14:paraId="7089F6B8" w14:textId="052D2EE5" w:rsidR="009B21B5" w:rsidRDefault="009B21B5">
          <w:pPr>
            <w:pStyle w:val="TM2"/>
            <w:rPr>
              <w:rFonts w:eastAsiaTheme="minorEastAsia" w:cstheme="minorBidi"/>
              <w:bCs w:val="0"/>
              <w:smallCaps w:val="0"/>
              <w:sz w:val="22"/>
              <w:szCs w:val="22"/>
              <w:lang w:val="nl-BE" w:eastAsia="nl-BE"/>
            </w:rPr>
          </w:pPr>
          <w:hyperlink w:anchor="_Toc83375089" w:history="1">
            <w:r w:rsidRPr="00743EE1">
              <w:rPr>
                <w:rStyle w:val="Lienhypertexte"/>
                <w:lang w:val="nl-BE"/>
              </w:rPr>
              <w:t>Welke kazen komen in aanmerking voor de aangepaste Nutri-Score?</w:t>
            </w:r>
            <w:r>
              <w:rPr>
                <w:webHidden/>
              </w:rPr>
              <w:tab/>
            </w:r>
            <w:r>
              <w:rPr>
                <w:webHidden/>
              </w:rPr>
              <w:fldChar w:fldCharType="begin"/>
            </w:r>
            <w:r>
              <w:rPr>
                <w:webHidden/>
              </w:rPr>
              <w:instrText xml:space="preserve"> PAGEREF _Toc83375089 \h </w:instrText>
            </w:r>
            <w:r>
              <w:rPr>
                <w:webHidden/>
              </w:rPr>
            </w:r>
            <w:r>
              <w:rPr>
                <w:webHidden/>
              </w:rPr>
              <w:fldChar w:fldCharType="separate"/>
            </w:r>
            <w:r>
              <w:rPr>
                <w:webHidden/>
              </w:rPr>
              <w:t>7</w:t>
            </w:r>
            <w:r>
              <w:rPr>
                <w:webHidden/>
              </w:rPr>
              <w:fldChar w:fldCharType="end"/>
            </w:r>
          </w:hyperlink>
        </w:p>
        <w:p w14:paraId="77CAD1B9" w14:textId="2D2D7DE2" w:rsidR="009B21B5" w:rsidRDefault="009B21B5">
          <w:pPr>
            <w:pStyle w:val="TM2"/>
            <w:rPr>
              <w:rFonts w:eastAsiaTheme="minorEastAsia" w:cstheme="minorBidi"/>
              <w:bCs w:val="0"/>
              <w:smallCaps w:val="0"/>
              <w:sz w:val="22"/>
              <w:szCs w:val="22"/>
              <w:lang w:val="nl-BE" w:eastAsia="nl-BE"/>
            </w:rPr>
          </w:pPr>
          <w:hyperlink w:anchor="_Toc83375090" w:history="1">
            <w:r w:rsidRPr="00743EE1">
              <w:rPr>
                <w:rStyle w:val="Lienhypertexte"/>
                <w:lang w:val="nl-BE"/>
              </w:rPr>
              <w:t>Welke dranken komen in aanmerking voor de aangepaste Nutri-Score?</w:t>
            </w:r>
            <w:r>
              <w:rPr>
                <w:webHidden/>
              </w:rPr>
              <w:tab/>
            </w:r>
            <w:r>
              <w:rPr>
                <w:webHidden/>
              </w:rPr>
              <w:fldChar w:fldCharType="begin"/>
            </w:r>
            <w:r>
              <w:rPr>
                <w:webHidden/>
              </w:rPr>
              <w:instrText xml:space="preserve"> PAGEREF _Toc83375090 \h </w:instrText>
            </w:r>
            <w:r>
              <w:rPr>
                <w:webHidden/>
              </w:rPr>
            </w:r>
            <w:r>
              <w:rPr>
                <w:webHidden/>
              </w:rPr>
              <w:fldChar w:fldCharType="separate"/>
            </w:r>
            <w:r>
              <w:rPr>
                <w:webHidden/>
              </w:rPr>
              <w:t>7</w:t>
            </w:r>
            <w:r>
              <w:rPr>
                <w:webHidden/>
              </w:rPr>
              <w:fldChar w:fldCharType="end"/>
            </w:r>
          </w:hyperlink>
        </w:p>
        <w:p w14:paraId="3ADCA12A" w14:textId="1629ED62" w:rsidR="009B21B5" w:rsidRDefault="009B21B5">
          <w:pPr>
            <w:pStyle w:val="TM2"/>
            <w:rPr>
              <w:rFonts w:eastAsiaTheme="minorEastAsia" w:cstheme="minorBidi"/>
              <w:bCs w:val="0"/>
              <w:smallCaps w:val="0"/>
              <w:sz w:val="22"/>
              <w:szCs w:val="22"/>
              <w:lang w:val="nl-BE" w:eastAsia="nl-BE"/>
            </w:rPr>
          </w:pPr>
          <w:hyperlink w:anchor="_Toc83375091" w:history="1">
            <w:r w:rsidRPr="00743EE1">
              <w:rPr>
                <w:rStyle w:val="Lienhypertexte"/>
                <w:lang w:val="nl-BE"/>
              </w:rPr>
              <w:t>Geldt de Nutri-Score ook voor alcoholische dranken?</w:t>
            </w:r>
            <w:r>
              <w:rPr>
                <w:webHidden/>
              </w:rPr>
              <w:tab/>
            </w:r>
            <w:r>
              <w:rPr>
                <w:webHidden/>
              </w:rPr>
              <w:fldChar w:fldCharType="begin"/>
            </w:r>
            <w:r>
              <w:rPr>
                <w:webHidden/>
              </w:rPr>
              <w:instrText xml:space="preserve"> PAGEREF _Toc83375091 \h </w:instrText>
            </w:r>
            <w:r>
              <w:rPr>
                <w:webHidden/>
              </w:rPr>
            </w:r>
            <w:r>
              <w:rPr>
                <w:webHidden/>
              </w:rPr>
              <w:fldChar w:fldCharType="separate"/>
            </w:r>
            <w:r>
              <w:rPr>
                <w:webHidden/>
              </w:rPr>
              <w:t>8</w:t>
            </w:r>
            <w:r>
              <w:rPr>
                <w:webHidden/>
              </w:rPr>
              <w:fldChar w:fldCharType="end"/>
            </w:r>
          </w:hyperlink>
        </w:p>
        <w:p w14:paraId="3D1FA4F2" w14:textId="6FCD8C16" w:rsidR="009B21B5" w:rsidRDefault="009B21B5">
          <w:pPr>
            <w:pStyle w:val="TM1"/>
            <w:tabs>
              <w:tab w:val="left" w:pos="440"/>
              <w:tab w:val="right" w:leader="dot" w:pos="9488"/>
            </w:tabs>
            <w:rPr>
              <w:rFonts w:eastAsiaTheme="minorEastAsia" w:cstheme="minorBidi"/>
              <w:b w:val="0"/>
              <w:bCs w:val="0"/>
              <w:caps w:val="0"/>
              <w:noProof/>
              <w:sz w:val="22"/>
              <w:szCs w:val="22"/>
              <w:lang w:val="nl-BE" w:eastAsia="nl-BE"/>
            </w:rPr>
          </w:pPr>
          <w:hyperlink w:anchor="_Toc83375092" w:history="1">
            <w:r w:rsidRPr="00743EE1">
              <w:rPr>
                <w:rStyle w:val="Lienhypertexte"/>
                <w:noProof/>
              </w:rPr>
              <w:t>III.</w:t>
            </w:r>
            <w:r>
              <w:rPr>
                <w:rFonts w:eastAsiaTheme="minorEastAsia" w:cstheme="minorBidi"/>
                <w:b w:val="0"/>
                <w:bCs w:val="0"/>
                <w:caps w:val="0"/>
                <w:noProof/>
                <w:sz w:val="22"/>
                <w:szCs w:val="22"/>
                <w:lang w:val="nl-BE" w:eastAsia="nl-BE"/>
              </w:rPr>
              <w:tab/>
            </w:r>
            <w:r w:rsidRPr="00743EE1">
              <w:rPr>
                <w:rStyle w:val="Lienhypertexte"/>
                <w:noProof/>
              </w:rPr>
              <w:t>Betrokken voedingsmiddelen</w:t>
            </w:r>
            <w:r>
              <w:rPr>
                <w:noProof/>
                <w:webHidden/>
              </w:rPr>
              <w:tab/>
            </w:r>
            <w:r>
              <w:rPr>
                <w:noProof/>
                <w:webHidden/>
              </w:rPr>
              <w:fldChar w:fldCharType="begin"/>
            </w:r>
            <w:r>
              <w:rPr>
                <w:noProof/>
                <w:webHidden/>
              </w:rPr>
              <w:instrText xml:space="preserve"> PAGEREF _Toc83375092 \h </w:instrText>
            </w:r>
            <w:r>
              <w:rPr>
                <w:noProof/>
                <w:webHidden/>
              </w:rPr>
            </w:r>
            <w:r>
              <w:rPr>
                <w:noProof/>
                <w:webHidden/>
              </w:rPr>
              <w:fldChar w:fldCharType="separate"/>
            </w:r>
            <w:r>
              <w:rPr>
                <w:noProof/>
                <w:webHidden/>
              </w:rPr>
              <w:t>8</w:t>
            </w:r>
            <w:r>
              <w:rPr>
                <w:noProof/>
                <w:webHidden/>
              </w:rPr>
              <w:fldChar w:fldCharType="end"/>
            </w:r>
          </w:hyperlink>
        </w:p>
        <w:p w14:paraId="0207A5D8" w14:textId="3E319DAD" w:rsidR="009B21B5" w:rsidRDefault="009B21B5">
          <w:pPr>
            <w:pStyle w:val="TM2"/>
            <w:rPr>
              <w:rFonts w:eastAsiaTheme="minorEastAsia" w:cstheme="minorBidi"/>
              <w:bCs w:val="0"/>
              <w:smallCaps w:val="0"/>
              <w:sz w:val="22"/>
              <w:szCs w:val="22"/>
              <w:lang w:val="nl-BE" w:eastAsia="nl-BE"/>
            </w:rPr>
          </w:pPr>
          <w:hyperlink w:anchor="_Toc83375093" w:history="1">
            <w:r w:rsidRPr="00743EE1">
              <w:rPr>
                <w:rStyle w:val="Lienhypertexte"/>
                <w:lang w:val="nl-BE"/>
              </w:rPr>
              <w:t>Voor welke producten moet een Nutri-Score worden berekend?</w:t>
            </w:r>
            <w:r>
              <w:rPr>
                <w:webHidden/>
              </w:rPr>
              <w:tab/>
            </w:r>
            <w:r>
              <w:rPr>
                <w:webHidden/>
              </w:rPr>
              <w:fldChar w:fldCharType="begin"/>
            </w:r>
            <w:r>
              <w:rPr>
                <w:webHidden/>
              </w:rPr>
              <w:instrText xml:space="preserve"> PAGEREF _Toc83375093 \h </w:instrText>
            </w:r>
            <w:r>
              <w:rPr>
                <w:webHidden/>
              </w:rPr>
            </w:r>
            <w:r>
              <w:rPr>
                <w:webHidden/>
              </w:rPr>
              <w:fldChar w:fldCharType="separate"/>
            </w:r>
            <w:r>
              <w:rPr>
                <w:webHidden/>
              </w:rPr>
              <w:t>8</w:t>
            </w:r>
            <w:r>
              <w:rPr>
                <w:webHidden/>
              </w:rPr>
              <w:fldChar w:fldCharType="end"/>
            </w:r>
          </w:hyperlink>
        </w:p>
        <w:p w14:paraId="7A71FF58" w14:textId="2A45D6C2" w:rsidR="009B21B5" w:rsidRDefault="009B21B5">
          <w:pPr>
            <w:pStyle w:val="TM2"/>
            <w:rPr>
              <w:rFonts w:eastAsiaTheme="minorEastAsia" w:cstheme="minorBidi"/>
              <w:bCs w:val="0"/>
              <w:smallCaps w:val="0"/>
              <w:sz w:val="22"/>
              <w:szCs w:val="22"/>
              <w:lang w:val="nl-BE" w:eastAsia="nl-BE"/>
            </w:rPr>
          </w:pPr>
          <w:hyperlink w:anchor="_Toc83375094" w:history="1">
            <w:r w:rsidRPr="00743EE1">
              <w:rPr>
                <w:rStyle w:val="Lienhypertexte"/>
                <w:lang w:val="nl-BE"/>
              </w:rPr>
              <w:t>Voor welke producten moet geen Nutri-Score worden berekend?</w:t>
            </w:r>
            <w:r>
              <w:rPr>
                <w:webHidden/>
              </w:rPr>
              <w:tab/>
            </w:r>
            <w:r>
              <w:rPr>
                <w:webHidden/>
              </w:rPr>
              <w:fldChar w:fldCharType="begin"/>
            </w:r>
            <w:r>
              <w:rPr>
                <w:webHidden/>
              </w:rPr>
              <w:instrText xml:space="preserve"> PAGEREF _Toc83375094 \h </w:instrText>
            </w:r>
            <w:r>
              <w:rPr>
                <w:webHidden/>
              </w:rPr>
            </w:r>
            <w:r>
              <w:rPr>
                <w:webHidden/>
              </w:rPr>
              <w:fldChar w:fldCharType="separate"/>
            </w:r>
            <w:r>
              <w:rPr>
                <w:webHidden/>
              </w:rPr>
              <w:t>9</w:t>
            </w:r>
            <w:r>
              <w:rPr>
                <w:webHidden/>
              </w:rPr>
              <w:fldChar w:fldCharType="end"/>
            </w:r>
          </w:hyperlink>
        </w:p>
        <w:p w14:paraId="025DD5CD" w14:textId="62013E5C" w:rsidR="009B21B5" w:rsidRDefault="009B21B5">
          <w:pPr>
            <w:pStyle w:val="TM2"/>
            <w:rPr>
              <w:rFonts w:eastAsiaTheme="minorEastAsia" w:cstheme="minorBidi"/>
              <w:bCs w:val="0"/>
              <w:smallCaps w:val="0"/>
              <w:sz w:val="22"/>
              <w:szCs w:val="22"/>
              <w:lang w:val="nl-BE" w:eastAsia="nl-BE"/>
            </w:rPr>
          </w:pPr>
          <w:hyperlink w:anchor="_Toc83375095" w:history="1">
            <w:r w:rsidRPr="00743EE1">
              <w:rPr>
                <w:rStyle w:val="Lienhypertexte"/>
                <w:lang w:val="nl-BE"/>
              </w:rPr>
              <w:t>Is het mogelijk om de Nutri-Score aan te brengen op producten waarvoor de verplichte voedingswaardevermelding niet geldt?</w:t>
            </w:r>
            <w:r>
              <w:rPr>
                <w:webHidden/>
              </w:rPr>
              <w:tab/>
            </w:r>
            <w:r>
              <w:rPr>
                <w:webHidden/>
              </w:rPr>
              <w:fldChar w:fldCharType="begin"/>
            </w:r>
            <w:r>
              <w:rPr>
                <w:webHidden/>
              </w:rPr>
              <w:instrText xml:space="preserve"> PAGEREF _Toc83375095 \h </w:instrText>
            </w:r>
            <w:r>
              <w:rPr>
                <w:webHidden/>
              </w:rPr>
            </w:r>
            <w:r>
              <w:rPr>
                <w:webHidden/>
              </w:rPr>
              <w:fldChar w:fldCharType="separate"/>
            </w:r>
            <w:r>
              <w:rPr>
                <w:webHidden/>
              </w:rPr>
              <w:t>11</w:t>
            </w:r>
            <w:r>
              <w:rPr>
                <w:webHidden/>
              </w:rPr>
              <w:fldChar w:fldCharType="end"/>
            </w:r>
          </w:hyperlink>
        </w:p>
        <w:p w14:paraId="64DFC335" w14:textId="5C3B3474" w:rsidR="009B21B5" w:rsidRDefault="009B21B5">
          <w:pPr>
            <w:pStyle w:val="TM2"/>
            <w:rPr>
              <w:rFonts w:eastAsiaTheme="minorEastAsia" w:cstheme="minorBidi"/>
              <w:bCs w:val="0"/>
              <w:smallCaps w:val="0"/>
              <w:sz w:val="22"/>
              <w:szCs w:val="22"/>
              <w:lang w:val="nl-BE" w:eastAsia="nl-BE"/>
            </w:rPr>
          </w:pPr>
          <w:hyperlink w:anchor="_Toc83375096" w:history="1">
            <w:r w:rsidRPr="00743EE1">
              <w:rPr>
                <w:rStyle w:val="Lienhypertexte"/>
                <w:lang w:val="nl-BE"/>
              </w:rPr>
              <w:t>Is het mogelijk om de Nutri-Score toe te passen op recepten?</w:t>
            </w:r>
            <w:r>
              <w:rPr>
                <w:webHidden/>
              </w:rPr>
              <w:tab/>
            </w:r>
            <w:r>
              <w:rPr>
                <w:webHidden/>
              </w:rPr>
              <w:fldChar w:fldCharType="begin"/>
            </w:r>
            <w:r>
              <w:rPr>
                <w:webHidden/>
              </w:rPr>
              <w:instrText xml:space="preserve"> PAGEREF _Toc83375096 \h </w:instrText>
            </w:r>
            <w:r>
              <w:rPr>
                <w:webHidden/>
              </w:rPr>
            </w:r>
            <w:r>
              <w:rPr>
                <w:webHidden/>
              </w:rPr>
              <w:fldChar w:fldCharType="separate"/>
            </w:r>
            <w:r>
              <w:rPr>
                <w:webHidden/>
              </w:rPr>
              <w:t>11</w:t>
            </w:r>
            <w:r>
              <w:rPr>
                <w:webHidden/>
              </w:rPr>
              <w:fldChar w:fldCharType="end"/>
            </w:r>
          </w:hyperlink>
        </w:p>
        <w:p w14:paraId="7750A8C3" w14:textId="56FF0B9E" w:rsidR="009B21B5" w:rsidRDefault="009B21B5">
          <w:pPr>
            <w:pStyle w:val="TM2"/>
            <w:rPr>
              <w:rFonts w:eastAsiaTheme="minorEastAsia" w:cstheme="minorBidi"/>
              <w:bCs w:val="0"/>
              <w:smallCaps w:val="0"/>
              <w:sz w:val="22"/>
              <w:szCs w:val="22"/>
              <w:lang w:val="nl-BE" w:eastAsia="nl-BE"/>
            </w:rPr>
          </w:pPr>
          <w:hyperlink w:anchor="_Toc83375097" w:history="1">
            <w:r w:rsidRPr="00743EE1">
              <w:rPr>
                <w:rStyle w:val="Lienhypertexte"/>
                <w:lang w:val="nl-BE"/>
              </w:rPr>
              <w:t>Kan men, in commerciële relaties tussen een bedrijf dat klant is bij een leverancier de Nutri-Score gebruiken op producten die zogenaamd 'ingrediënt' zijn en die deel uitmaken van de samenstelling van een recept, zonder de Nutri-Score toe te passen?</w:t>
            </w:r>
            <w:r>
              <w:rPr>
                <w:webHidden/>
              </w:rPr>
              <w:tab/>
            </w:r>
            <w:r>
              <w:rPr>
                <w:webHidden/>
              </w:rPr>
              <w:fldChar w:fldCharType="begin"/>
            </w:r>
            <w:r>
              <w:rPr>
                <w:webHidden/>
              </w:rPr>
              <w:instrText xml:space="preserve"> PAGEREF _Toc83375097 \h </w:instrText>
            </w:r>
            <w:r>
              <w:rPr>
                <w:webHidden/>
              </w:rPr>
            </w:r>
            <w:r>
              <w:rPr>
                <w:webHidden/>
              </w:rPr>
              <w:fldChar w:fldCharType="separate"/>
            </w:r>
            <w:r>
              <w:rPr>
                <w:webHidden/>
              </w:rPr>
              <w:t>11</w:t>
            </w:r>
            <w:r>
              <w:rPr>
                <w:webHidden/>
              </w:rPr>
              <w:fldChar w:fldCharType="end"/>
            </w:r>
          </w:hyperlink>
        </w:p>
        <w:p w14:paraId="6C672FE2" w14:textId="1C48B40A" w:rsidR="009B21B5" w:rsidRDefault="009B21B5">
          <w:pPr>
            <w:pStyle w:val="TM2"/>
            <w:rPr>
              <w:rFonts w:eastAsiaTheme="minorEastAsia" w:cstheme="minorBidi"/>
              <w:bCs w:val="0"/>
              <w:smallCaps w:val="0"/>
              <w:sz w:val="22"/>
              <w:szCs w:val="22"/>
              <w:lang w:val="nl-BE" w:eastAsia="nl-BE"/>
            </w:rPr>
          </w:pPr>
          <w:hyperlink w:anchor="_Toc83375098" w:history="1">
            <w:r w:rsidRPr="00743EE1">
              <w:rPr>
                <w:rStyle w:val="Lienhypertexte"/>
                <w:lang w:val="nl-BE"/>
              </w:rPr>
              <w:t>Wat met assortimenten? Moeten er dan meerdere Nutri-Scores vermeld worden?</w:t>
            </w:r>
            <w:r>
              <w:rPr>
                <w:webHidden/>
              </w:rPr>
              <w:tab/>
            </w:r>
            <w:r>
              <w:rPr>
                <w:webHidden/>
              </w:rPr>
              <w:fldChar w:fldCharType="begin"/>
            </w:r>
            <w:r>
              <w:rPr>
                <w:webHidden/>
              </w:rPr>
              <w:instrText xml:space="preserve"> PAGEREF _Toc83375098 \h </w:instrText>
            </w:r>
            <w:r>
              <w:rPr>
                <w:webHidden/>
              </w:rPr>
            </w:r>
            <w:r>
              <w:rPr>
                <w:webHidden/>
              </w:rPr>
              <w:fldChar w:fldCharType="separate"/>
            </w:r>
            <w:r>
              <w:rPr>
                <w:webHidden/>
              </w:rPr>
              <w:t>11</w:t>
            </w:r>
            <w:r>
              <w:rPr>
                <w:webHidden/>
              </w:rPr>
              <w:fldChar w:fldCharType="end"/>
            </w:r>
          </w:hyperlink>
        </w:p>
        <w:p w14:paraId="4DA4D26F" w14:textId="3CA9CD65" w:rsidR="009B21B5" w:rsidRDefault="009B21B5">
          <w:pPr>
            <w:pStyle w:val="TM1"/>
            <w:tabs>
              <w:tab w:val="left" w:pos="660"/>
              <w:tab w:val="right" w:leader="dot" w:pos="9488"/>
            </w:tabs>
            <w:rPr>
              <w:rFonts w:eastAsiaTheme="minorEastAsia" w:cstheme="minorBidi"/>
              <w:b w:val="0"/>
              <w:bCs w:val="0"/>
              <w:caps w:val="0"/>
              <w:noProof/>
              <w:sz w:val="22"/>
              <w:szCs w:val="22"/>
              <w:lang w:val="nl-BE" w:eastAsia="nl-BE"/>
            </w:rPr>
          </w:pPr>
          <w:hyperlink w:anchor="_Toc83375099" w:history="1">
            <w:r w:rsidRPr="00743EE1">
              <w:rPr>
                <w:rStyle w:val="Lienhypertexte"/>
                <w:noProof/>
                <w:lang w:val="nl-BE"/>
              </w:rPr>
              <w:t>IV.</w:t>
            </w:r>
            <w:r>
              <w:rPr>
                <w:rFonts w:eastAsiaTheme="minorEastAsia" w:cstheme="minorBidi"/>
                <w:b w:val="0"/>
                <w:bCs w:val="0"/>
                <w:caps w:val="0"/>
                <w:noProof/>
                <w:sz w:val="22"/>
                <w:szCs w:val="22"/>
                <w:lang w:val="nl-BE" w:eastAsia="nl-BE"/>
              </w:rPr>
              <w:tab/>
            </w:r>
            <w:r w:rsidRPr="00743EE1">
              <w:rPr>
                <w:rStyle w:val="Lienhypertexte"/>
                <w:noProof/>
                <w:lang w:val="nl-BE"/>
              </w:rPr>
              <w:t>Juridische vragen met betrekking tot de Nutri-Score</w:t>
            </w:r>
            <w:r>
              <w:rPr>
                <w:noProof/>
                <w:webHidden/>
              </w:rPr>
              <w:tab/>
            </w:r>
            <w:r>
              <w:rPr>
                <w:noProof/>
                <w:webHidden/>
              </w:rPr>
              <w:fldChar w:fldCharType="begin"/>
            </w:r>
            <w:r>
              <w:rPr>
                <w:noProof/>
                <w:webHidden/>
              </w:rPr>
              <w:instrText xml:space="preserve"> PAGEREF _Toc83375099 \h </w:instrText>
            </w:r>
            <w:r>
              <w:rPr>
                <w:noProof/>
                <w:webHidden/>
              </w:rPr>
            </w:r>
            <w:r>
              <w:rPr>
                <w:noProof/>
                <w:webHidden/>
              </w:rPr>
              <w:fldChar w:fldCharType="separate"/>
            </w:r>
            <w:r>
              <w:rPr>
                <w:noProof/>
                <w:webHidden/>
              </w:rPr>
              <w:t>12</w:t>
            </w:r>
            <w:r>
              <w:rPr>
                <w:noProof/>
                <w:webHidden/>
              </w:rPr>
              <w:fldChar w:fldCharType="end"/>
            </w:r>
          </w:hyperlink>
        </w:p>
        <w:p w14:paraId="4729C45D" w14:textId="7F5F487E" w:rsidR="009B21B5" w:rsidRDefault="009B21B5">
          <w:pPr>
            <w:pStyle w:val="TM2"/>
            <w:rPr>
              <w:rFonts w:eastAsiaTheme="minorEastAsia" w:cstheme="minorBidi"/>
              <w:bCs w:val="0"/>
              <w:smallCaps w:val="0"/>
              <w:sz w:val="22"/>
              <w:szCs w:val="22"/>
              <w:lang w:val="nl-BE" w:eastAsia="nl-BE"/>
            </w:rPr>
          </w:pPr>
          <w:hyperlink w:anchor="_Toc83375100" w:history="1">
            <w:r w:rsidRPr="00743EE1">
              <w:rPr>
                <w:rStyle w:val="Lienhypertexte"/>
                <w:lang w:val="nl-BE"/>
              </w:rPr>
              <w:t>Wie mag het Nutri-Score-label aanbrengen op zijn merken en producten?</w:t>
            </w:r>
            <w:r>
              <w:rPr>
                <w:webHidden/>
              </w:rPr>
              <w:tab/>
            </w:r>
            <w:r>
              <w:rPr>
                <w:webHidden/>
              </w:rPr>
              <w:fldChar w:fldCharType="begin"/>
            </w:r>
            <w:r>
              <w:rPr>
                <w:webHidden/>
              </w:rPr>
              <w:instrText xml:space="preserve"> PAGEREF _Toc83375100 \h </w:instrText>
            </w:r>
            <w:r>
              <w:rPr>
                <w:webHidden/>
              </w:rPr>
            </w:r>
            <w:r>
              <w:rPr>
                <w:webHidden/>
              </w:rPr>
              <w:fldChar w:fldCharType="separate"/>
            </w:r>
            <w:r>
              <w:rPr>
                <w:webHidden/>
              </w:rPr>
              <w:t>12</w:t>
            </w:r>
            <w:r>
              <w:rPr>
                <w:webHidden/>
              </w:rPr>
              <w:fldChar w:fldCharType="end"/>
            </w:r>
          </w:hyperlink>
        </w:p>
        <w:p w14:paraId="285F0E09" w14:textId="62E10044" w:rsidR="009B21B5" w:rsidRDefault="009B21B5">
          <w:pPr>
            <w:pStyle w:val="TM2"/>
            <w:rPr>
              <w:rFonts w:eastAsiaTheme="minorEastAsia" w:cstheme="minorBidi"/>
              <w:bCs w:val="0"/>
              <w:smallCaps w:val="0"/>
              <w:sz w:val="22"/>
              <w:szCs w:val="22"/>
              <w:lang w:val="nl-BE" w:eastAsia="nl-BE"/>
            </w:rPr>
          </w:pPr>
          <w:hyperlink w:anchor="_Toc83375101" w:history="1">
            <w:r w:rsidRPr="00743EE1">
              <w:rPr>
                <w:rStyle w:val="Lienhypertexte"/>
                <w:lang w:val="nl-BE"/>
              </w:rPr>
              <w:t xml:space="preserve">Hoe het recht verkrijgen om de Nutri-Score te gebruiken? </w:t>
            </w:r>
            <w:r w:rsidRPr="00743EE1">
              <w:rPr>
                <w:rStyle w:val="Lienhypertexte"/>
              </w:rPr>
              <w:t>(Registratieprocedure)</w:t>
            </w:r>
            <w:r>
              <w:rPr>
                <w:webHidden/>
              </w:rPr>
              <w:tab/>
            </w:r>
            <w:r>
              <w:rPr>
                <w:webHidden/>
              </w:rPr>
              <w:fldChar w:fldCharType="begin"/>
            </w:r>
            <w:r>
              <w:rPr>
                <w:webHidden/>
              </w:rPr>
              <w:instrText xml:space="preserve"> PAGEREF _Toc83375101 \h </w:instrText>
            </w:r>
            <w:r>
              <w:rPr>
                <w:webHidden/>
              </w:rPr>
            </w:r>
            <w:r>
              <w:rPr>
                <w:webHidden/>
              </w:rPr>
              <w:fldChar w:fldCharType="separate"/>
            </w:r>
            <w:r>
              <w:rPr>
                <w:webHidden/>
              </w:rPr>
              <w:t>12</w:t>
            </w:r>
            <w:r>
              <w:rPr>
                <w:webHidden/>
              </w:rPr>
              <w:fldChar w:fldCharType="end"/>
            </w:r>
          </w:hyperlink>
        </w:p>
        <w:p w14:paraId="61AA3879" w14:textId="320CD8A9" w:rsidR="009B21B5" w:rsidRDefault="009B21B5">
          <w:pPr>
            <w:pStyle w:val="TM2"/>
            <w:rPr>
              <w:rFonts w:eastAsiaTheme="minorEastAsia" w:cstheme="minorBidi"/>
              <w:bCs w:val="0"/>
              <w:smallCaps w:val="0"/>
              <w:sz w:val="22"/>
              <w:szCs w:val="22"/>
              <w:lang w:val="nl-BE" w:eastAsia="nl-BE"/>
            </w:rPr>
          </w:pPr>
          <w:hyperlink w:anchor="_Toc83375102" w:history="1">
            <w:r w:rsidRPr="00743EE1">
              <w:rPr>
                <w:rStyle w:val="Lienhypertexte"/>
                <w:lang w:val="nl-BE"/>
              </w:rPr>
              <w:t>Hoe de documenten ontvangen voor toepassing van de Nutri-Score?</w:t>
            </w:r>
            <w:r>
              <w:rPr>
                <w:webHidden/>
              </w:rPr>
              <w:tab/>
            </w:r>
            <w:r>
              <w:rPr>
                <w:webHidden/>
              </w:rPr>
              <w:fldChar w:fldCharType="begin"/>
            </w:r>
            <w:r>
              <w:rPr>
                <w:webHidden/>
              </w:rPr>
              <w:instrText xml:space="preserve"> PAGEREF _Toc83375102 \h </w:instrText>
            </w:r>
            <w:r>
              <w:rPr>
                <w:webHidden/>
              </w:rPr>
            </w:r>
            <w:r>
              <w:rPr>
                <w:webHidden/>
              </w:rPr>
              <w:fldChar w:fldCharType="separate"/>
            </w:r>
            <w:r>
              <w:rPr>
                <w:webHidden/>
              </w:rPr>
              <w:t>13</w:t>
            </w:r>
            <w:r>
              <w:rPr>
                <w:webHidden/>
              </w:rPr>
              <w:fldChar w:fldCharType="end"/>
            </w:r>
          </w:hyperlink>
        </w:p>
        <w:p w14:paraId="5A45658E" w14:textId="79AEEE40" w:rsidR="009B21B5" w:rsidRDefault="009B21B5">
          <w:pPr>
            <w:pStyle w:val="TM2"/>
            <w:rPr>
              <w:rFonts w:eastAsiaTheme="minorEastAsia" w:cstheme="minorBidi"/>
              <w:bCs w:val="0"/>
              <w:smallCaps w:val="0"/>
              <w:sz w:val="22"/>
              <w:szCs w:val="22"/>
              <w:lang w:val="nl-BE" w:eastAsia="nl-BE"/>
            </w:rPr>
          </w:pPr>
          <w:hyperlink w:anchor="_Toc83375103" w:history="1">
            <w:r w:rsidRPr="00743EE1">
              <w:rPr>
                <w:rStyle w:val="Lienhypertexte"/>
                <w:lang w:val="nl-BE"/>
              </w:rPr>
              <w:t>Hoe gemakkelijk de scores van de Nutri-Score berekenen?</w:t>
            </w:r>
            <w:r>
              <w:rPr>
                <w:webHidden/>
              </w:rPr>
              <w:tab/>
            </w:r>
            <w:r>
              <w:rPr>
                <w:webHidden/>
              </w:rPr>
              <w:fldChar w:fldCharType="begin"/>
            </w:r>
            <w:r>
              <w:rPr>
                <w:webHidden/>
              </w:rPr>
              <w:instrText xml:space="preserve"> PAGEREF _Toc83375103 \h </w:instrText>
            </w:r>
            <w:r>
              <w:rPr>
                <w:webHidden/>
              </w:rPr>
            </w:r>
            <w:r>
              <w:rPr>
                <w:webHidden/>
              </w:rPr>
              <w:fldChar w:fldCharType="separate"/>
            </w:r>
            <w:r>
              <w:rPr>
                <w:webHidden/>
              </w:rPr>
              <w:t>13</w:t>
            </w:r>
            <w:r>
              <w:rPr>
                <w:webHidden/>
              </w:rPr>
              <w:fldChar w:fldCharType="end"/>
            </w:r>
          </w:hyperlink>
        </w:p>
        <w:p w14:paraId="3355CC22" w14:textId="70EF0091" w:rsidR="009B21B5" w:rsidRDefault="009B21B5">
          <w:pPr>
            <w:pStyle w:val="TM2"/>
            <w:rPr>
              <w:rFonts w:eastAsiaTheme="minorEastAsia" w:cstheme="minorBidi"/>
              <w:bCs w:val="0"/>
              <w:smallCaps w:val="0"/>
              <w:sz w:val="22"/>
              <w:szCs w:val="22"/>
              <w:lang w:val="nl-BE" w:eastAsia="nl-BE"/>
            </w:rPr>
          </w:pPr>
          <w:hyperlink w:anchor="_Toc83375104" w:history="1">
            <w:r w:rsidRPr="00743EE1">
              <w:rPr>
                <w:rStyle w:val="Lienhypertexte"/>
                <w:lang w:val="nl-BE"/>
              </w:rPr>
              <w:t>Is het mogelijk om eerst een testfase te houden alvorens in te stappen?</w:t>
            </w:r>
            <w:r>
              <w:rPr>
                <w:webHidden/>
              </w:rPr>
              <w:tab/>
            </w:r>
            <w:r>
              <w:rPr>
                <w:webHidden/>
              </w:rPr>
              <w:fldChar w:fldCharType="begin"/>
            </w:r>
            <w:r>
              <w:rPr>
                <w:webHidden/>
              </w:rPr>
              <w:instrText xml:space="preserve"> PAGEREF _Toc83375104 \h </w:instrText>
            </w:r>
            <w:r>
              <w:rPr>
                <w:webHidden/>
              </w:rPr>
            </w:r>
            <w:r>
              <w:rPr>
                <w:webHidden/>
              </w:rPr>
              <w:fldChar w:fldCharType="separate"/>
            </w:r>
            <w:r>
              <w:rPr>
                <w:webHidden/>
              </w:rPr>
              <w:t>13</w:t>
            </w:r>
            <w:r>
              <w:rPr>
                <w:webHidden/>
              </w:rPr>
              <w:fldChar w:fldCharType="end"/>
            </w:r>
          </w:hyperlink>
        </w:p>
        <w:p w14:paraId="7D84FC21" w14:textId="71E31850" w:rsidR="009B21B5" w:rsidRDefault="009B21B5">
          <w:pPr>
            <w:pStyle w:val="TM2"/>
            <w:rPr>
              <w:rFonts w:eastAsiaTheme="minorEastAsia" w:cstheme="minorBidi"/>
              <w:bCs w:val="0"/>
              <w:smallCaps w:val="0"/>
              <w:sz w:val="22"/>
              <w:szCs w:val="22"/>
              <w:lang w:val="nl-BE" w:eastAsia="nl-BE"/>
            </w:rPr>
          </w:pPr>
          <w:hyperlink w:anchor="_Toc83375105" w:history="1">
            <w:r w:rsidRPr="00743EE1">
              <w:rPr>
                <w:rStyle w:val="Lienhypertexte"/>
                <w:lang w:val="nl-BE"/>
              </w:rPr>
              <w:t>Moet een handelaar de Nutri-Score vermelden op al zijn merken en op alle producten van eenzelfde merk?</w:t>
            </w:r>
            <w:r>
              <w:rPr>
                <w:webHidden/>
              </w:rPr>
              <w:tab/>
            </w:r>
            <w:r>
              <w:rPr>
                <w:webHidden/>
              </w:rPr>
              <w:fldChar w:fldCharType="begin"/>
            </w:r>
            <w:r>
              <w:rPr>
                <w:webHidden/>
              </w:rPr>
              <w:instrText xml:space="preserve"> PAGEREF _Toc83375105 \h </w:instrText>
            </w:r>
            <w:r>
              <w:rPr>
                <w:webHidden/>
              </w:rPr>
            </w:r>
            <w:r>
              <w:rPr>
                <w:webHidden/>
              </w:rPr>
              <w:fldChar w:fldCharType="separate"/>
            </w:r>
            <w:r>
              <w:rPr>
                <w:webHidden/>
              </w:rPr>
              <w:t>14</w:t>
            </w:r>
            <w:r>
              <w:rPr>
                <w:webHidden/>
              </w:rPr>
              <w:fldChar w:fldCharType="end"/>
            </w:r>
          </w:hyperlink>
        </w:p>
        <w:p w14:paraId="71C97EA3" w14:textId="0DFD718F" w:rsidR="009B21B5" w:rsidRDefault="009B21B5">
          <w:pPr>
            <w:pStyle w:val="TM2"/>
            <w:rPr>
              <w:rFonts w:eastAsiaTheme="minorEastAsia" w:cstheme="minorBidi"/>
              <w:bCs w:val="0"/>
              <w:smallCaps w:val="0"/>
              <w:sz w:val="22"/>
              <w:szCs w:val="22"/>
              <w:lang w:val="nl-BE" w:eastAsia="nl-BE"/>
            </w:rPr>
          </w:pPr>
          <w:hyperlink w:anchor="_Toc83375106" w:history="1">
            <w:r w:rsidRPr="00743EE1">
              <w:rPr>
                <w:rStyle w:val="Lienhypertexte"/>
                <w:lang w:val="nl-BE"/>
              </w:rPr>
              <w:t>Tot waar reiken de verplichtingen voor een merk waarop men een Nutri-Score wil aanbrengen?</w:t>
            </w:r>
            <w:r>
              <w:rPr>
                <w:webHidden/>
              </w:rPr>
              <w:tab/>
            </w:r>
            <w:r>
              <w:rPr>
                <w:webHidden/>
              </w:rPr>
              <w:fldChar w:fldCharType="begin"/>
            </w:r>
            <w:r>
              <w:rPr>
                <w:webHidden/>
              </w:rPr>
              <w:instrText xml:space="preserve"> PAGEREF _Toc83375106 \h </w:instrText>
            </w:r>
            <w:r>
              <w:rPr>
                <w:webHidden/>
              </w:rPr>
            </w:r>
            <w:r>
              <w:rPr>
                <w:webHidden/>
              </w:rPr>
              <w:fldChar w:fldCharType="separate"/>
            </w:r>
            <w:r>
              <w:rPr>
                <w:webHidden/>
              </w:rPr>
              <w:t>14</w:t>
            </w:r>
            <w:r>
              <w:rPr>
                <w:webHidden/>
              </w:rPr>
              <w:fldChar w:fldCharType="end"/>
            </w:r>
          </w:hyperlink>
        </w:p>
        <w:p w14:paraId="5A0C2EC5" w14:textId="3E6EE926" w:rsidR="009B21B5" w:rsidRDefault="009B21B5">
          <w:pPr>
            <w:pStyle w:val="TM2"/>
            <w:rPr>
              <w:rFonts w:eastAsiaTheme="minorEastAsia" w:cstheme="minorBidi"/>
              <w:bCs w:val="0"/>
              <w:smallCaps w:val="0"/>
              <w:sz w:val="22"/>
              <w:szCs w:val="22"/>
              <w:lang w:val="nl-BE" w:eastAsia="nl-BE"/>
            </w:rPr>
          </w:pPr>
          <w:hyperlink w:anchor="_Toc83375107" w:history="1">
            <w:r w:rsidRPr="00743EE1">
              <w:rPr>
                <w:rStyle w:val="Lienhypertexte"/>
                <w:lang w:val="nl-BE"/>
              </w:rPr>
              <w:t>Vallen co-branding producten onder de verplichtingen voor het merk?</w:t>
            </w:r>
            <w:r>
              <w:rPr>
                <w:webHidden/>
              </w:rPr>
              <w:tab/>
            </w:r>
            <w:r>
              <w:rPr>
                <w:webHidden/>
              </w:rPr>
              <w:fldChar w:fldCharType="begin"/>
            </w:r>
            <w:r>
              <w:rPr>
                <w:webHidden/>
              </w:rPr>
              <w:instrText xml:space="preserve"> PAGEREF _Toc83375107 \h </w:instrText>
            </w:r>
            <w:r>
              <w:rPr>
                <w:webHidden/>
              </w:rPr>
            </w:r>
            <w:r>
              <w:rPr>
                <w:webHidden/>
              </w:rPr>
              <w:fldChar w:fldCharType="separate"/>
            </w:r>
            <w:r>
              <w:rPr>
                <w:webHidden/>
              </w:rPr>
              <w:t>14</w:t>
            </w:r>
            <w:r>
              <w:rPr>
                <w:webHidden/>
              </w:rPr>
              <w:fldChar w:fldCharType="end"/>
            </w:r>
          </w:hyperlink>
        </w:p>
        <w:p w14:paraId="206B29A3" w14:textId="1B9678AC" w:rsidR="009B21B5" w:rsidRDefault="009B21B5">
          <w:pPr>
            <w:pStyle w:val="TM2"/>
            <w:rPr>
              <w:rFonts w:eastAsiaTheme="minorEastAsia" w:cstheme="minorBidi"/>
              <w:bCs w:val="0"/>
              <w:smallCaps w:val="0"/>
              <w:sz w:val="22"/>
              <w:szCs w:val="22"/>
              <w:lang w:val="nl-BE" w:eastAsia="nl-BE"/>
            </w:rPr>
          </w:pPr>
          <w:hyperlink w:anchor="_Toc83375108" w:history="1">
            <w:r w:rsidRPr="00743EE1">
              <w:rPr>
                <w:rStyle w:val="Lienhypertexte"/>
                <w:lang w:val="nl-BE"/>
              </w:rPr>
              <w:t>Wat zijn de regels voor het gebruik van de Nutri-Score voor joint ventures?</w:t>
            </w:r>
            <w:r>
              <w:rPr>
                <w:webHidden/>
              </w:rPr>
              <w:tab/>
            </w:r>
            <w:r>
              <w:rPr>
                <w:webHidden/>
              </w:rPr>
              <w:fldChar w:fldCharType="begin"/>
            </w:r>
            <w:r>
              <w:rPr>
                <w:webHidden/>
              </w:rPr>
              <w:instrText xml:space="preserve"> PAGEREF _Toc83375108 \h </w:instrText>
            </w:r>
            <w:r>
              <w:rPr>
                <w:webHidden/>
              </w:rPr>
            </w:r>
            <w:r>
              <w:rPr>
                <w:webHidden/>
              </w:rPr>
              <w:fldChar w:fldCharType="separate"/>
            </w:r>
            <w:r>
              <w:rPr>
                <w:webHidden/>
              </w:rPr>
              <w:t>15</w:t>
            </w:r>
            <w:r>
              <w:rPr>
                <w:webHidden/>
              </w:rPr>
              <w:fldChar w:fldCharType="end"/>
            </w:r>
          </w:hyperlink>
        </w:p>
        <w:p w14:paraId="4A292589" w14:textId="3B936123" w:rsidR="009B21B5" w:rsidRDefault="009B21B5">
          <w:pPr>
            <w:pStyle w:val="TM2"/>
            <w:rPr>
              <w:rFonts w:eastAsiaTheme="minorEastAsia" w:cstheme="minorBidi"/>
              <w:bCs w:val="0"/>
              <w:smallCaps w:val="0"/>
              <w:sz w:val="22"/>
              <w:szCs w:val="22"/>
              <w:lang w:val="nl-BE" w:eastAsia="nl-BE"/>
            </w:rPr>
          </w:pPr>
          <w:hyperlink w:anchor="_Toc83375109" w:history="1">
            <w:r w:rsidRPr="00743EE1">
              <w:rPr>
                <w:rStyle w:val="Lienhypertexte"/>
                <w:lang w:val="nl-BE"/>
              </w:rPr>
              <w:t>Moet de Nutri-Score ook worden aangebracht op producten voor de grote cateraars?</w:t>
            </w:r>
            <w:r>
              <w:rPr>
                <w:webHidden/>
              </w:rPr>
              <w:tab/>
            </w:r>
            <w:r>
              <w:rPr>
                <w:webHidden/>
              </w:rPr>
              <w:fldChar w:fldCharType="begin"/>
            </w:r>
            <w:r>
              <w:rPr>
                <w:webHidden/>
              </w:rPr>
              <w:instrText xml:space="preserve"> PAGEREF _Toc83375109 \h </w:instrText>
            </w:r>
            <w:r>
              <w:rPr>
                <w:webHidden/>
              </w:rPr>
            </w:r>
            <w:r>
              <w:rPr>
                <w:webHidden/>
              </w:rPr>
              <w:fldChar w:fldCharType="separate"/>
            </w:r>
            <w:r>
              <w:rPr>
                <w:webHidden/>
              </w:rPr>
              <w:t>15</w:t>
            </w:r>
            <w:r>
              <w:rPr>
                <w:webHidden/>
              </w:rPr>
              <w:fldChar w:fldCharType="end"/>
            </w:r>
          </w:hyperlink>
        </w:p>
        <w:p w14:paraId="2791D203" w14:textId="5915A799" w:rsidR="009B21B5" w:rsidRDefault="009B21B5">
          <w:pPr>
            <w:pStyle w:val="TM2"/>
            <w:rPr>
              <w:rFonts w:eastAsiaTheme="minorEastAsia" w:cstheme="minorBidi"/>
              <w:bCs w:val="0"/>
              <w:smallCaps w:val="0"/>
              <w:sz w:val="22"/>
              <w:szCs w:val="22"/>
              <w:lang w:val="nl-BE" w:eastAsia="nl-BE"/>
            </w:rPr>
          </w:pPr>
          <w:hyperlink w:anchor="_Toc83375110" w:history="1">
            <w:r w:rsidRPr="00743EE1">
              <w:rPr>
                <w:rStyle w:val="Lienhypertexte"/>
                <w:lang w:val="nl-BE"/>
              </w:rPr>
              <w:t>Welke specifieke regels gelden voor de toepassing van de Nutri-Score in de overzeese gebieden van Frankrijk?</w:t>
            </w:r>
            <w:r>
              <w:rPr>
                <w:webHidden/>
              </w:rPr>
              <w:tab/>
            </w:r>
            <w:r>
              <w:rPr>
                <w:webHidden/>
              </w:rPr>
              <w:fldChar w:fldCharType="begin"/>
            </w:r>
            <w:r>
              <w:rPr>
                <w:webHidden/>
              </w:rPr>
              <w:instrText xml:space="preserve"> PAGEREF _Toc83375110 \h </w:instrText>
            </w:r>
            <w:r>
              <w:rPr>
                <w:webHidden/>
              </w:rPr>
            </w:r>
            <w:r>
              <w:rPr>
                <w:webHidden/>
              </w:rPr>
              <w:fldChar w:fldCharType="separate"/>
            </w:r>
            <w:r>
              <w:rPr>
                <w:webHidden/>
              </w:rPr>
              <w:t>15</w:t>
            </w:r>
            <w:r>
              <w:rPr>
                <w:webHidden/>
              </w:rPr>
              <w:fldChar w:fldCharType="end"/>
            </w:r>
          </w:hyperlink>
        </w:p>
        <w:p w14:paraId="20327D61" w14:textId="5D4640D0" w:rsidR="009B21B5" w:rsidRDefault="009B21B5">
          <w:pPr>
            <w:pStyle w:val="TM2"/>
            <w:rPr>
              <w:rFonts w:eastAsiaTheme="minorEastAsia" w:cstheme="minorBidi"/>
              <w:bCs w:val="0"/>
              <w:smallCaps w:val="0"/>
              <w:sz w:val="22"/>
              <w:szCs w:val="22"/>
              <w:lang w:val="nl-BE" w:eastAsia="nl-BE"/>
            </w:rPr>
          </w:pPr>
          <w:hyperlink w:anchor="_Toc83375111" w:history="1">
            <w:r w:rsidRPr="00743EE1">
              <w:rPr>
                <w:rStyle w:val="Lienhypertexte"/>
                <w:lang w:val="nl-BE"/>
              </w:rPr>
              <w:t>Geldt het Nutri-Score-systeem ook buiten het Franse grondgebied?</w:t>
            </w:r>
            <w:r>
              <w:rPr>
                <w:webHidden/>
              </w:rPr>
              <w:tab/>
            </w:r>
            <w:r>
              <w:rPr>
                <w:webHidden/>
              </w:rPr>
              <w:fldChar w:fldCharType="begin"/>
            </w:r>
            <w:r>
              <w:rPr>
                <w:webHidden/>
              </w:rPr>
              <w:instrText xml:space="preserve"> PAGEREF _Toc83375111 \h </w:instrText>
            </w:r>
            <w:r>
              <w:rPr>
                <w:webHidden/>
              </w:rPr>
            </w:r>
            <w:r>
              <w:rPr>
                <w:webHidden/>
              </w:rPr>
              <w:fldChar w:fldCharType="separate"/>
            </w:r>
            <w:r>
              <w:rPr>
                <w:webHidden/>
              </w:rPr>
              <w:t>16</w:t>
            </w:r>
            <w:r>
              <w:rPr>
                <w:webHidden/>
              </w:rPr>
              <w:fldChar w:fldCharType="end"/>
            </w:r>
          </w:hyperlink>
        </w:p>
        <w:p w14:paraId="4C00C63C" w14:textId="29054607" w:rsidR="009B21B5" w:rsidRDefault="009B21B5">
          <w:pPr>
            <w:pStyle w:val="TM2"/>
            <w:rPr>
              <w:rFonts w:eastAsiaTheme="minorEastAsia" w:cstheme="minorBidi"/>
              <w:bCs w:val="0"/>
              <w:smallCaps w:val="0"/>
              <w:sz w:val="22"/>
              <w:szCs w:val="22"/>
              <w:lang w:val="nl-BE" w:eastAsia="nl-BE"/>
            </w:rPr>
          </w:pPr>
          <w:hyperlink w:anchor="_Toc83375112" w:history="1">
            <w:r w:rsidRPr="00743EE1">
              <w:rPr>
                <w:rStyle w:val="Lienhypertexte"/>
                <w:lang w:val="nl-BE"/>
              </w:rPr>
              <w:t>Mag een mandataris instaan voor de registratieformaliteiten van het Nutri-Score-systeem?</w:t>
            </w:r>
            <w:r>
              <w:rPr>
                <w:webHidden/>
              </w:rPr>
              <w:tab/>
            </w:r>
            <w:r>
              <w:rPr>
                <w:webHidden/>
              </w:rPr>
              <w:fldChar w:fldCharType="begin"/>
            </w:r>
            <w:r>
              <w:rPr>
                <w:webHidden/>
              </w:rPr>
              <w:instrText xml:space="preserve"> PAGEREF _Toc83375112 \h </w:instrText>
            </w:r>
            <w:r>
              <w:rPr>
                <w:webHidden/>
              </w:rPr>
            </w:r>
            <w:r>
              <w:rPr>
                <w:webHidden/>
              </w:rPr>
              <w:fldChar w:fldCharType="separate"/>
            </w:r>
            <w:r>
              <w:rPr>
                <w:webHidden/>
              </w:rPr>
              <w:t>16</w:t>
            </w:r>
            <w:r>
              <w:rPr>
                <w:webHidden/>
              </w:rPr>
              <w:fldChar w:fldCharType="end"/>
            </w:r>
          </w:hyperlink>
        </w:p>
        <w:p w14:paraId="54C1B706" w14:textId="741A4B74" w:rsidR="009B21B5" w:rsidRDefault="009B21B5">
          <w:pPr>
            <w:pStyle w:val="TM2"/>
            <w:rPr>
              <w:rFonts w:eastAsiaTheme="minorEastAsia" w:cstheme="minorBidi"/>
              <w:bCs w:val="0"/>
              <w:smallCaps w:val="0"/>
              <w:sz w:val="22"/>
              <w:szCs w:val="22"/>
              <w:lang w:val="nl-BE" w:eastAsia="nl-BE"/>
            </w:rPr>
          </w:pPr>
          <w:hyperlink w:anchor="_Toc83375113" w:history="1">
            <w:r w:rsidRPr="00743EE1">
              <w:rPr>
                <w:rStyle w:val="Lienhypertexte"/>
                <w:lang w:val="nl-BE"/>
              </w:rPr>
              <w:t>Waarom zijn er straffen vastgelegd in het gebruiksreglement voor de Nutri-Score?</w:t>
            </w:r>
            <w:r>
              <w:rPr>
                <w:webHidden/>
              </w:rPr>
              <w:tab/>
            </w:r>
            <w:r>
              <w:rPr>
                <w:webHidden/>
              </w:rPr>
              <w:fldChar w:fldCharType="begin"/>
            </w:r>
            <w:r>
              <w:rPr>
                <w:webHidden/>
              </w:rPr>
              <w:instrText xml:space="preserve"> PAGEREF _Toc83375113 \h </w:instrText>
            </w:r>
            <w:r>
              <w:rPr>
                <w:webHidden/>
              </w:rPr>
            </w:r>
            <w:r>
              <w:rPr>
                <w:webHidden/>
              </w:rPr>
              <w:fldChar w:fldCharType="separate"/>
            </w:r>
            <w:r>
              <w:rPr>
                <w:webHidden/>
              </w:rPr>
              <w:t>17</w:t>
            </w:r>
            <w:r>
              <w:rPr>
                <w:webHidden/>
              </w:rPr>
              <w:fldChar w:fldCharType="end"/>
            </w:r>
          </w:hyperlink>
        </w:p>
        <w:p w14:paraId="2697491B" w14:textId="7F5D8E87" w:rsidR="009B21B5" w:rsidRDefault="009B21B5">
          <w:pPr>
            <w:pStyle w:val="TM2"/>
            <w:rPr>
              <w:rFonts w:eastAsiaTheme="minorEastAsia" w:cstheme="minorBidi"/>
              <w:bCs w:val="0"/>
              <w:smallCaps w:val="0"/>
              <w:sz w:val="22"/>
              <w:szCs w:val="22"/>
              <w:lang w:val="nl-BE" w:eastAsia="nl-BE"/>
            </w:rPr>
          </w:pPr>
          <w:hyperlink w:anchor="_Toc83375114" w:history="1">
            <w:r w:rsidRPr="00743EE1">
              <w:rPr>
                <w:rStyle w:val="Lienhypertexte"/>
                <w:lang w:val="nl-BE"/>
              </w:rPr>
              <w:t>Hoe stoppen met het gebruik van de Nutri-Score?</w:t>
            </w:r>
            <w:r>
              <w:rPr>
                <w:webHidden/>
              </w:rPr>
              <w:tab/>
            </w:r>
            <w:r>
              <w:rPr>
                <w:webHidden/>
              </w:rPr>
              <w:fldChar w:fldCharType="begin"/>
            </w:r>
            <w:r>
              <w:rPr>
                <w:webHidden/>
              </w:rPr>
              <w:instrText xml:space="preserve"> PAGEREF _Toc83375114 \h </w:instrText>
            </w:r>
            <w:r>
              <w:rPr>
                <w:webHidden/>
              </w:rPr>
            </w:r>
            <w:r>
              <w:rPr>
                <w:webHidden/>
              </w:rPr>
              <w:fldChar w:fldCharType="separate"/>
            </w:r>
            <w:r>
              <w:rPr>
                <w:webHidden/>
              </w:rPr>
              <w:t>17</w:t>
            </w:r>
            <w:r>
              <w:rPr>
                <w:webHidden/>
              </w:rPr>
              <w:fldChar w:fldCharType="end"/>
            </w:r>
          </w:hyperlink>
        </w:p>
        <w:p w14:paraId="14DC682E" w14:textId="1201AA22" w:rsidR="009B21B5" w:rsidRDefault="009B21B5">
          <w:pPr>
            <w:pStyle w:val="TM2"/>
            <w:rPr>
              <w:rFonts w:eastAsiaTheme="minorEastAsia" w:cstheme="minorBidi"/>
              <w:bCs w:val="0"/>
              <w:smallCaps w:val="0"/>
              <w:sz w:val="22"/>
              <w:szCs w:val="22"/>
              <w:lang w:val="nl-BE" w:eastAsia="nl-BE"/>
            </w:rPr>
          </w:pPr>
          <w:hyperlink w:anchor="_Toc83375115" w:history="1">
            <w:r w:rsidRPr="00743EE1">
              <w:rPr>
                <w:rStyle w:val="Lienhypertexte"/>
                <w:lang w:val="nl-BE"/>
              </w:rPr>
              <w:t>Hoe de vertaling krijgen van het gebruiksreglement van de Nutri-Score?</w:t>
            </w:r>
            <w:r>
              <w:rPr>
                <w:webHidden/>
              </w:rPr>
              <w:tab/>
            </w:r>
            <w:r>
              <w:rPr>
                <w:webHidden/>
              </w:rPr>
              <w:fldChar w:fldCharType="begin"/>
            </w:r>
            <w:r>
              <w:rPr>
                <w:webHidden/>
              </w:rPr>
              <w:instrText xml:space="preserve"> PAGEREF _Toc83375115 \h </w:instrText>
            </w:r>
            <w:r>
              <w:rPr>
                <w:webHidden/>
              </w:rPr>
            </w:r>
            <w:r>
              <w:rPr>
                <w:webHidden/>
              </w:rPr>
              <w:fldChar w:fldCharType="separate"/>
            </w:r>
            <w:r>
              <w:rPr>
                <w:webHidden/>
              </w:rPr>
              <w:t>17</w:t>
            </w:r>
            <w:r>
              <w:rPr>
                <w:webHidden/>
              </w:rPr>
              <w:fldChar w:fldCharType="end"/>
            </w:r>
          </w:hyperlink>
        </w:p>
        <w:p w14:paraId="6695583E" w14:textId="29221B7E" w:rsidR="009B21B5" w:rsidRDefault="009B21B5">
          <w:pPr>
            <w:pStyle w:val="TM2"/>
            <w:rPr>
              <w:rFonts w:eastAsiaTheme="minorEastAsia" w:cstheme="minorBidi"/>
              <w:bCs w:val="0"/>
              <w:smallCaps w:val="0"/>
              <w:sz w:val="22"/>
              <w:szCs w:val="22"/>
              <w:lang w:val="nl-BE" w:eastAsia="nl-BE"/>
            </w:rPr>
          </w:pPr>
          <w:hyperlink w:anchor="_Toc83375116" w:history="1">
            <w:r w:rsidRPr="00743EE1">
              <w:rPr>
                <w:rStyle w:val="Lienhypertexte"/>
                <w:lang w:val="nl-BE"/>
              </w:rPr>
              <w:t>Is het mogelijk om het gebruiksreglement van de Nutri-Score aan te passen?</w:t>
            </w:r>
            <w:r>
              <w:rPr>
                <w:webHidden/>
              </w:rPr>
              <w:tab/>
            </w:r>
            <w:r>
              <w:rPr>
                <w:webHidden/>
              </w:rPr>
              <w:fldChar w:fldCharType="begin"/>
            </w:r>
            <w:r>
              <w:rPr>
                <w:webHidden/>
              </w:rPr>
              <w:instrText xml:space="preserve"> PAGEREF _Toc83375116 \h </w:instrText>
            </w:r>
            <w:r>
              <w:rPr>
                <w:webHidden/>
              </w:rPr>
            </w:r>
            <w:r>
              <w:rPr>
                <w:webHidden/>
              </w:rPr>
              <w:fldChar w:fldCharType="separate"/>
            </w:r>
            <w:r>
              <w:rPr>
                <w:webHidden/>
              </w:rPr>
              <w:t>18</w:t>
            </w:r>
            <w:r>
              <w:rPr>
                <w:webHidden/>
              </w:rPr>
              <w:fldChar w:fldCharType="end"/>
            </w:r>
          </w:hyperlink>
        </w:p>
        <w:p w14:paraId="0A6730D2" w14:textId="2814B414" w:rsidR="009B21B5" w:rsidRDefault="009B21B5">
          <w:pPr>
            <w:pStyle w:val="TM2"/>
            <w:rPr>
              <w:rFonts w:eastAsiaTheme="minorEastAsia" w:cstheme="minorBidi"/>
              <w:bCs w:val="0"/>
              <w:smallCaps w:val="0"/>
              <w:sz w:val="22"/>
              <w:szCs w:val="22"/>
              <w:lang w:val="nl-BE" w:eastAsia="nl-BE"/>
            </w:rPr>
          </w:pPr>
          <w:hyperlink w:anchor="_Toc83375117" w:history="1">
            <w:r w:rsidRPr="00743EE1">
              <w:rPr>
                <w:rStyle w:val="Lienhypertexte"/>
                <w:lang w:val="nl-BE"/>
              </w:rPr>
              <w:t>Is het mogelijk om het grafisch charter van de Nutri-Score te wijzigen?</w:t>
            </w:r>
            <w:r>
              <w:rPr>
                <w:webHidden/>
              </w:rPr>
              <w:tab/>
            </w:r>
            <w:r>
              <w:rPr>
                <w:webHidden/>
              </w:rPr>
              <w:fldChar w:fldCharType="begin"/>
            </w:r>
            <w:r>
              <w:rPr>
                <w:webHidden/>
              </w:rPr>
              <w:instrText xml:space="preserve"> PAGEREF _Toc83375117 \h </w:instrText>
            </w:r>
            <w:r>
              <w:rPr>
                <w:webHidden/>
              </w:rPr>
            </w:r>
            <w:r>
              <w:rPr>
                <w:webHidden/>
              </w:rPr>
              <w:fldChar w:fldCharType="separate"/>
            </w:r>
            <w:r>
              <w:rPr>
                <w:webHidden/>
              </w:rPr>
              <w:t>18</w:t>
            </w:r>
            <w:r>
              <w:rPr>
                <w:webHidden/>
              </w:rPr>
              <w:fldChar w:fldCharType="end"/>
            </w:r>
          </w:hyperlink>
        </w:p>
        <w:p w14:paraId="33C8AA27" w14:textId="72F5D927" w:rsidR="009B21B5" w:rsidRDefault="009B21B5">
          <w:pPr>
            <w:pStyle w:val="TM2"/>
            <w:rPr>
              <w:rFonts w:eastAsiaTheme="minorEastAsia" w:cstheme="minorBidi"/>
              <w:bCs w:val="0"/>
              <w:smallCaps w:val="0"/>
              <w:sz w:val="22"/>
              <w:szCs w:val="22"/>
              <w:lang w:val="nl-BE" w:eastAsia="nl-BE"/>
            </w:rPr>
          </w:pPr>
          <w:hyperlink w:anchor="_Toc83375118" w:history="1">
            <w:r w:rsidRPr="00743EE1">
              <w:rPr>
                <w:rStyle w:val="Lienhypertexte"/>
                <w:lang w:val="nl-BE"/>
              </w:rPr>
              <w:t>Bestaan er een grafisch charter voor vermelding van het logo in webshops?</w:t>
            </w:r>
            <w:r>
              <w:rPr>
                <w:webHidden/>
              </w:rPr>
              <w:tab/>
            </w:r>
            <w:r>
              <w:rPr>
                <w:webHidden/>
              </w:rPr>
              <w:fldChar w:fldCharType="begin"/>
            </w:r>
            <w:r>
              <w:rPr>
                <w:webHidden/>
              </w:rPr>
              <w:instrText xml:space="preserve"> PAGEREF _Toc83375118 \h </w:instrText>
            </w:r>
            <w:r>
              <w:rPr>
                <w:webHidden/>
              </w:rPr>
            </w:r>
            <w:r>
              <w:rPr>
                <w:webHidden/>
              </w:rPr>
              <w:fldChar w:fldCharType="separate"/>
            </w:r>
            <w:r>
              <w:rPr>
                <w:webHidden/>
              </w:rPr>
              <w:t>18</w:t>
            </w:r>
            <w:r>
              <w:rPr>
                <w:webHidden/>
              </w:rPr>
              <w:fldChar w:fldCharType="end"/>
            </w:r>
          </w:hyperlink>
        </w:p>
        <w:p w14:paraId="3434670C" w14:textId="3BC5BD15" w:rsidR="009B21B5" w:rsidRDefault="009B21B5">
          <w:pPr>
            <w:pStyle w:val="TM2"/>
            <w:rPr>
              <w:rFonts w:eastAsiaTheme="minorEastAsia" w:cstheme="minorBidi"/>
              <w:bCs w:val="0"/>
              <w:smallCaps w:val="0"/>
              <w:sz w:val="22"/>
              <w:szCs w:val="22"/>
              <w:lang w:val="nl-BE" w:eastAsia="nl-BE"/>
            </w:rPr>
          </w:pPr>
          <w:hyperlink w:anchor="_Toc83375119" w:history="1">
            <w:r w:rsidRPr="00743EE1">
              <w:rPr>
                <w:rStyle w:val="Lienhypertexte"/>
                <w:lang w:val="nl-BE"/>
              </w:rPr>
              <w:t>Mag een handelaar zich enkel registreren voor het gebruik van het Nutri-Score-logo op zijn digitale media?</w:t>
            </w:r>
            <w:r>
              <w:rPr>
                <w:webHidden/>
              </w:rPr>
              <w:tab/>
            </w:r>
            <w:r>
              <w:rPr>
                <w:webHidden/>
              </w:rPr>
              <w:fldChar w:fldCharType="begin"/>
            </w:r>
            <w:r>
              <w:rPr>
                <w:webHidden/>
              </w:rPr>
              <w:instrText xml:space="preserve"> PAGEREF _Toc83375119 \h </w:instrText>
            </w:r>
            <w:r>
              <w:rPr>
                <w:webHidden/>
              </w:rPr>
            </w:r>
            <w:r>
              <w:rPr>
                <w:webHidden/>
              </w:rPr>
              <w:fldChar w:fldCharType="separate"/>
            </w:r>
            <w:r>
              <w:rPr>
                <w:webHidden/>
              </w:rPr>
              <w:t>18</w:t>
            </w:r>
            <w:r>
              <w:rPr>
                <w:webHidden/>
              </w:rPr>
              <w:fldChar w:fldCharType="end"/>
            </w:r>
          </w:hyperlink>
        </w:p>
        <w:p w14:paraId="5961F8C5" w14:textId="5C719255" w:rsidR="009B21B5" w:rsidRDefault="009B21B5">
          <w:pPr>
            <w:pStyle w:val="TM2"/>
            <w:rPr>
              <w:rFonts w:eastAsiaTheme="minorEastAsia" w:cstheme="minorBidi"/>
              <w:bCs w:val="0"/>
              <w:smallCaps w:val="0"/>
              <w:sz w:val="22"/>
              <w:szCs w:val="22"/>
              <w:lang w:val="nl-BE" w:eastAsia="nl-BE"/>
            </w:rPr>
          </w:pPr>
          <w:hyperlink w:anchor="_Toc83375120" w:history="1">
            <w:r w:rsidRPr="00743EE1">
              <w:rPr>
                <w:rStyle w:val="Lienhypertexte"/>
                <w:lang w:val="nl-BE"/>
              </w:rPr>
              <w:t>Mag het logo gebruikt worden voor promotiedoeleinden?</w:t>
            </w:r>
            <w:r>
              <w:rPr>
                <w:webHidden/>
              </w:rPr>
              <w:tab/>
            </w:r>
            <w:r>
              <w:rPr>
                <w:webHidden/>
              </w:rPr>
              <w:fldChar w:fldCharType="begin"/>
            </w:r>
            <w:r>
              <w:rPr>
                <w:webHidden/>
              </w:rPr>
              <w:instrText xml:space="preserve"> PAGEREF _Toc83375120 \h </w:instrText>
            </w:r>
            <w:r>
              <w:rPr>
                <w:webHidden/>
              </w:rPr>
            </w:r>
            <w:r>
              <w:rPr>
                <w:webHidden/>
              </w:rPr>
              <w:fldChar w:fldCharType="separate"/>
            </w:r>
            <w:r>
              <w:rPr>
                <w:webHidden/>
              </w:rPr>
              <w:t>18</w:t>
            </w:r>
            <w:r>
              <w:rPr>
                <w:webHidden/>
              </w:rPr>
              <w:fldChar w:fldCharType="end"/>
            </w:r>
          </w:hyperlink>
        </w:p>
        <w:p w14:paraId="1E918D5D" w14:textId="333C79F6" w:rsidR="009B21B5" w:rsidRDefault="009B21B5">
          <w:pPr>
            <w:pStyle w:val="TM2"/>
            <w:rPr>
              <w:rFonts w:eastAsiaTheme="minorEastAsia" w:cstheme="minorBidi"/>
              <w:bCs w:val="0"/>
              <w:smallCaps w:val="0"/>
              <w:sz w:val="22"/>
              <w:szCs w:val="22"/>
              <w:lang w:val="nl-BE" w:eastAsia="nl-BE"/>
            </w:rPr>
          </w:pPr>
          <w:hyperlink w:anchor="_Toc83375121" w:history="1">
            <w:r w:rsidRPr="00743EE1">
              <w:rPr>
                <w:rStyle w:val="Lienhypertexte"/>
                <w:lang w:val="nl-BE"/>
              </w:rPr>
              <w:t>Wat zijn de regels voor het gebruik van de Nutri-Score in reclame?</w:t>
            </w:r>
            <w:r>
              <w:rPr>
                <w:webHidden/>
              </w:rPr>
              <w:tab/>
            </w:r>
            <w:r>
              <w:rPr>
                <w:webHidden/>
              </w:rPr>
              <w:fldChar w:fldCharType="begin"/>
            </w:r>
            <w:r>
              <w:rPr>
                <w:webHidden/>
              </w:rPr>
              <w:instrText xml:space="preserve"> PAGEREF _Toc83375121 \h </w:instrText>
            </w:r>
            <w:r>
              <w:rPr>
                <w:webHidden/>
              </w:rPr>
            </w:r>
            <w:r>
              <w:rPr>
                <w:webHidden/>
              </w:rPr>
              <w:fldChar w:fldCharType="separate"/>
            </w:r>
            <w:r>
              <w:rPr>
                <w:webHidden/>
              </w:rPr>
              <w:t>18</w:t>
            </w:r>
            <w:r>
              <w:rPr>
                <w:webHidden/>
              </w:rPr>
              <w:fldChar w:fldCharType="end"/>
            </w:r>
          </w:hyperlink>
        </w:p>
        <w:p w14:paraId="50E8DC8F" w14:textId="1A1E175C" w:rsidR="009B21B5" w:rsidRDefault="009B21B5">
          <w:pPr>
            <w:pStyle w:val="TM2"/>
            <w:rPr>
              <w:rFonts w:eastAsiaTheme="minorEastAsia" w:cstheme="minorBidi"/>
              <w:bCs w:val="0"/>
              <w:smallCaps w:val="0"/>
              <w:sz w:val="22"/>
              <w:szCs w:val="22"/>
              <w:lang w:val="nl-BE" w:eastAsia="nl-BE"/>
            </w:rPr>
          </w:pPr>
          <w:hyperlink w:anchor="_Toc83375122" w:history="1">
            <w:r w:rsidRPr="00743EE1">
              <w:rPr>
                <w:rStyle w:val="Lienhypertexte"/>
                <w:lang w:val="nl-BE"/>
              </w:rPr>
              <w:t>Hoe de Nutri-Score-logo's ontvangen voor een pedagogische, wetenschappelijke of journalistieke presentatie?</w:t>
            </w:r>
            <w:r>
              <w:rPr>
                <w:webHidden/>
              </w:rPr>
              <w:tab/>
            </w:r>
            <w:r>
              <w:rPr>
                <w:webHidden/>
              </w:rPr>
              <w:fldChar w:fldCharType="begin"/>
            </w:r>
            <w:r>
              <w:rPr>
                <w:webHidden/>
              </w:rPr>
              <w:instrText xml:space="preserve"> PAGEREF _Toc83375122 \h </w:instrText>
            </w:r>
            <w:r>
              <w:rPr>
                <w:webHidden/>
              </w:rPr>
            </w:r>
            <w:r>
              <w:rPr>
                <w:webHidden/>
              </w:rPr>
              <w:fldChar w:fldCharType="separate"/>
            </w:r>
            <w:r>
              <w:rPr>
                <w:webHidden/>
              </w:rPr>
              <w:t>19</w:t>
            </w:r>
            <w:r>
              <w:rPr>
                <w:webHidden/>
              </w:rPr>
              <w:fldChar w:fldCharType="end"/>
            </w:r>
          </w:hyperlink>
        </w:p>
        <w:p w14:paraId="1062477F" w14:textId="5964B701" w:rsidR="009B21B5" w:rsidRDefault="009B21B5">
          <w:pPr>
            <w:pStyle w:val="TM2"/>
            <w:rPr>
              <w:rFonts w:eastAsiaTheme="minorEastAsia" w:cstheme="minorBidi"/>
              <w:bCs w:val="0"/>
              <w:smallCaps w:val="0"/>
              <w:sz w:val="22"/>
              <w:szCs w:val="22"/>
              <w:lang w:val="nl-BE" w:eastAsia="nl-BE"/>
            </w:rPr>
          </w:pPr>
          <w:hyperlink w:anchor="_Toc83375123" w:history="1">
            <w:r w:rsidRPr="00743EE1">
              <w:rPr>
                <w:rStyle w:val="Lienhypertexte"/>
                <w:lang w:val="nl-BE"/>
              </w:rPr>
              <w:t>Mag men het merk Nutri-Score reproduceren zonder de toelating van Santé publique France?</w:t>
            </w:r>
            <w:r>
              <w:rPr>
                <w:webHidden/>
              </w:rPr>
              <w:tab/>
            </w:r>
            <w:r>
              <w:rPr>
                <w:webHidden/>
              </w:rPr>
              <w:fldChar w:fldCharType="begin"/>
            </w:r>
            <w:r>
              <w:rPr>
                <w:webHidden/>
              </w:rPr>
              <w:instrText xml:space="preserve"> PAGEREF _Toc83375123 \h </w:instrText>
            </w:r>
            <w:r>
              <w:rPr>
                <w:webHidden/>
              </w:rPr>
            </w:r>
            <w:r>
              <w:rPr>
                <w:webHidden/>
              </w:rPr>
              <w:fldChar w:fldCharType="separate"/>
            </w:r>
            <w:r>
              <w:rPr>
                <w:webHidden/>
              </w:rPr>
              <w:t>19</w:t>
            </w:r>
            <w:r>
              <w:rPr>
                <w:webHidden/>
              </w:rPr>
              <w:fldChar w:fldCharType="end"/>
            </w:r>
          </w:hyperlink>
        </w:p>
        <w:p w14:paraId="255D9C0B" w14:textId="62587FB0" w:rsidR="009B21B5" w:rsidRDefault="009B21B5">
          <w:pPr>
            <w:pStyle w:val="TM3"/>
            <w:tabs>
              <w:tab w:val="right" w:leader="dot" w:pos="9488"/>
            </w:tabs>
            <w:rPr>
              <w:rFonts w:eastAsiaTheme="minorEastAsia" w:cstheme="minorBidi"/>
              <w:i w:val="0"/>
              <w:iCs w:val="0"/>
              <w:noProof/>
              <w:sz w:val="22"/>
              <w:szCs w:val="22"/>
              <w:lang w:val="nl-BE" w:eastAsia="nl-BE"/>
            </w:rPr>
          </w:pPr>
          <w:hyperlink w:anchor="_Toc83375124" w:history="1">
            <w:r w:rsidRPr="00743EE1">
              <w:rPr>
                <w:rStyle w:val="Lienhypertexte"/>
                <w:noProof/>
                <w:lang w:val="nl-BE"/>
              </w:rPr>
              <w:t>Bijlage 1: Berekeningsmodaliteiten om de hoeveelheid 'fruit, groenten, peulvruchten, noten en koolzaad-, noten- en olijfolie' in een verwerkt product te bepalen</w:t>
            </w:r>
            <w:r>
              <w:rPr>
                <w:noProof/>
                <w:webHidden/>
              </w:rPr>
              <w:tab/>
            </w:r>
            <w:r>
              <w:rPr>
                <w:noProof/>
                <w:webHidden/>
              </w:rPr>
              <w:fldChar w:fldCharType="begin"/>
            </w:r>
            <w:r>
              <w:rPr>
                <w:noProof/>
                <w:webHidden/>
              </w:rPr>
              <w:instrText xml:space="preserve"> PAGEREF _Toc83375124 \h </w:instrText>
            </w:r>
            <w:r>
              <w:rPr>
                <w:noProof/>
                <w:webHidden/>
              </w:rPr>
            </w:r>
            <w:r>
              <w:rPr>
                <w:noProof/>
                <w:webHidden/>
              </w:rPr>
              <w:fldChar w:fldCharType="separate"/>
            </w:r>
            <w:r>
              <w:rPr>
                <w:noProof/>
                <w:webHidden/>
              </w:rPr>
              <w:t>20</w:t>
            </w:r>
            <w:r>
              <w:rPr>
                <w:noProof/>
                <w:webHidden/>
              </w:rPr>
              <w:fldChar w:fldCharType="end"/>
            </w:r>
          </w:hyperlink>
        </w:p>
        <w:p w14:paraId="133821B9" w14:textId="0D293F8F" w:rsidR="009B21B5" w:rsidRDefault="009B21B5">
          <w:pPr>
            <w:pStyle w:val="TM3"/>
            <w:tabs>
              <w:tab w:val="right" w:leader="dot" w:pos="9488"/>
            </w:tabs>
            <w:rPr>
              <w:rFonts w:eastAsiaTheme="minorEastAsia" w:cstheme="minorBidi"/>
              <w:i w:val="0"/>
              <w:iCs w:val="0"/>
              <w:noProof/>
              <w:sz w:val="22"/>
              <w:szCs w:val="22"/>
              <w:lang w:val="nl-BE" w:eastAsia="nl-BE"/>
            </w:rPr>
          </w:pPr>
          <w:hyperlink w:anchor="_Toc83375125" w:history="1">
            <w:r w:rsidRPr="00743EE1">
              <w:rPr>
                <w:rStyle w:val="Lienhypertexte"/>
                <w:noProof/>
                <w:lang w:val="nl-BE"/>
              </w:rPr>
              <w:t>Bijlage 2: Modaliteiten voor de berekening van de voedingsscore</w:t>
            </w:r>
            <w:r>
              <w:rPr>
                <w:noProof/>
                <w:webHidden/>
              </w:rPr>
              <w:tab/>
            </w:r>
            <w:r>
              <w:rPr>
                <w:noProof/>
                <w:webHidden/>
              </w:rPr>
              <w:fldChar w:fldCharType="begin"/>
            </w:r>
            <w:r>
              <w:rPr>
                <w:noProof/>
                <w:webHidden/>
              </w:rPr>
              <w:instrText xml:space="preserve"> PAGEREF _Toc83375125 \h </w:instrText>
            </w:r>
            <w:r>
              <w:rPr>
                <w:noProof/>
                <w:webHidden/>
              </w:rPr>
            </w:r>
            <w:r>
              <w:rPr>
                <w:noProof/>
                <w:webHidden/>
              </w:rPr>
              <w:fldChar w:fldCharType="separate"/>
            </w:r>
            <w:r>
              <w:rPr>
                <w:noProof/>
                <w:webHidden/>
              </w:rPr>
              <w:t>28</w:t>
            </w:r>
            <w:r>
              <w:rPr>
                <w:noProof/>
                <w:webHidden/>
              </w:rPr>
              <w:fldChar w:fldCharType="end"/>
            </w:r>
          </w:hyperlink>
        </w:p>
        <w:p w14:paraId="68202758" w14:textId="6B7273DF" w:rsidR="003358B4" w:rsidRDefault="003358B4" w:rsidP="00AD727F">
          <w:pPr>
            <w:spacing w:before="120" w:after="120" w:line="264" w:lineRule="auto"/>
          </w:pPr>
          <w:r>
            <w:rPr>
              <w:b/>
              <w:bCs/>
            </w:rPr>
            <w:fldChar w:fldCharType="end"/>
          </w:r>
        </w:p>
      </w:sdtContent>
    </w:sdt>
    <w:p w14:paraId="34924A3D" w14:textId="77777777" w:rsidR="00D64563" w:rsidRPr="003765F4" w:rsidRDefault="00D64563" w:rsidP="00AD727F">
      <w:pPr>
        <w:spacing w:before="120" w:after="120" w:line="264" w:lineRule="auto"/>
        <w:rPr>
          <w:rFonts w:asciiTheme="majorHAnsi" w:hAnsiTheme="majorHAnsi"/>
        </w:rPr>
      </w:pPr>
    </w:p>
    <w:p w14:paraId="6B36D5E2" w14:textId="77777777" w:rsidR="00CB3CA4" w:rsidRDefault="00CB3CA4" w:rsidP="00AD727F">
      <w:pPr>
        <w:spacing w:before="120" w:after="120" w:line="264" w:lineRule="auto"/>
        <w:rPr>
          <w:rFonts w:asciiTheme="majorHAnsi" w:hAnsiTheme="majorHAnsi"/>
        </w:rPr>
      </w:pPr>
    </w:p>
    <w:p w14:paraId="31B82322" w14:textId="77777777" w:rsidR="00CB3CA4" w:rsidRDefault="00CB3CA4" w:rsidP="00AD727F">
      <w:pPr>
        <w:spacing w:before="120" w:after="120" w:line="264" w:lineRule="auto"/>
        <w:rPr>
          <w:rFonts w:asciiTheme="majorHAnsi" w:hAnsiTheme="majorHAnsi"/>
        </w:rPr>
      </w:pPr>
    </w:p>
    <w:p w14:paraId="002895B7" w14:textId="77777777" w:rsidR="00CB3CA4" w:rsidRDefault="00CB3CA4" w:rsidP="00AD727F">
      <w:pPr>
        <w:spacing w:before="120" w:after="120" w:line="264" w:lineRule="auto"/>
        <w:rPr>
          <w:rFonts w:asciiTheme="majorHAnsi" w:hAnsiTheme="majorHAnsi"/>
        </w:rPr>
      </w:pPr>
    </w:p>
    <w:p w14:paraId="30043019" w14:textId="77777777" w:rsidR="00CB3CA4" w:rsidRDefault="00CB3CA4" w:rsidP="00AD727F">
      <w:pPr>
        <w:spacing w:before="120" w:after="120" w:line="264" w:lineRule="auto"/>
        <w:rPr>
          <w:rFonts w:asciiTheme="majorHAnsi" w:hAnsiTheme="majorHAnsi"/>
        </w:rPr>
      </w:pPr>
    </w:p>
    <w:p w14:paraId="2BB605C7" w14:textId="77777777" w:rsidR="00CB3CA4" w:rsidRDefault="00CB3CA4" w:rsidP="00AD727F">
      <w:pPr>
        <w:spacing w:before="120" w:after="120" w:line="264" w:lineRule="auto"/>
        <w:rPr>
          <w:rFonts w:asciiTheme="majorHAnsi" w:hAnsiTheme="majorHAnsi"/>
        </w:rPr>
      </w:pPr>
    </w:p>
    <w:p w14:paraId="01086B3A" w14:textId="77777777" w:rsidR="00CB3CA4" w:rsidRDefault="00CB3CA4" w:rsidP="00AD727F">
      <w:pPr>
        <w:spacing w:before="120" w:after="120" w:line="264" w:lineRule="auto"/>
        <w:rPr>
          <w:rFonts w:asciiTheme="majorHAnsi" w:hAnsiTheme="majorHAnsi"/>
        </w:rPr>
      </w:pPr>
    </w:p>
    <w:p w14:paraId="3B0651EF" w14:textId="77777777" w:rsidR="00CB3CA4" w:rsidRDefault="00CB3CA4" w:rsidP="00AD727F">
      <w:pPr>
        <w:spacing w:before="120" w:after="120" w:line="264" w:lineRule="auto"/>
        <w:rPr>
          <w:rFonts w:asciiTheme="majorHAnsi" w:hAnsiTheme="majorHAnsi"/>
        </w:rPr>
      </w:pPr>
    </w:p>
    <w:p w14:paraId="7C820AB3" w14:textId="77777777" w:rsidR="002959C6" w:rsidRDefault="002959C6" w:rsidP="00AD727F">
      <w:pPr>
        <w:spacing w:before="120" w:after="120" w:line="264" w:lineRule="auto"/>
        <w:rPr>
          <w:rFonts w:asciiTheme="majorHAnsi" w:hAnsiTheme="majorHAnsi"/>
        </w:rPr>
      </w:pPr>
    </w:p>
    <w:p w14:paraId="23E16845" w14:textId="77777777" w:rsidR="002959C6" w:rsidRDefault="002959C6" w:rsidP="00AD727F">
      <w:pPr>
        <w:spacing w:before="120" w:after="120" w:line="264" w:lineRule="auto"/>
        <w:rPr>
          <w:rFonts w:asciiTheme="majorHAnsi" w:hAnsiTheme="majorHAnsi"/>
        </w:rPr>
      </w:pPr>
    </w:p>
    <w:p w14:paraId="1969E0A2" w14:textId="77777777" w:rsidR="00E245C4" w:rsidRDefault="00E245C4" w:rsidP="00AD727F">
      <w:pPr>
        <w:spacing w:line="264" w:lineRule="auto"/>
        <w:rPr>
          <w:rFonts w:asciiTheme="majorHAnsi" w:hAnsiTheme="majorHAnsi"/>
          <w:b/>
          <w:color w:val="948A54" w:themeColor="background2" w:themeShade="80"/>
          <w:sz w:val="44"/>
          <w:szCs w:val="44"/>
        </w:rPr>
      </w:pPr>
      <w:bookmarkStart w:id="0" w:name="_Toc487192430"/>
      <w:bookmarkStart w:id="1" w:name="_Toc487209032"/>
      <w:r>
        <w:rPr>
          <w:rFonts w:asciiTheme="majorHAnsi" w:hAnsiTheme="majorHAnsi"/>
          <w:b/>
          <w:color w:val="948A54" w:themeColor="background2" w:themeShade="80"/>
          <w:sz w:val="44"/>
          <w:szCs w:val="44"/>
        </w:rPr>
        <w:br w:type="page"/>
      </w:r>
    </w:p>
    <w:p w14:paraId="0DDB57DC" w14:textId="77777777" w:rsidR="003765F4" w:rsidRDefault="00FE529F" w:rsidP="00AD727F">
      <w:pPr>
        <w:spacing w:before="120" w:after="120" w:line="264" w:lineRule="auto"/>
        <w:jc w:val="center"/>
        <w:rPr>
          <w:rFonts w:asciiTheme="majorHAnsi" w:hAnsiTheme="majorHAnsi"/>
          <w:b/>
          <w:color w:val="948A54" w:themeColor="background2" w:themeShade="80"/>
          <w:sz w:val="44"/>
          <w:szCs w:val="44"/>
        </w:rPr>
      </w:pPr>
      <w:proofErr w:type="spellStart"/>
      <w:r>
        <w:rPr>
          <w:rFonts w:asciiTheme="majorHAnsi" w:hAnsiTheme="majorHAnsi"/>
          <w:b/>
          <w:color w:val="948A54" w:themeColor="background2" w:themeShade="80"/>
          <w:sz w:val="44"/>
          <w:szCs w:val="44"/>
        </w:rPr>
        <w:lastRenderedPageBreak/>
        <w:t>Wetenschappelijke</w:t>
      </w:r>
      <w:proofErr w:type="spellEnd"/>
      <w:r w:rsidR="003765F4" w:rsidRPr="00A74A00">
        <w:rPr>
          <w:rFonts w:asciiTheme="majorHAnsi" w:hAnsiTheme="majorHAnsi"/>
          <w:b/>
          <w:color w:val="948A54" w:themeColor="background2" w:themeShade="80"/>
          <w:sz w:val="44"/>
          <w:szCs w:val="44"/>
        </w:rPr>
        <w:t xml:space="preserve"> en </w:t>
      </w:r>
      <w:proofErr w:type="spellStart"/>
      <w:r w:rsidR="003765F4" w:rsidRPr="00A74A00">
        <w:rPr>
          <w:rFonts w:asciiTheme="majorHAnsi" w:hAnsiTheme="majorHAnsi"/>
          <w:b/>
          <w:color w:val="948A54" w:themeColor="background2" w:themeShade="80"/>
          <w:sz w:val="44"/>
          <w:szCs w:val="44"/>
        </w:rPr>
        <w:t>technische</w:t>
      </w:r>
      <w:proofErr w:type="spellEnd"/>
      <w:r w:rsidR="003765F4" w:rsidRPr="00A74A00">
        <w:rPr>
          <w:rFonts w:asciiTheme="majorHAnsi" w:hAnsiTheme="majorHAnsi"/>
          <w:b/>
          <w:color w:val="948A54" w:themeColor="background2" w:themeShade="80"/>
          <w:sz w:val="44"/>
          <w:szCs w:val="44"/>
        </w:rPr>
        <w:t xml:space="preserve"> FAQ</w:t>
      </w:r>
      <w:bookmarkEnd w:id="0"/>
      <w:bookmarkEnd w:id="1"/>
    </w:p>
    <w:p w14:paraId="32C63E75" w14:textId="77777777" w:rsidR="00B96335" w:rsidRDefault="00B96335" w:rsidP="00AD727F">
      <w:pPr>
        <w:spacing w:before="120" w:after="120" w:line="264" w:lineRule="auto"/>
        <w:rPr>
          <w:color w:val="548DD4" w:themeColor="text2" w:themeTint="99"/>
        </w:rPr>
      </w:pPr>
    </w:p>
    <w:p w14:paraId="706D488C" w14:textId="77777777" w:rsidR="002959C6" w:rsidRDefault="002959C6" w:rsidP="00AD727F">
      <w:pPr>
        <w:spacing w:before="120" w:after="120" w:line="264" w:lineRule="auto"/>
        <w:rPr>
          <w:color w:val="548DD4" w:themeColor="text2" w:themeTint="99"/>
        </w:rPr>
      </w:pPr>
    </w:p>
    <w:p w14:paraId="2B85162D" w14:textId="77777777" w:rsidR="00841646" w:rsidRDefault="00841646" w:rsidP="00AD727F">
      <w:pPr>
        <w:pStyle w:val="Titre1"/>
        <w:numPr>
          <w:ilvl w:val="0"/>
          <w:numId w:val="33"/>
        </w:numPr>
        <w:spacing w:before="120" w:after="120" w:line="264" w:lineRule="auto"/>
      </w:pPr>
      <w:bookmarkStart w:id="2" w:name="_Toc501465192"/>
      <w:bookmarkStart w:id="3" w:name="_Toc83375072"/>
      <w:proofErr w:type="spellStart"/>
      <w:r>
        <w:t>Berekening</w:t>
      </w:r>
      <w:proofErr w:type="spellEnd"/>
      <w:r>
        <w:t xml:space="preserve"> van de score</w:t>
      </w:r>
      <w:bookmarkEnd w:id="2"/>
      <w:bookmarkEnd w:id="3"/>
    </w:p>
    <w:p w14:paraId="2BB084CE" w14:textId="77777777" w:rsidR="00841646" w:rsidRPr="009B21B5" w:rsidRDefault="00841646" w:rsidP="00AD727F">
      <w:pPr>
        <w:pStyle w:val="Titre2"/>
        <w:spacing w:line="264" w:lineRule="auto"/>
        <w:contextualSpacing w:val="0"/>
        <w:rPr>
          <w:lang w:val="nl-BE"/>
        </w:rPr>
      </w:pPr>
      <w:bookmarkStart w:id="4" w:name="_Toc501465193"/>
      <w:bookmarkStart w:id="5" w:name="_Toc83375073"/>
      <w:r w:rsidRPr="009B21B5">
        <w:rPr>
          <w:lang w:val="nl-BE"/>
        </w:rPr>
        <w:t>Op basis waarvan wordt de voedingsscore berekend?</w:t>
      </w:r>
      <w:bookmarkEnd w:id="4"/>
      <w:bookmarkEnd w:id="5"/>
    </w:p>
    <w:p w14:paraId="2DE39F1D" w14:textId="77777777" w:rsidR="00841646" w:rsidRPr="009B21B5" w:rsidRDefault="00841646" w:rsidP="00AD727F">
      <w:pPr>
        <w:spacing w:before="120" w:after="120" w:line="264" w:lineRule="auto"/>
        <w:jc w:val="both"/>
        <w:rPr>
          <w:lang w:val="nl-BE"/>
        </w:rPr>
      </w:pPr>
      <w:r w:rsidRPr="009B21B5">
        <w:rPr>
          <w:lang w:val="nl-BE"/>
        </w:rPr>
        <w:t xml:space="preserve">De voedingsscore wordt berekend op basis van de gegevens uit de voedingswaardevermelding, voor 100 g product, zoals het wordt verkocht. </w:t>
      </w:r>
    </w:p>
    <w:p w14:paraId="105BF1EE" w14:textId="77777777" w:rsidR="00841646" w:rsidRPr="009B21B5" w:rsidRDefault="00841646" w:rsidP="00AD727F">
      <w:pPr>
        <w:spacing w:before="120" w:after="120" w:line="264" w:lineRule="auto"/>
        <w:rPr>
          <w:i/>
          <w:lang w:val="nl-BE"/>
        </w:rPr>
      </w:pPr>
      <w:r w:rsidRPr="009B21B5">
        <w:rPr>
          <w:i/>
          <w:lang w:val="nl-BE"/>
        </w:rPr>
        <w:t>Belangrijk: voor reconstitutieproducten, zie de specifieke rubriek</w:t>
      </w:r>
    </w:p>
    <w:p w14:paraId="325CFB7F" w14:textId="77777777" w:rsidR="002959C6" w:rsidRPr="009B21B5" w:rsidRDefault="002959C6" w:rsidP="00AD727F">
      <w:pPr>
        <w:spacing w:before="120" w:after="120" w:line="264" w:lineRule="auto"/>
        <w:rPr>
          <w:i/>
          <w:lang w:val="nl-BE"/>
        </w:rPr>
      </w:pPr>
    </w:p>
    <w:p w14:paraId="34290E48" w14:textId="77777777" w:rsidR="00841646" w:rsidRPr="009B21B5" w:rsidRDefault="00841646" w:rsidP="00AD727F">
      <w:pPr>
        <w:pStyle w:val="Titre2"/>
        <w:spacing w:line="264" w:lineRule="auto"/>
        <w:contextualSpacing w:val="0"/>
        <w:rPr>
          <w:lang w:val="nl-BE"/>
        </w:rPr>
      </w:pPr>
      <w:bookmarkStart w:id="6" w:name="_Toc501465194"/>
      <w:bookmarkStart w:id="7" w:name="_Toc83375074"/>
      <w:r w:rsidRPr="009B21B5">
        <w:rPr>
          <w:lang w:val="nl-BE"/>
        </w:rPr>
        <w:t>Welke referentie wordt er gehanteerd om te berekenen hoeveel 'fruit, groenten, peulvruchten, noten, koolzaad-, noten- en olijfolie' er in verwerkte producten zitten?</w:t>
      </w:r>
      <w:bookmarkEnd w:id="6"/>
      <w:bookmarkEnd w:id="7"/>
    </w:p>
    <w:p w14:paraId="26159D26" w14:textId="77777777" w:rsidR="00841646" w:rsidRPr="009B21B5" w:rsidRDefault="00841646" w:rsidP="00AD727F">
      <w:pPr>
        <w:spacing w:before="120" w:after="120" w:line="264" w:lineRule="auto"/>
        <w:jc w:val="both"/>
        <w:rPr>
          <w:rFonts w:cstheme="minorHAnsi"/>
          <w:lang w:val="nl-BE"/>
        </w:rPr>
      </w:pPr>
      <w:r w:rsidRPr="009B21B5">
        <w:rPr>
          <w:rFonts w:cstheme="minorHAnsi"/>
          <w:lang w:val="nl-BE"/>
        </w:rPr>
        <w:t xml:space="preserve">In bijlage 1 is een document bijgevoegd om de hoeveelheid 'fruit, groenten, peulvruchten, noten, koolzaad-, noten- en olijfolie' in een verwerkt product te helpen berekenen. </w:t>
      </w:r>
    </w:p>
    <w:p w14:paraId="263A8F1A" w14:textId="77777777" w:rsidR="00841646" w:rsidRDefault="00841646" w:rsidP="00AD727F">
      <w:pPr>
        <w:spacing w:before="120" w:after="120" w:line="264" w:lineRule="auto"/>
        <w:jc w:val="both"/>
        <w:rPr>
          <w:rFonts w:cstheme="minorHAnsi"/>
          <w:lang w:val="en-US"/>
        </w:rPr>
      </w:pPr>
      <w:proofErr w:type="spellStart"/>
      <w:r w:rsidRPr="00BC33D4">
        <w:rPr>
          <w:rFonts w:cstheme="minorHAnsi"/>
          <w:lang w:val="en-US"/>
        </w:rPr>
        <w:t>Dat</w:t>
      </w:r>
      <w:proofErr w:type="spellEnd"/>
      <w:r w:rsidRPr="00BC33D4">
        <w:rPr>
          <w:rFonts w:cstheme="minorHAnsi"/>
          <w:lang w:val="en-US"/>
        </w:rPr>
        <w:t xml:space="preserve"> is </w:t>
      </w:r>
      <w:proofErr w:type="spellStart"/>
      <w:r w:rsidRPr="00BC33D4">
        <w:rPr>
          <w:rFonts w:cstheme="minorHAnsi"/>
          <w:lang w:val="en-US"/>
        </w:rPr>
        <w:t>gebaseerd</w:t>
      </w:r>
      <w:proofErr w:type="spellEnd"/>
      <w:r w:rsidRPr="00BC33D4">
        <w:rPr>
          <w:rFonts w:cstheme="minorHAnsi"/>
          <w:lang w:val="en-US"/>
        </w:rPr>
        <w:t xml:space="preserve"> op het </w:t>
      </w:r>
      <w:proofErr w:type="spellStart"/>
      <w:r w:rsidRPr="00BC33D4">
        <w:rPr>
          <w:rFonts w:cstheme="minorHAnsi"/>
          <w:lang w:val="en-US"/>
        </w:rPr>
        <w:t>volgende</w:t>
      </w:r>
      <w:proofErr w:type="spellEnd"/>
      <w:r w:rsidRPr="00BC33D4">
        <w:rPr>
          <w:rFonts w:cstheme="minorHAnsi"/>
          <w:lang w:val="en-US"/>
        </w:rPr>
        <w:t xml:space="preserve"> </w:t>
      </w:r>
      <w:proofErr w:type="spellStart"/>
      <w:r w:rsidRPr="00BC33D4">
        <w:rPr>
          <w:rFonts w:cstheme="minorHAnsi"/>
          <w:lang w:val="en-US"/>
        </w:rPr>
        <w:t>referentiedocument</w:t>
      </w:r>
      <w:proofErr w:type="spellEnd"/>
      <w:r w:rsidRPr="00BC33D4">
        <w:rPr>
          <w:rFonts w:cstheme="minorHAnsi"/>
          <w:lang w:val="en-US"/>
        </w:rPr>
        <w:t>:</w:t>
      </w:r>
      <w:r w:rsidRPr="007F660A">
        <w:rPr>
          <w:rFonts w:cstheme="minorHAnsi"/>
          <w:i/>
          <w:lang w:val="en-US"/>
        </w:rPr>
        <w:t xml:space="preserve"> 'Application of the Nutrient profiling model: Definition of ‘fruit, vegetables and nuts’ and guidance on quantifying the fruit, vegetable and nut content of a processed product - Peter Scarborough, Mike Rayner, Anna Boxer and Lynn Stockley - British Heart Foundation - Health Promotion Research Group, Department of Public Health, University of Oxford - December 2005'</w:t>
      </w:r>
      <w:r w:rsidRPr="00BC33D4">
        <w:rPr>
          <w:rFonts w:cstheme="minorHAnsi"/>
          <w:lang w:val="en-US"/>
        </w:rPr>
        <w:t xml:space="preserve">. </w:t>
      </w:r>
    </w:p>
    <w:p w14:paraId="2F90992F" w14:textId="77777777" w:rsidR="000E7C27" w:rsidRDefault="000E7C27" w:rsidP="00AD727F">
      <w:pPr>
        <w:spacing w:before="120" w:after="120" w:line="264" w:lineRule="auto"/>
        <w:jc w:val="both"/>
        <w:rPr>
          <w:rFonts w:asciiTheme="majorHAnsi" w:hAnsiTheme="majorHAnsi"/>
          <w:sz w:val="16"/>
          <w:szCs w:val="16"/>
          <w:lang w:val="en-US"/>
        </w:rPr>
      </w:pPr>
    </w:p>
    <w:p w14:paraId="59517784" w14:textId="77777777" w:rsidR="000E7C27" w:rsidRPr="009B21B5" w:rsidRDefault="000E7C27" w:rsidP="00AD727F">
      <w:pPr>
        <w:pStyle w:val="Titre2"/>
        <w:spacing w:line="264" w:lineRule="auto"/>
        <w:contextualSpacing w:val="0"/>
        <w:rPr>
          <w:lang w:val="nl-BE"/>
        </w:rPr>
      </w:pPr>
      <w:bookmarkStart w:id="8" w:name="_Toc83375075"/>
      <w:r w:rsidRPr="009B21B5">
        <w:rPr>
          <w:lang w:val="nl-BE"/>
        </w:rPr>
        <w:t>Tellen geconcentreerde sappen mee in de berekening van de hoeveelheid 'fruit, groenten, peulvruchten, noten, koolzaad-, noten- en olijfolie'?</w:t>
      </w:r>
      <w:bookmarkEnd w:id="8"/>
    </w:p>
    <w:p w14:paraId="2562DBD2" w14:textId="77777777" w:rsidR="008363AB" w:rsidRPr="009B21B5" w:rsidRDefault="008363AB" w:rsidP="00AD727F">
      <w:pPr>
        <w:spacing w:before="120" w:after="120" w:line="264" w:lineRule="auto"/>
        <w:jc w:val="both"/>
        <w:rPr>
          <w:rFonts w:cstheme="minorHAnsi"/>
          <w:bCs/>
          <w:lang w:val="nl-BE"/>
        </w:rPr>
      </w:pPr>
      <w:r w:rsidRPr="009B21B5">
        <w:rPr>
          <w:rFonts w:cstheme="minorHAnsi"/>
          <w:bCs/>
          <w:lang w:val="nl-BE"/>
        </w:rPr>
        <w:t xml:space="preserve">Wat vruchten- of groenteconcentraten betreft: </w:t>
      </w:r>
    </w:p>
    <w:p w14:paraId="5C97CB19" w14:textId="77777777" w:rsidR="008363AB" w:rsidRPr="009B21B5" w:rsidRDefault="008363AB" w:rsidP="00AD727F">
      <w:pPr>
        <w:spacing w:before="120" w:after="120" w:line="264" w:lineRule="auto"/>
        <w:jc w:val="both"/>
        <w:rPr>
          <w:rFonts w:cstheme="minorHAnsi"/>
          <w:lang w:val="nl-BE"/>
        </w:rPr>
      </w:pPr>
      <w:r w:rsidRPr="009B21B5">
        <w:rPr>
          <w:rFonts w:cstheme="minorHAnsi"/>
          <w:b/>
          <w:bCs/>
          <w:lang w:val="nl-BE"/>
        </w:rPr>
        <w:t>Mogen worden meegerekend</w:t>
      </w:r>
      <w:r w:rsidRPr="009B21B5">
        <w:rPr>
          <w:rFonts w:cstheme="minorHAnsi"/>
          <w:lang w:val="nl-BE"/>
        </w:rPr>
        <w:t xml:space="preserve">: 100 % vruchtensappen afkomstig van concentraat </w:t>
      </w:r>
    </w:p>
    <w:p w14:paraId="465766AF" w14:textId="77777777" w:rsidR="008363AB" w:rsidRPr="009B21B5" w:rsidRDefault="008363AB" w:rsidP="00AD727F">
      <w:pPr>
        <w:spacing w:before="120" w:after="120" w:line="264" w:lineRule="auto"/>
        <w:jc w:val="both"/>
        <w:rPr>
          <w:rFonts w:cstheme="minorHAnsi"/>
          <w:lang w:val="nl-BE"/>
        </w:rPr>
      </w:pPr>
      <w:r w:rsidRPr="009B21B5">
        <w:rPr>
          <w:rFonts w:cstheme="minorHAnsi"/>
          <w:lang w:val="nl-BE"/>
        </w:rPr>
        <w:t xml:space="preserve">Bv. een 100 % sinaasappelsap op basis van concentraat dat ook voor 100 % is </w:t>
      </w:r>
      <w:proofErr w:type="spellStart"/>
      <w:r w:rsidRPr="009B21B5">
        <w:rPr>
          <w:rFonts w:cstheme="minorHAnsi"/>
          <w:lang w:val="nl-BE"/>
        </w:rPr>
        <w:t>gerehydrateerd</w:t>
      </w:r>
      <w:proofErr w:type="spellEnd"/>
      <w:r w:rsidRPr="009B21B5">
        <w:rPr>
          <w:rFonts w:cstheme="minorHAnsi"/>
          <w:lang w:val="nl-BE"/>
        </w:rPr>
        <w:t xml:space="preserve"> (of </w:t>
      </w:r>
      <w:proofErr w:type="spellStart"/>
      <w:r w:rsidRPr="009B21B5">
        <w:rPr>
          <w:rFonts w:cstheme="minorHAnsi"/>
          <w:lang w:val="nl-BE"/>
        </w:rPr>
        <w:t>kokossap</w:t>
      </w:r>
      <w:proofErr w:type="spellEnd"/>
      <w:r w:rsidRPr="009B21B5">
        <w:rPr>
          <w:rFonts w:cstheme="minorHAnsi"/>
          <w:lang w:val="nl-BE"/>
        </w:rPr>
        <w:t xml:space="preserve"> waarbij die </w:t>
      </w:r>
      <w:proofErr w:type="spellStart"/>
      <w:r w:rsidRPr="009B21B5">
        <w:rPr>
          <w:rFonts w:cstheme="minorHAnsi"/>
          <w:lang w:val="nl-BE"/>
        </w:rPr>
        <w:t>rehydratatie</w:t>
      </w:r>
      <w:proofErr w:type="spellEnd"/>
      <w:r w:rsidRPr="009B21B5">
        <w:rPr>
          <w:rFonts w:cstheme="minorHAnsi"/>
          <w:lang w:val="nl-BE"/>
        </w:rPr>
        <w:t xml:space="preserve"> een sap van 100 % oplevert)</w:t>
      </w:r>
    </w:p>
    <w:p w14:paraId="220B10EE" w14:textId="7E6D0A01" w:rsidR="008363AB" w:rsidRPr="009B21B5" w:rsidRDefault="008363AB" w:rsidP="00AD727F">
      <w:pPr>
        <w:spacing w:before="120" w:after="120" w:line="264" w:lineRule="auto"/>
        <w:jc w:val="both"/>
        <w:rPr>
          <w:rFonts w:cstheme="minorHAnsi"/>
          <w:lang w:val="nl-BE"/>
        </w:rPr>
      </w:pPr>
      <w:r w:rsidRPr="009B21B5">
        <w:rPr>
          <w:rFonts w:cstheme="minorHAnsi"/>
          <w:b/>
          <w:bCs/>
          <w:lang w:val="nl-BE"/>
        </w:rPr>
        <w:t xml:space="preserve">Mogen </w:t>
      </w:r>
      <w:r w:rsidRPr="009B21B5">
        <w:rPr>
          <w:rFonts w:cstheme="minorHAnsi"/>
          <w:b/>
          <w:bCs/>
          <w:u w:val="single"/>
          <w:lang w:val="nl-BE"/>
        </w:rPr>
        <w:t>niet</w:t>
      </w:r>
      <w:r w:rsidRPr="009B21B5">
        <w:rPr>
          <w:rFonts w:cstheme="minorHAnsi"/>
          <w:b/>
          <w:bCs/>
          <w:lang w:val="nl-BE"/>
        </w:rPr>
        <w:t xml:space="preserve"> worden meegerekend</w:t>
      </w:r>
      <w:r w:rsidRPr="009B21B5">
        <w:rPr>
          <w:rFonts w:cstheme="minorHAnsi"/>
          <w:lang w:val="nl-BE"/>
        </w:rPr>
        <w:t xml:space="preserve">: geconcentreerde vruchtensappen of -moes waarvan de </w:t>
      </w:r>
      <w:proofErr w:type="spellStart"/>
      <w:r w:rsidRPr="009B21B5">
        <w:rPr>
          <w:rFonts w:cstheme="minorHAnsi"/>
          <w:lang w:val="nl-BE"/>
        </w:rPr>
        <w:t>rehydratatie</w:t>
      </w:r>
      <w:proofErr w:type="spellEnd"/>
      <w:r w:rsidRPr="009B21B5">
        <w:rPr>
          <w:rFonts w:cstheme="minorHAnsi"/>
          <w:lang w:val="nl-BE"/>
        </w:rPr>
        <w:t xml:space="preserve"> niet 100 % is.</w:t>
      </w:r>
    </w:p>
    <w:p w14:paraId="1D954DA2" w14:textId="77777777" w:rsidR="008363AB" w:rsidRPr="009B21B5" w:rsidRDefault="008363AB" w:rsidP="00AD727F">
      <w:pPr>
        <w:spacing w:before="120" w:after="120" w:line="264" w:lineRule="auto"/>
        <w:jc w:val="both"/>
        <w:rPr>
          <w:rFonts w:cstheme="minorHAnsi"/>
          <w:lang w:val="nl-BE"/>
        </w:rPr>
      </w:pPr>
      <w:r w:rsidRPr="009B21B5">
        <w:rPr>
          <w:rFonts w:cstheme="minorHAnsi"/>
          <w:lang w:val="nl-BE"/>
        </w:rPr>
        <w:t>Bv. een geconcentreerd citroensap/siroop gebruikt in een sorbet mag niet als fruit worden meegerekend</w:t>
      </w:r>
    </w:p>
    <w:p w14:paraId="4855F543" w14:textId="77777777" w:rsidR="005B5FF1" w:rsidRPr="009B21B5" w:rsidRDefault="005B5FF1" w:rsidP="00AD727F">
      <w:pPr>
        <w:spacing w:before="120" w:after="120" w:line="264" w:lineRule="auto"/>
        <w:jc w:val="both"/>
        <w:rPr>
          <w:rFonts w:cstheme="minorHAnsi"/>
          <w:color w:val="548DD4" w:themeColor="text2" w:themeTint="99"/>
          <w:lang w:val="nl-BE"/>
        </w:rPr>
      </w:pPr>
    </w:p>
    <w:p w14:paraId="03D00B29" w14:textId="7DFA91E1" w:rsidR="002959C6" w:rsidRPr="009B21B5" w:rsidRDefault="005B5FF1" w:rsidP="00AD727F">
      <w:pPr>
        <w:spacing w:before="120" w:after="120" w:line="264" w:lineRule="auto"/>
        <w:jc w:val="both"/>
        <w:rPr>
          <w:rFonts w:cstheme="minorHAnsi"/>
          <w:lang w:val="nl-BE"/>
        </w:rPr>
      </w:pPr>
      <w:r w:rsidRPr="009B21B5">
        <w:rPr>
          <w:rFonts w:cstheme="minorHAnsi"/>
          <w:lang w:val="nl-BE"/>
        </w:rPr>
        <w:t xml:space="preserve">De indeling van vruchtensappen en aanverwante producten wordt beschreven in bijlage 1 die de berekeningsregels geeft om de component 'fruit, groenten, peulvruchten, noten en koolzaad-, noten- en olijfolie' in een verwerkt product te bepalen. </w:t>
      </w:r>
    </w:p>
    <w:p w14:paraId="2104985D" w14:textId="77777777" w:rsidR="005B5FF1" w:rsidRPr="009B21B5" w:rsidRDefault="005B5FF1" w:rsidP="00AD727F">
      <w:pPr>
        <w:spacing w:before="120" w:after="120" w:line="264" w:lineRule="auto"/>
        <w:jc w:val="both"/>
        <w:rPr>
          <w:rFonts w:cstheme="minorHAnsi"/>
          <w:color w:val="548DD4" w:themeColor="text2" w:themeTint="99"/>
          <w:lang w:val="nl-BE"/>
        </w:rPr>
      </w:pPr>
    </w:p>
    <w:p w14:paraId="5F48C60F" w14:textId="12D9EAAF" w:rsidR="00841646" w:rsidRPr="009B21B5" w:rsidRDefault="006718DA" w:rsidP="00AD727F">
      <w:pPr>
        <w:pStyle w:val="Titre2"/>
        <w:spacing w:line="264" w:lineRule="auto"/>
        <w:contextualSpacing w:val="0"/>
        <w:rPr>
          <w:lang w:val="nl-BE"/>
        </w:rPr>
      </w:pPr>
      <w:bookmarkStart w:id="9" w:name="_Toc83375076"/>
      <w:r w:rsidRPr="009B21B5">
        <w:rPr>
          <w:lang w:val="nl-BE"/>
        </w:rPr>
        <w:lastRenderedPageBreak/>
        <w:t>Welke methode is toegelaten om het gehalte aan vezels te bepalen?</w:t>
      </w:r>
      <w:bookmarkEnd w:id="9"/>
    </w:p>
    <w:p w14:paraId="0EE8E81C" w14:textId="59F0414E" w:rsidR="006718DA" w:rsidRPr="009B21B5" w:rsidRDefault="004765F2" w:rsidP="00D00385">
      <w:pPr>
        <w:autoSpaceDE w:val="0"/>
        <w:autoSpaceDN w:val="0"/>
        <w:adjustRightInd w:val="0"/>
        <w:spacing w:after="0" w:line="240" w:lineRule="auto"/>
        <w:jc w:val="both"/>
        <w:rPr>
          <w:rFonts w:cstheme="minorHAnsi"/>
          <w:lang w:val="nl-BE"/>
        </w:rPr>
      </w:pPr>
      <w:r w:rsidRPr="009B21B5">
        <w:rPr>
          <w:rFonts w:cstheme="minorHAnsi"/>
          <w:lang w:val="nl-BE"/>
        </w:rPr>
        <w:t>Alle methodes die worden vermeld in de leidraad van de Europese Commissie voor de vermelding van het vezelgehalte in de voedingswaardevermelding</w:t>
      </w:r>
      <w:r w:rsidRPr="00D54006">
        <w:rPr>
          <w:rStyle w:val="Appelnotedebasdep"/>
          <w:rFonts w:cstheme="minorHAnsi"/>
        </w:rPr>
        <w:footnoteReference w:id="1"/>
      </w:r>
      <w:r w:rsidRPr="009B21B5">
        <w:rPr>
          <w:rFonts w:cstheme="minorHAnsi"/>
          <w:lang w:val="nl-BE"/>
        </w:rPr>
        <w:t>, zijn geldig voor de berekening van de score.</w:t>
      </w:r>
    </w:p>
    <w:p w14:paraId="7A91D6B5" w14:textId="77777777" w:rsidR="005B5FF1" w:rsidRPr="009B21B5" w:rsidRDefault="005B5FF1" w:rsidP="00D00385">
      <w:pPr>
        <w:autoSpaceDE w:val="0"/>
        <w:autoSpaceDN w:val="0"/>
        <w:adjustRightInd w:val="0"/>
        <w:spacing w:after="0" w:line="240" w:lineRule="auto"/>
        <w:jc w:val="both"/>
        <w:rPr>
          <w:rFonts w:cstheme="minorHAnsi"/>
          <w:color w:val="548DD4" w:themeColor="text2" w:themeTint="99"/>
          <w:lang w:val="nl-BE"/>
        </w:rPr>
      </w:pPr>
    </w:p>
    <w:p w14:paraId="41B10618" w14:textId="77777777" w:rsidR="00D909B4" w:rsidRPr="009B21B5" w:rsidRDefault="00D909B4" w:rsidP="00AD727F">
      <w:pPr>
        <w:pStyle w:val="Titre2"/>
        <w:spacing w:line="264" w:lineRule="auto"/>
        <w:contextualSpacing w:val="0"/>
        <w:rPr>
          <w:lang w:val="nl-BE"/>
        </w:rPr>
      </w:pPr>
      <w:bookmarkStart w:id="10" w:name="_Toc83375077"/>
      <w:r w:rsidRPr="009B21B5">
        <w:rPr>
          <w:lang w:val="nl-BE"/>
        </w:rPr>
        <w:t>Wat moet er onder de (enkelvoudige) suikers worden gerekend?</w:t>
      </w:r>
      <w:bookmarkEnd w:id="10"/>
      <w:r w:rsidRPr="009B21B5">
        <w:rPr>
          <w:lang w:val="nl-BE"/>
        </w:rPr>
        <w:t xml:space="preserve"> </w:t>
      </w:r>
    </w:p>
    <w:p w14:paraId="3F439C70" w14:textId="77777777" w:rsidR="00CB3CA4" w:rsidRPr="009B21B5" w:rsidRDefault="00D909B4" w:rsidP="00AD727F">
      <w:pPr>
        <w:spacing w:before="120" w:after="120" w:line="264" w:lineRule="auto"/>
        <w:rPr>
          <w:rFonts w:cstheme="minorHAnsi"/>
          <w:lang w:val="nl-BE"/>
        </w:rPr>
      </w:pPr>
      <w:r w:rsidRPr="009B21B5">
        <w:rPr>
          <w:rFonts w:cstheme="minorHAnsi"/>
          <w:lang w:val="nl-BE"/>
        </w:rPr>
        <w:t>(Enkelvoudige) suikers omvatten de mono- en disachariden.</w:t>
      </w:r>
    </w:p>
    <w:p w14:paraId="1FD546BC" w14:textId="77777777" w:rsidR="002959C6" w:rsidRPr="009B21B5" w:rsidRDefault="002959C6" w:rsidP="00AD727F">
      <w:pPr>
        <w:spacing w:before="120" w:after="120" w:line="264" w:lineRule="auto"/>
        <w:rPr>
          <w:rFonts w:cstheme="minorHAnsi"/>
          <w:color w:val="548DD4" w:themeColor="text2" w:themeTint="99"/>
          <w:lang w:val="nl-BE"/>
        </w:rPr>
      </w:pPr>
    </w:p>
    <w:p w14:paraId="5407702A" w14:textId="77777777" w:rsidR="00841646" w:rsidRPr="009B21B5" w:rsidRDefault="00841646" w:rsidP="00AD727F">
      <w:pPr>
        <w:pStyle w:val="Titre2"/>
        <w:spacing w:line="264" w:lineRule="auto"/>
        <w:contextualSpacing w:val="0"/>
        <w:rPr>
          <w:lang w:val="nl-BE"/>
        </w:rPr>
      </w:pPr>
      <w:bookmarkStart w:id="11" w:name="_Toc501465196"/>
      <w:bookmarkStart w:id="12" w:name="_Toc83375078"/>
      <w:r w:rsidRPr="009B21B5">
        <w:rPr>
          <w:lang w:val="nl-BE"/>
        </w:rPr>
        <w:t>Hoe wordt de definitieve score berekend?</w:t>
      </w:r>
      <w:bookmarkEnd w:id="11"/>
      <w:bookmarkEnd w:id="12"/>
      <w:r w:rsidRPr="009B21B5">
        <w:rPr>
          <w:lang w:val="nl-BE"/>
        </w:rPr>
        <w:t xml:space="preserve"> </w:t>
      </w:r>
    </w:p>
    <w:p w14:paraId="3C66DB3E" w14:textId="77777777" w:rsidR="00841646" w:rsidRPr="009B21B5" w:rsidRDefault="00841646" w:rsidP="00AD727F">
      <w:pPr>
        <w:spacing w:before="120" w:after="120" w:line="264" w:lineRule="auto"/>
        <w:jc w:val="both"/>
        <w:rPr>
          <w:rFonts w:eastAsia="Times New Roman"/>
          <w:lang w:val="nl-BE"/>
        </w:rPr>
      </w:pPr>
      <w:r w:rsidRPr="009B21B5">
        <w:rPr>
          <w:rFonts w:eastAsia="Times New Roman"/>
          <w:lang w:val="nl-BE"/>
        </w:rPr>
        <w:t xml:space="preserve">De globale voedingsscore van een voedingsmiddel wordt berekend door </w:t>
      </w:r>
      <w:r w:rsidRPr="009B21B5">
        <w:rPr>
          <w:rFonts w:eastAsia="Times New Roman"/>
          <w:b/>
          <w:lang w:val="nl-BE"/>
        </w:rPr>
        <w:t>de som van het totale aantal gunstige punten af te trekken van de som van het totale aantal ongunstige punten</w:t>
      </w:r>
      <w:r w:rsidRPr="009B21B5">
        <w:rPr>
          <w:rFonts w:eastAsia="Times New Roman"/>
          <w:lang w:val="nl-BE"/>
        </w:rPr>
        <w:t xml:space="preserve">. </w:t>
      </w:r>
    </w:p>
    <w:p w14:paraId="50F5A726" w14:textId="77777777" w:rsidR="00841646" w:rsidRPr="009B21B5" w:rsidRDefault="00841646" w:rsidP="00AD727F">
      <w:pPr>
        <w:spacing w:before="120" w:after="120" w:line="264" w:lineRule="auto"/>
        <w:jc w:val="both"/>
        <w:rPr>
          <w:rFonts w:eastAsia="Times New Roman"/>
          <w:lang w:val="nl-BE"/>
        </w:rPr>
      </w:pPr>
      <w:r w:rsidRPr="009B21B5">
        <w:rPr>
          <w:rFonts w:eastAsia="Times New Roman"/>
          <w:lang w:val="nl-BE"/>
        </w:rPr>
        <w:t>Daarnaast, naargelang het niveau van die ongunstige punten (de drempel is 11), kunnen de gunstige punten variëren naargelang men al dan niet rekening houdt met de punten voor eiwitten (zie specifieke regels).</w:t>
      </w:r>
    </w:p>
    <w:p w14:paraId="7B1A3D89" w14:textId="77777777" w:rsidR="00841646" w:rsidRPr="009B21B5" w:rsidRDefault="00841646" w:rsidP="00AD727F">
      <w:pPr>
        <w:spacing w:before="120" w:after="120" w:line="264" w:lineRule="auto"/>
        <w:rPr>
          <w:rFonts w:eastAsia="Times New Roman"/>
          <w:lang w:val="nl-BE"/>
        </w:rPr>
      </w:pPr>
      <w:r w:rsidRPr="009B21B5">
        <w:rPr>
          <w:rFonts w:eastAsia="Times New Roman"/>
          <w:lang w:val="nl-BE"/>
        </w:rPr>
        <w:t>De berekening van de score wordt in detail uiteengezet in bijlage 2.</w:t>
      </w:r>
    </w:p>
    <w:p w14:paraId="38B79DB7" w14:textId="77777777" w:rsidR="002959C6" w:rsidRPr="009B21B5" w:rsidRDefault="002959C6" w:rsidP="00AD727F">
      <w:pPr>
        <w:spacing w:before="120" w:after="120" w:line="264" w:lineRule="auto"/>
        <w:jc w:val="both"/>
        <w:rPr>
          <w:rFonts w:eastAsia="Times New Roman"/>
          <w:lang w:val="nl-BE"/>
        </w:rPr>
      </w:pPr>
    </w:p>
    <w:p w14:paraId="772A5383" w14:textId="77777777" w:rsidR="00841646" w:rsidRPr="009B21B5" w:rsidRDefault="00841646" w:rsidP="00AD727F">
      <w:pPr>
        <w:pStyle w:val="Titre2"/>
        <w:spacing w:line="264" w:lineRule="auto"/>
        <w:contextualSpacing w:val="0"/>
        <w:rPr>
          <w:lang w:val="nl-BE"/>
        </w:rPr>
      </w:pPr>
      <w:bookmarkStart w:id="13" w:name="_Toc501465197"/>
      <w:bookmarkStart w:id="14" w:name="_Toc83375079"/>
      <w:r w:rsidRPr="009B21B5">
        <w:rPr>
          <w:lang w:val="nl-BE"/>
        </w:rPr>
        <w:t>Moeten de resultaten afgerond worden bij de berekening van de score?</w:t>
      </w:r>
      <w:bookmarkEnd w:id="13"/>
      <w:bookmarkEnd w:id="14"/>
    </w:p>
    <w:p w14:paraId="11D73CB0" w14:textId="16E598B8" w:rsidR="00E24BDF" w:rsidRPr="009B21B5" w:rsidRDefault="00841646" w:rsidP="00AD727F">
      <w:pPr>
        <w:spacing w:before="120" w:after="120" w:line="264" w:lineRule="auto"/>
        <w:jc w:val="both"/>
        <w:rPr>
          <w:rFonts w:cstheme="minorHAnsi"/>
          <w:lang w:val="nl-BE"/>
        </w:rPr>
      </w:pPr>
      <w:r w:rsidRPr="009B21B5">
        <w:rPr>
          <w:rFonts w:cstheme="minorHAnsi"/>
          <w:lang w:val="nl-BE"/>
        </w:rPr>
        <w:t xml:space="preserve">De punten voor een bepaald nutriënt worden toegekend op basis van de </w:t>
      </w:r>
      <w:r w:rsidR="005B5FF1" w:rsidRPr="009B21B5">
        <w:rPr>
          <w:rFonts w:cstheme="minorHAnsi"/>
          <w:b/>
          <w:lang w:val="nl-BE"/>
        </w:rPr>
        <w:t>vermelde gehaltes in de verplichte voedingswaardevermelding</w:t>
      </w:r>
      <w:r w:rsidRPr="009B21B5">
        <w:rPr>
          <w:rFonts w:cstheme="minorHAnsi"/>
          <w:lang w:val="nl-BE"/>
        </w:rPr>
        <w:t>.</w:t>
      </w:r>
    </w:p>
    <w:p w14:paraId="788DCF97" w14:textId="16C4AE55" w:rsidR="004765F2" w:rsidRPr="009B21B5" w:rsidRDefault="004765F2" w:rsidP="00AD727F">
      <w:pPr>
        <w:spacing w:before="120" w:after="120" w:line="264" w:lineRule="auto"/>
        <w:jc w:val="both"/>
        <w:rPr>
          <w:rFonts w:cstheme="minorHAnsi"/>
          <w:lang w:val="nl-BE"/>
        </w:rPr>
      </w:pPr>
      <w:r w:rsidRPr="009B21B5">
        <w:rPr>
          <w:rFonts w:cstheme="minorHAnsi"/>
          <w:lang w:val="nl-BE"/>
        </w:rPr>
        <w:t>Om het aantal vereiste decimalen te bepalen, raden we aan om de leidraad van de Europese Commissie te gebruiken die de toleranties voor de op de verpakking te vermelden voedingswaarden vastlegt</w:t>
      </w:r>
      <w:r w:rsidRPr="00D54006">
        <w:rPr>
          <w:rStyle w:val="Appelnotedebasdep"/>
        </w:rPr>
        <w:footnoteReference w:id="2"/>
      </w:r>
      <w:r w:rsidRPr="009B21B5">
        <w:rPr>
          <w:rFonts w:cstheme="minorHAnsi"/>
          <w:lang w:val="nl-BE"/>
        </w:rPr>
        <w:t xml:space="preserve">. Voor optionele nutriënten, zoals vezels, raden we in overeenstemming met artikel 30-2 van de Europese verordening nr. 1169/2011, de zogeheten FIC-verordening (Food Information </w:t>
      </w:r>
      <w:proofErr w:type="spellStart"/>
      <w:r w:rsidRPr="009B21B5">
        <w:rPr>
          <w:rFonts w:cstheme="minorHAnsi"/>
          <w:lang w:val="nl-BE"/>
        </w:rPr>
        <w:t>to</w:t>
      </w:r>
      <w:proofErr w:type="spellEnd"/>
      <w:r w:rsidRPr="009B21B5">
        <w:rPr>
          <w:rFonts w:cstheme="minorHAnsi"/>
          <w:lang w:val="nl-BE"/>
        </w:rPr>
        <w:t xml:space="preserve"> </w:t>
      </w:r>
      <w:proofErr w:type="spellStart"/>
      <w:r w:rsidRPr="009B21B5">
        <w:rPr>
          <w:rFonts w:cstheme="minorHAnsi"/>
          <w:lang w:val="nl-BE"/>
        </w:rPr>
        <w:t>Consumers</w:t>
      </w:r>
      <w:proofErr w:type="spellEnd"/>
      <w:r w:rsidRPr="009B21B5">
        <w:rPr>
          <w:rFonts w:cstheme="minorHAnsi"/>
          <w:lang w:val="nl-BE"/>
        </w:rPr>
        <w:t>), aan om hetzelfde document als eerder vermeld te gebruiken</w:t>
      </w:r>
      <w:r w:rsidR="008E2CB4" w:rsidRPr="009B21B5">
        <w:rPr>
          <w:rFonts w:cstheme="minorHAnsi"/>
          <w:vertAlign w:val="superscript"/>
          <w:lang w:val="nl-BE"/>
        </w:rPr>
        <w:t>2</w:t>
      </w:r>
      <w:r w:rsidRPr="009B21B5">
        <w:rPr>
          <w:rFonts w:cstheme="minorHAnsi"/>
          <w:lang w:val="nl-BE"/>
        </w:rPr>
        <w:t>.</w:t>
      </w:r>
    </w:p>
    <w:p w14:paraId="17B718A0" w14:textId="77777777" w:rsidR="00E24BDF" w:rsidRPr="009B21B5" w:rsidRDefault="00E24BDF" w:rsidP="00AD727F">
      <w:pPr>
        <w:spacing w:before="120" w:after="120" w:line="264" w:lineRule="auto"/>
        <w:jc w:val="both"/>
        <w:rPr>
          <w:rFonts w:cstheme="minorHAnsi"/>
          <w:lang w:val="nl-BE"/>
        </w:rPr>
      </w:pPr>
    </w:p>
    <w:p w14:paraId="5A7ADF15" w14:textId="77777777" w:rsidR="00841646" w:rsidRPr="009B21B5" w:rsidRDefault="00841646" w:rsidP="00AD727F">
      <w:pPr>
        <w:pStyle w:val="Titre2"/>
        <w:spacing w:line="264" w:lineRule="auto"/>
        <w:contextualSpacing w:val="0"/>
        <w:rPr>
          <w:lang w:val="nl-BE"/>
        </w:rPr>
      </w:pPr>
      <w:bookmarkStart w:id="15" w:name="_Toc501465198"/>
      <w:bookmarkStart w:id="16" w:name="_Toc83375080"/>
      <w:r w:rsidRPr="009B21B5">
        <w:rPr>
          <w:lang w:val="nl-BE"/>
        </w:rPr>
        <w:t>Hoe de omzetting zout-natrium berekenen?</w:t>
      </w:r>
      <w:bookmarkEnd w:id="15"/>
      <w:bookmarkEnd w:id="16"/>
    </w:p>
    <w:p w14:paraId="36CD1EA5" w14:textId="77777777" w:rsidR="00841646" w:rsidRPr="009B21B5" w:rsidRDefault="00841646" w:rsidP="00AD727F">
      <w:pPr>
        <w:spacing w:before="120" w:after="120" w:line="264" w:lineRule="auto"/>
        <w:jc w:val="both"/>
        <w:rPr>
          <w:rFonts w:cstheme="minorHAnsi"/>
          <w:lang w:val="nl-BE"/>
        </w:rPr>
      </w:pPr>
      <w:r w:rsidRPr="009B21B5">
        <w:rPr>
          <w:rFonts w:cstheme="minorHAnsi"/>
          <w:lang w:val="nl-BE"/>
        </w:rPr>
        <w:t xml:space="preserve">Het natriumgehalte stemt overeen met het zoutgehalte vermeld op de verplichte voedingswaardevermelding, gedeeld door een </w:t>
      </w:r>
      <w:r w:rsidRPr="009B21B5">
        <w:rPr>
          <w:rFonts w:cstheme="minorHAnsi"/>
          <w:b/>
          <w:lang w:val="nl-BE"/>
        </w:rPr>
        <w:t>omzettingscoëfficiënt van 2,5</w:t>
      </w:r>
      <w:r w:rsidRPr="009B21B5">
        <w:rPr>
          <w:rFonts w:cstheme="minorHAnsi"/>
          <w:lang w:val="nl-BE"/>
        </w:rPr>
        <w:t>.</w:t>
      </w:r>
    </w:p>
    <w:p w14:paraId="761D6DA4" w14:textId="77777777" w:rsidR="00841646" w:rsidRPr="009B21B5" w:rsidRDefault="00841646" w:rsidP="00AD727F">
      <w:pPr>
        <w:spacing w:before="120" w:after="120" w:line="264" w:lineRule="auto"/>
        <w:rPr>
          <w:rFonts w:cstheme="minorHAnsi"/>
          <w:lang w:val="nl-BE"/>
        </w:rPr>
      </w:pPr>
      <w:r w:rsidRPr="009B21B5">
        <w:rPr>
          <w:rFonts w:cstheme="minorHAnsi"/>
          <w:lang w:val="nl-BE"/>
        </w:rPr>
        <w:t>Wanneer het vermelde zoutgehalte in centigram uitgedrukt wordt (2 cijfers na de komma indien vermeld in gram), dan geldt het afrondingsprincipe toegelicht in de paragraaf 'Moeten de resultaten afgerond worden bij de berekening van de score?' uit deze FAQ.</w:t>
      </w:r>
    </w:p>
    <w:p w14:paraId="62041447" w14:textId="77777777" w:rsidR="00841646" w:rsidRPr="009B21B5" w:rsidRDefault="00841646" w:rsidP="00AD727F">
      <w:pPr>
        <w:spacing w:before="120" w:after="120" w:line="264" w:lineRule="auto"/>
        <w:jc w:val="both"/>
        <w:rPr>
          <w:rFonts w:cstheme="minorHAnsi"/>
          <w:lang w:val="nl-BE"/>
        </w:rPr>
      </w:pPr>
      <w:r w:rsidRPr="009B21B5">
        <w:rPr>
          <w:rFonts w:cstheme="minorHAnsi"/>
          <w:lang w:val="nl-BE"/>
        </w:rPr>
        <w:t xml:space="preserve">Om zeldzame, maar mogelijke discrepanties te vermijden in de punten toegekend aan de component 'natrium', te wijten aan de afrondingen doordat het zoutgehalte op de voedingswaardevermelding is omgezet in natrium, is het aangewezen dat zoutgehalte uit te drukken in mg (drie cijfers na de komma indien het gehalte aangegeven wordt in gram) en dat in de voedingswaardevermelding op de verpakking te </w:t>
      </w:r>
      <w:r w:rsidRPr="009B21B5">
        <w:rPr>
          <w:rFonts w:cstheme="minorHAnsi"/>
          <w:lang w:val="nl-BE"/>
        </w:rPr>
        <w:lastRenderedPageBreak/>
        <w:t>zetten. De vermelde waarde wordt berekend volgens de bepalingen uit artikel 31-4 van EU-verordening nr. 1169/2011.</w:t>
      </w:r>
    </w:p>
    <w:p w14:paraId="5E4C5113" w14:textId="7BC387A8" w:rsidR="00E24BDF" w:rsidRPr="009B21B5" w:rsidRDefault="00E24BDF" w:rsidP="00AD727F">
      <w:pPr>
        <w:spacing w:before="120" w:after="120" w:line="264" w:lineRule="auto"/>
        <w:jc w:val="both"/>
        <w:rPr>
          <w:rFonts w:cstheme="minorHAnsi"/>
          <w:lang w:val="nl-BE"/>
        </w:rPr>
      </w:pPr>
    </w:p>
    <w:p w14:paraId="518AD09E" w14:textId="77777777" w:rsidR="00841646" w:rsidRPr="009B21B5" w:rsidRDefault="00841646" w:rsidP="00AD727F">
      <w:pPr>
        <w:pStyle w:val="Titre2"/>
        <w:spacing w:line="264" w:lineRule="auto"/>
        <w:contextualSpacing w:val="0"/>
        <w:rPr>
          <w:lang w:val="nl-BE"/>
        </w:rPr>
      </w:pPr>
      <w:bookmarkStart w:id="17" w:name="_Toc501465199"/>
      <w:bookmarkStart w:id="18" w:name="_Toc83375081"/>
      <w:r w:rsidRPr="009B21B5">
        <w:rPr>
          <w:lang w:val="nl-BE"/>
        </w:rPr>
        <w:t>Hoe gebeurt de berekening voor samengestelde producten?</w:t>
      </w:r>
      <w:bookmarkEnd w:id="17"/>
      <w:bookmarkEnd w:id="18"/>
    </w:p>
    <w:p w14:paraId="55721BA8" w14:textId="77777777" w:rsidR="00841646" w:rsidRPr="009B21B5" w:rsidRDefault="00E8216F" w:rsidP="00AD727F">
      <w:pPr>
        <w:spacing w:before="120" w:after="120" w:line="264" w:lineRule="auto"/>
        <w:jc w:val="both"/>
        <w:rPr>
          <w:rFonts w:cstheme="minorHAnsi"/>
          <w:lang w:val="nl-BE"/>
        </w:rPr>
      </w:pPr>
      <w:r w:rsidRPr="009B21B5">
        <w:rPr>
          <w:rFonts w:cstheme="minorHAnsi"/>
          <w:lang w:val="nl-BE"/>
        </w:rPr>
        <w:t xml:space="preserve">De voedingsscore wordt berekend op basis van de </w:t>
      </w:r>
      <w:r w:rsidRPr="009B21B5">
        <w:rPr>
          <w:rFonts w:cstheme="minorHAnsi"/>
          <w:b/>
          <w:u w:val="single"/>
          <w:lang w:val="nl-BE"/>
        </w:rPr>
        <w:t>voedingswaardegegevens voor 100 g product</w:t>
      </w:r>
      <w:r w:rsidRPr="009B21B5">
        <w:rPr>
          <w:rFonts w:cstheme="minorHAnsi"/>
          <w:u w:val="single"/>
          <w:lang w:val="nl-BE"/>
        </w:rPr>
        <w:t xml:space="preserve"> </w:t>
      </w:r>
      <w:r w:rsidRPr="009B21B5">
        <w:rPr>
          <w:rFonts w:cstheme="minorHAnsi"/>
          <w:b/>
          <w:u w:val="single"/>
          <w:lang w:val="nl-BE"/>
        </w:rPr>
        <w:t>zoals geëtiketteerd op de verpakking</w:t>
      </w:r>
      <w:r w:rsidRPr="009B21B5">
        <w:rPr>
          <w:rFonts w:cstheme="minorHAnsi"/>
          <w:lang w:val="nl-BE"/>
        </w:rPr>
        <w:t xml:space="preserve">, waarbij de nutriënten deel uitmaken van de </w:t>
      </w:r>
      <w:r w:rsidRPr="009B21B5">
        <w:rPr>
          <w:rFonts w:cstheme="minorHAnsi"/>
          <w:b/>
          <w:u w:val="single"/>
          <w:lang w:val="nl-BE"/>
        </w:rPr>
        <w:t>verplichte voedingswaardevermelding</w:t>
      </w:r>
      <w:r w:rsidRPr="009B21B5">
        <w:rPr>
          <w:rFonts w:cstheme="minorHAnsi"/>
          <w:lang w:val="nl-BE"/>
        </w:rPr>
        <w:t xml:space="preserve"> of ze eventueel aanvullen in navolging van artikel 30 van de FIC-verordening nr. 1169/2011.</w:t>
      </w:r>
    </w:p>
    <w:p w14:paraId="159BE934" w14:textId="77777777" w:rsidR="00841646" w:rsidRPr="009B21B5" w:rsidRDefault="00E8216F" w:rsidP="00AD727F">
      <w:pPr>
        <w:spacing w:before="120" w:after="120" w:line="264" w:lineRule="auto"/>
        <w:rPr>
          <w:rFonts w:cstheme="minorHAnsi"/>
          <w:lang w:val="nl-BE"/>
        </w:rPr>
      </w:pPr>
      <w:r w:rsidRPr="009B21B5">
        <w:rPr>
          <w:rFonts w:cstheme="minorHAnsi"/>
          <w:lang w:val="nl-BE"/>
        </w:rPr>
        <w:t xml:space="preserve">In het voorbeeld van een kant-en-klaarmaaltijd met een zakje saus waarbij de voedingswaarde van de maaltijd + de saus wordt opgegeven, zal de vermelde </w:t>
      </w:r>
      <w:proofErr w:type="spellStart"/>
      <w:r w:rsidRPr="009B21B5">
        <w:rPr>
          <w:rFonts w:cstheme="minorHAnsi"/>
          <w:lang w:val="nl-BE"/>
        </w:rPr>
        <w:t>Nutri</w:t>
      </w:r>
      <w:proofErr w:type="spellEnd"/>
      <w:r w:rsidRPr="009B21B5">
        <w:rPr>
          <w:rFonts w:cstheme="minorHAnsi"/>
          <w:lang w:val="nl-BE"/>
        </w:rPr>
        <w:t>-Score dus de score zijn van de maaltijd met de saus.</w:t>
      </w:r>
    </w:p>
    <w:p w14:paraId="194E3C52" w14:textId="77777777" w:rsidR="00B15DBD" w:rsidRPr="009B21B5" w:rsidRDefault="00254A80" w:rsidP="00AD727F">
      <w:pPr>
        <w:spacing w:before="120" w:after="120" w:line="264" w:lineRule="auto"/>
        <w:jc w:val="both"/>
        <w:rPr>
          <w:rFonts w:cstheme="minorHAnsi"/>
          <w:lang w:val="nl-BE"/>
        </w:rPr>
      </w:pPr>
      <w:r w:rsidRPr="009B21B5">
        <w:rPr>
          <w:rFonts w:cstheme="minorHAnsi"/>
          <w:lang w:val="nl-BE"/>
        </w:rPr>
        <w:t xml:space="preserve">In het geval van twee voedingswaardevermeldingen kunnen er op de voorzijde dan twee </w:t>
      </w:r>
      <w:proofErr w:type="spellStart"/>
      <w:r w:rsidRPr="009B21B5">
        <w:rPr>
          <w:rFonts w:cstheme="minorHAnsi"/>
          <w:lang w:val="nl-BE"/>
        </w:rPr>
        <w:t>Nutri</w:t>
      </w:r>
      <w:proofErr w:type="spellEnd"/>
      <w:r w:rsidRPr="009B21B5">
        <w:rPr>
          <w:rFonts w:cstheme="minorHAnsi"/>
          <w:lang w:val="nl-BE"/>
        </w:rPr>
        <w:t xml:space="preserve">-Scores vermeld worden. Er is een grafisch charter beschikbaar voor het aanbrengen van de twee </w:t>
      </w:r>
      <w:proofErr w:type="spellStart"/>
      <w:r w:rsidRPr="009B21B5">
        <w:rPr>
          <w:rFonts w:cstheme="minorHAnsi"/>
          <w:lang w:val="nl-BE"/>
        </w:rPr>
        <w:t>Nutri</w:t>
      </w:r>
      <w:proofErr w:type="spellEnd"/>
      <w:r w:rsidRPr="009B21B5">
        <w:rPr>
          <w:rFonts w:cstheme="minorHAnsi"/>
          <w:lang w:val="nl-BE"/>
        </w:rPr>
        <w:t>-Scores op de voorzijde.</w:t>
      </w:r>
    </w:p>
    <w:p w14:paraId="696CD3C1" w14:textId="77777777" w:rsidR="002959C6" w:rsidRPr="009B21B5" w:rsidRDefault="002959C6" w:rsidP="00AD727F">
      <w:pPr>
        <w:spacing w:before="120" w:after="120" w:line="264" w:lineRule="auto"/>
        <w:jc w:val="both"/>
        <w:rPr>
          <w:rFonts w:cstheme="minorHAnsi"/>
          <w:lang w:val="nl-BE"/>
        </w:rPr>
      </w:pPr>
    </w:p>
    <w:p w14:paraId="0F047546" w14:textId="77777777" w:rsidR="00841646" w:rsidRPr="009B21B5" w:rsidRDefault="000B6224" w:rsidP="00AD727F">
      <w:pPr>
        <w:pStyle w:val="Titre2"/>
        <w:spacing w:line="264" w:lineRule="auto"/>
        <w:contextualSpacing w:val="0"/>
        <w:rPr>
          <w:lang w:val="nl-BE"/>
        </w:rPr>
      </w:pPr>
      <w:bookmarkStart w:id="19" w:name="_Toc501465200"/>
      <w:bookmarkStart w:id="20" w:name="_Toc83375082"/>
      <w:r w:rsidRPr="009B21B5">
        <w:rPr>
          <w:lang w:val="nl-BE"/>
        </w:rPr>
        <w:t xml:space="preserve">Moet de </w:t>
      </w:r>
      <w:proofErr w:type="spellStart"/>
      <w:r w:rsidRPr="009B21B5">
        <w:rPr>
          <w:lang w:val="nl-BE"/>
        </w:rPr>
        <w:t>Nutri</w:t>
      </w:r>
      <w:proofErr w:type="spellEnd"/>
      <w:r w:rsidRPr="009B21B5">
        <w:rPr>
          <w:lang w:val="nl-BE"/>
        </w:rPr>
        <w:t>-Score berekend worden op het product zoals het verkocht wordt of op het product zoals het bereid is?</w:t>
      </w:r>
      <w:bookmarkEnd w:id="20"/>
      <w:r w:rsidRPr="009B21B5">
        <w:rPr>
          <w:lang w:val="nl-BE"/>
        </w:rPr>
        <w:t xml:space="preserve"> </w:t>
      </w:r>
      <w:bookmarkEnd w:id="19"/>
    </w:p>
    <w:p w14:paraId="6AA70582" w14:textId="1B6E117E" w:rsidR="000B6224" w:rsidRPr="009B21B5" w:rsidRDefault="00F74B1D" w:rsidP="00AD727F">
      <w:pPr>
        <w:spacing w:before="120" w:after="120" w:line="264" w:lineRule="auto"/>
        <w:jc w:val="both"/>
        <w:rPr>
          <w:lang w:val="nl-BE"/>
        </w:rPr>
      </w:pPr>
      <w:r w:rsidRPr="009B21B5">
        <w:rPr>
          <w:rFonts w:ascii="Calibri Light" w:hAnsi="Calibri Light"/>
          <w:iCs/>
          <w:color w:val="0070C0"/>
          <w:lang w:val="nl-BE"/>
        </w:rPr>
        <w:t>D</w:t>
      </w:r>
      <w:r w:rsidRPr="009B21B5">
        <w:rPr>
          <w:lang w:val="nl-BE"/>
        </w:rPr>
        <w:t xml:space="preserve">e FIC-verordening bepaalt dat de voedingswaardevermelding zich moet baseren op de voedingswaarden van het product zoals het wordt verkocht, en, indien van toepassing, is het mogelijk om die waarden te vermelden voor het bereid product. Sowieso moet de berekening van de </w:t>
      </w:r>
      <w:proofErr w:type="spellStart"/>
      <w:r w:rsidRPr="009B21B5">
        <w:rPr>
          <w:lang w:val="nl-BE"/>
        </w:rPr>
        <w:t>Nutri</w:t>
      </w:r>
      <w:proofErr w:type="spellEnd"/>
      <w:r w:rsidRPr="009B21B5">
        <w:rPr>
          <w:lang w:val="nl-BE"/>
        </w:rPr>
        <w:t xml:space="preserve">-Score altijd de energie en nutriënten zoals aangegeven in de overeenstemmende voedingswaardevermelding als basis nemen. Bovendien kan de berekening van de </w:t>
      </w:r>
      <w:proofErr w:type="spellStart"/>
      <w:r w:rsidRPr="009B21B5">
        <w:rPr>
          <w:lang w:val="nl-BE"/>
        </w:rPr>
        <w:t>Nutri</w:t>
      </w:r>
      <w:proofErr w:type="spellEnd"/>
      <w:r w:rsidRPr="009B21B5">
        <w:rPr>
          <w:lang w:val="nl-BE"/>
        </w:rPr>
        <w:t>-Score op het bereid product enkel worden gebruikt als de bereidingswijze nauwkeurig wordt beschreven.</w:t>
      </w:r>
    </w:p>
    <w:p w14:paraId="7A26D061" w14:textId="68A1C552" w:rsidR="00F620CA" w:rsidRPr="009B21B5" w:rsidRDefault="00F620CA" w:rsidP="00AD727F">
      <w:pPr>
        <w:spacing w:before="120" w:after="120" w:line="264" w:lineRule="auto"/>
        <w:jc w:val="both"/>
        <w:rPr>
          <w:lang w:val="nl-BE"/>
        </w:rPr>
      </w:pPr>
      <w:r w:rsidRPr="009B21B5">
        <w:rPr>
          <w:lang w:val="nl-BE"/>
        </w:rPr>
        <w:t>Een voorbeeld voor deze berekeningsregel is gedehydrateerde soep.</w:t>
      </w:r>
    </w:p>
    <w:p w14:paraId="572E396F" w14:textId="77777777" w:rsidR="00C76401" w:rsidRPr="009B21B5" w:rsidRDefault="00F620CA" w:rsidP="00AD727F">
      <w:pPr>
        <w:spacing w:before="120" w:after="120" w:line="264" w:lineRule="auto"/>
        <w:jc w:val="both"/>
        <w:rPr>
          <w:lang w:val="nl-BE"/>
        </w:rPr>
      </w:pPr>
      <w:r w:rsidRPr="009B21B5">
        <w:rPr>
          <w:lang w:val="nl-BE"/>
        </w:rPr>
        <w:t xml:space="preserve">Voor zulke producten raden we aan om de </w:t>
      </w:r>
      <w:proofErr w:type="spellStart"/>
      <w:r w:rsidRPr="009B21B5">
        <w:rPr>
          <w:lang w:val="nl-BE"/>
        </w:rPr>
        <w:t>Nutri</w:t>
      </w:r>
      <w:proofErr w:type="spellEnd"/>
      <w:r w:rsidRPr="009B21B5">
        <w:rPr>
          <w:lang w:val="nl-BE"/>
        </w:rPr>
        <w:t xml:space="preserve">-Score te berekenen van het </w:t>
      </w:r>
      <w:r w:rsidRPr="009B21B5">
        <w:rPr>
          <w:b/>
          <w:lang w:val="nl-BE"/>
        </w:rPr>
        <w:t>bereide voedingsmiddel</w:t>
      </w:r>
      <w:r w:rsidRPr="009B21B5">
        <w:rPr>
          <w:lang w:val="nl-BE"/>
        </w:rPr>
        <w:t xml:space="preserve"> zodat de consument </w:t>
      </w:r>
      <w:proofErr w:type="spellStart"/>
      <w:r w:rsidRPr="009B21B5">
        <w:rPr>
          <w:lang w:val="nl-BE"/>
        </w:rPr>
        <w:t>Nutri</w:t>
      </w:r>
      <w:proofErr w:type="spellEnd"/>
      <w:r w:rsidRPr="009B21B5">
        <w:rPr>
          <w:lang w:val="nl-BE"/>
        </w:rPr>
        <w:t xml:space="preserve">-Scores kan vergelijken die op dezelfde basis worden berekend. Om in aanmerking te komen voor deze berekeningswijze, </w:t>
      </w:r>
      <w:r w:rsidRPr="009B21B5">
        <w:rPr>
          <w:b/>
          <w:lang w:val="nl-BE"/>
        </w:rPr>
        <w:t>moet de verpakking een voedingswaardevermelding bevatten voor 100 g of 100 ml bereid product en een gedetailleerde bereidingswijze.</w:t>
      </w:r>
      <w:r w:rsidRPr="009B21B5">
        <w:rPr>
          <w:lang w:val="nl-BE"/>
        </w:rPr>
        <w:t xml:space="preserve"> </w:t>
      </w:r>
    </w:p>
    <w:p w14:paraId="38C08D21" w14:textId="1B78782E" w:rsidR="00F620CA" w:rsidRPr="009B21B5" w:rsidRDefault="00C76401" w:rsidP="00AD727F">
      <w:pPr>
        <w:spacing w:before="120" w:after="120" w:line="264" w:lineRule="auto"/>
        <w:jc w:val="both"/>
        <w:rPr>
          <w:lang w:val="nl-BE"/>
        </w:rPr>
      </w:pPr>
      <w:r w:rsidRPr="009B21B5">
        <w:rPr>
          <w:lang w:val="nl-BE"/>
        </w:rPr>
        <w:t xml:space="preserve">In het voorbeeld wordt de handelaar gevraagd een vermelding op de verpakking toe te voegen om de consument te informeren dat de </w:t>
      </w:r>
      <w:proofErr w:type="spellStart"/>
      <w:r w:rsidRPr="009B21B5">
        <w:rPr>
          <w:lang w:val="nl-BE"/>
        </w:rPr>
        <w:t>Nutri</w:t>
      </w:r>
      <w:proofErr w:type="spellEnd"/>
      <w:r w:rsidRPr="009B21B5">
        <w:rPr>
          <w:lang w:val="nl-BE"/>
        </w:rPr>
        <w:t>-Score werd berekend voor het bereide product (transparantiebeginsel). Die informatie kan, naar keuze, worden toegevoegd op de voorzijde van de verpakking nabij het logo (in dat verband mag de beschermingsperimeter/afloopzone worden gebruikt) of op de achterzijde van de verpakking nabij de voedingswaardevermelding.</w:t>
      </w:r>
    </w:p>
    <w:p w14:paraId="6F90E9ED" w14:textId="77777777" w:rsidR="00C76401" w:rsidRPr="009B21B5" w:rsidRDefault="00C76401" w:rsidP="00AD727F">
      <w:pPr>
        <w:spacing w:before="120" w:after="120" w:line="264" w:lineRule="auto"/>
        <w:jc w:val="both"/>
        <w:rPr>
          <w:rFonts w:cstheme="minorHAnsi"/>
          <w:color w:val="548DD4" w:themeColor="text2" w:themeTint="99"/>
          <w:lang w:val="nl-BE"/>
        </w:rPr>
      </w:pPr>
    </w:p>
    <w:p w14:paraId="248B3D39" w14:textId="77777777" w:rsidR="000B6224" w:rsidRPr="009B21B5" w:rsidRDefault="000B6224" w:rsidP="00AD727F">
      <w:pPr>
        <w:pStyle w:val="Titre2"/>
        <w:spacing w:line="264" w:lineRule="auto"/>
        <w:contextualSpacing w:val="0"/>
        <w:rPr>
          <w:lang w:val="nl-BE"/>
        </w:rPr>
      </w:pPr>
      <w:bookmarkStart w:id="21" w:name="_Toc83375083"/>
      <w:r w:rsidRPr="009B21B5">
        <w:rPr>
          <w:lang w:val="nl-BE"/>
        </w:rPr>
        <w:t xml:space="preserve">Welke </w:t>
      </w:r>
      <w:proofErr w:type="spellStart"/>
      <w:r w:rsidRPr="009B21B5">
        <w:rPr>
          <w:lang w:val="nl-BE"/>
        </w:rPr>
        <w:t>Nutri</w:t>
      </w:r>
      <w:proofErr w:type="spellEnd"/>
      <w:r w:rsidRPr="009B21B5">
        <w:rPr>
          <w:lang w:val="nl-BE"/>
        </w:rPr>
        <w:t>-Score voor gebakken producten?</w:t>
      </w:r>
      <w:bookmarkEnd w:id="21"/>
    </w:p>
    <w:p w14:paraId="0CB87AE4" w14:textId="77777777" w:rsidR="000B6224" w:rsidRPr="009B21B5" w:rsidRDefault="000B6224" w:rsidP="00AD727F">
      <w:pPr>
        <w:spacing w:before="120" w:after="120" w:line="264" w:lineRule="auto"/>
        <w:jc w:val="both"/>
        <w:rPr>
          <w:lang w:val="nl-BE"/>
        </w:rPr>
      </w:pPr>
      <w:r w:rsidRPr="009B21B5">
        <w:rPr>
          <w:lang w:val="nl-BE"/>
        </w:rPr>
        <w:t xml:space="preserve">Voorverpakte gebakken producten (zoals frieten, gepaneerde vis, ...) hebben meestal een </w:t>
      </w:r>
      <w:proofErr w:type="spellStart"/>
      <w:r w:rsidRPr="009B21B5">
        <w:rPr>
          <w:lang w:val="nl-BE"/>
        </w:rPr>
        <w:t>Nutri</w:t>
      </w:r>
      <w:proofErr w:type="spellEnd"/>
      <w:r w:rsidRPr="009B21B5">
        <w:rPr>
          <w:lang w:val="nl-BE"/>
        </w:rPr>
        <w:t>-Score A of B. Die producten zijn meestal industrieel voorgebakken, wat weinig impact heeft op de hoeveelheid vetstoffen in het product.</w:t>
      </w:r>
    </w:p>
    <w:p w14:paraId="1C4F45BC" w14:textId="77777777" w:rsidR="000B6224" w:rsidRPr="009B21B5" w:rsidRDefault="000B6224" w:rsidP="00AD727F">
      <w:pPr>
        <w:spacing w:before="120" w:after="120" w:line="264" w:lineRule="auto"/>
        <w:jc w:val="both"/>
        <w:rPr>
          <w:lang w:val="nl-BE"/>
        </w:rPr>
      </w:pPr>
      <w:r w:rsidRPr="009B21B5">
        <w:rPr>
          <w:lang w:val="nl-BE"/>
        </w:rPr>
        <w:t xml:space="preserve">Sommige producten moeten in de oven of in de pan worden gebakken, maar andere verpakkingen geven aan dat het product gebakken moet worden in de friteuse, waarbij de geconsumeerde producten veel meer </w:t>
      </w:r>
      <w:r w:rsidRPr="009B21B5">
        <w:rPr>
          <w:lang w:val="nl-BE"/>
        </w:rPr>
        <w:lastRenderedPageBreak/>
        <w:t xml:space="preserve">olie opnemen. </w:t>
      </w:r>
      <w:r w:rsidRPr="009B21B5">
        <w:rPr>
          <w:b/>
          <w:bCs/>
          <w:lang w:val="nl-BE"/>
        </w:rPr>
        <w:t xml:space="preserve">Daardoor wordt bij het frituren de </w:t>
      </w:r>
      <w:proofErr w:type="spellStart"/>
      <w:r w:rsidRPr="009B21B5">
        <w:rPr>
          <w:b/>
          <w:bCs/>
          <w:lang w:val="nl-BE"/>
        </w:rPr>
        <w:t>Nutri</w:t>
      </w:r>
      <w:proofErr w:type="spellEnd"/>
      <w:r w:rsidRPr="009B21B5">
        <w:rPr>
          <w:b/>
          <w:bCs/>
          <w:lang w:val="nl-BE"/>
        </w:rPr>
        <w:t>-Score een of twee klassen verhoogd, naargelang van het type olie dat gebruikt wordt.</w:t>
      </w:r>
    </w:p>
    <w:p w14:paraId="28330D06" w14:textId="77777777" w:rsidR="000B6224" w:rsidRPr="009B21B5" w:rsidRDefault="000B6224" w:rsidP="00AD727F">
      <w:pPr>
        <w:spacing w:before="120" w:after="120" w:line="264" w:lineRule="auto"/>
        <w:jc w:val="both"/>
        <w:rPr>
          <w:lang w:val="nl-BE"/>
        </w:rPr>
      </w:pPr>
      <w:r w:rsidRPr="009B21B5">
        <w:rPr>
          <w:lang w:val="nl-BE"/>
        </w:rPr>
        <w:t xml:space="preserve">Ook voor gebakken producten die niet geconsumeerd kunnen worden zoals ze gekocht worden en waarvoor op de verpakking vermeld staat dat ze in de friteuse moeten worden gebakken, wordt aangeraden dat de producent de consumenten erop wijst dat de </w:t>
      </w:r>
      <w:proofErr w:type="spellStart"/>
      <w:r w:rsidRPr="009B21B5">
        <w:rPr>
          <w:lang w:val="nl-BE"/>
        </w:rPr>
        <w:t>Nutri</w:t>
      </w:r>
      <w:proofErr w:type="spellEnd"/>
      <w:r w:rsidRPr="009B21B5">
        <w:rPr>
          <w:lang w:val="nl-BE"/>
        </w:rPr>
        <w:t>-Score daardoor zal wijzigen, door de volgende algemene zin op de verpakking te vermelden: "</w:t>
      </w:r>
      <w:r w:rsidRPr="009B21B5">
        <w:rPr>
          <w:b/>
          <w:bCs/>
          <w:i/>
          <w:iCs/>
          <w:lang w:val="nl-BE"/>
        </w:rPr>
        <w:t xml:space="preserve">Wanneer het product in de friteuse wordt gebakken kan de </w:t>
      </w:r>
      <w:proofErr w:type="spellStart"/>
      <w:r w:rsidRPr="009B21B5">
        <w:rPr>
          <w:b/>
          <w:bCs/>
          <w:i/>
          <w:iCs/>
          <w:lang w:val="nl-BE"/>
        </w:rPr>
        <w:t>Nutri</w:t>
      </w:r>
      <w:proofErr w:type="spellEnd"/>
      <w:r w:rsidRPr="009B21B5">
        <w:rPr>
          <w:b/>
          <w:bCs/>
          <w:i/>
          <w:iCs/>
          <w:lang w:val="nl-BE"/>
        </w:rPr>
        <w:t>-Score met één letter variëren als de frituurolie weinig verzadigde vetzuren (zonnebloem- of arachideolie) bevat of met twee letters als de gebruikte frituurolie erg rijk is aan verzadigde vetzuren (kokos-, palmpitten- of palmolie).</w:t>
      </w:r>
      <w:r w:rsidRPr="009B21B5">
        <w:rPr>
          <w:lang w:val="nl-BE"/>
        </w:rPr>
        <w:t>"</w:t>
      </w:r>
    </w:p>
    <w:p w14:paraId="49875CD8" w14:textId="77777777" w:rsidR="00B96335" w:rsidRPr="009B21B5" w:rsidRDefault="00B96335" w:rsidP="00AD727F">
      <w:pPr>
        <w:spacing w:before="120" w:after="120" w:line="264" w:lineRule="auto"/>
        <w:jc w:val="both"/>
        <w:rPr>
          <w:color w:val="548DD4" w:themeColor="text2" w:themeTint="99"/>
          <w:lang w:val="nl-BE"/>
        </w:rPr>
      </w:pPr>
    </w:p>
    <w:p w14:paraId="6901B71D" w14:textId="77777777" w:rsidR="00BC40BF" w:rsidRPr="009B21B5" w:rsidRDefault="00BC40BF" w:rsidP="00AD727F">
      <w:pPr>
        <w:pStyle w:val="Titre2"/>
        <w:spacing w:line="264" w:lineRule="auto"/>
        <w:contextualSpacing w:val="0"/>
        <w:rPr>
          <w:lang w:val="nl-BE"/>
        </w:rPr>
      </w:pPr>
      <w:bookmarkStart w:id="22" w:name="_Toc83375084"/>
      <w:r w:rsidRPr="009B21B5">
        <w:rPr>
          <w:lang w:val="nl-BE"/>
        </w:rPr>
        <w:t xml:space="preserve">Wordt bij de berekening van de </w:t>
      </w:r>
      <w:proofErr w:type="spellStart"/>
      <w:r w:rsidRPr="009B21B5">
        <w:rPr>
          <w:lang w:val="nl-BE"/>
        </w:rPr>
        <w:t>Nutri</w:t>
      </w:r>
      <w:proofErr w:type="spellEnd"/>
      <w:r w:rsidRPr="009B21B5">
        <w:rPr>
          <w:lang w:val="nl-BE"/>
        </w:rPr>
        <w:t>-Score ook de opgietvloeistof meegerekend?</w:t>
      </w:r>
      <w:bookmarkEnd w:id="22"/>
    </w:p>
    <w:p w14:paraId="01DABBEA" w14:textId="77777777" w:rsidR="000F2526" w:rsidRPr="009B21B5" w:rsidRDefault="000F2526" w:rsidP="000F2526">
      <w:pPr>
        <w:spacing w:before="120" w:after="120" w:line="264" w:lineRule="auto"/>
        <w:jc w:val="both"/>
        <w:rPr>
          <w:rFonts w:cstheme="minorHAnsi"/>
          <w:lang w:val="nl-BE"/>
        </w:rPr>
      </w:pPr>
      <w:r w:rsidRPr="009B21B5">
        <w:rPr>
          <w:rFonts w:cstheme="minorHAnsi"/>
          <w:lang w:val="nl-BE"/>
        </w:rPr>
        <w:t xml:space="preserve">De voedingsscore wordt berekend op basis van de </w:t>
      </w:r>
      <w:r w:rsidRPr="009B21B5">
        <w:rPr>
          <w:rFonts w:cstheme="minorHAnsi"/>
          <w:b/>
          <w:u w:val="single"/>
          <w:lang w:val="nl-BE"/>
        </w:rPr>
        <w:t>voedingswaardegegevens voor 100 g product zoals geëtiketteerd op de verpakking</w:t>
      </w:r>
      <w:r w:rsidRPr="009B21B5">
        <w:rPr>
          <w:rFonts w:cstheme="minorHAnsi"/>
          <w:lang w:val="nl-BE"/>
        </w:rPr>
        <w:t xml:space="preserve">, waarbij de nutriënten deel uitmaken van de </w:t>
      </w:r>
      <w:r w:rsidRPr="009B21B5">
        <w:rPr>
          <w:rFonts w:cstheme="minorHAnsi"/>
          <w:b/>
          <w:u w:val="single"/>
          <w:lang w:val="nl-BE"/>
        </w:rPr>
        <w:t>verplichte voedingswaardevermelding</w:t>
      </w:r>
      <w:r w:rsidRPr="009B21B5">
        <w:rPr>
          <w:rFonts w:cstheme="minorHAnsi"/>
          <w:lang w:val="nl-BE"/>
        </w:rPr>
        <w:t xml:space="preserve"> of ze eventueel aanvullen in navolging van artikel 30 van de FIC-verordening nr. 1169/2011.</w:t>
      </w:r>
    </w:p>
    <w:p w14:paraId="3F67B475" w14:textId="3566B9D4" w:rsidR="000F2526" w:rsidRPr="009B21B5" w:rsidRDefault="000F2526" w:rsidP="000F2526">
      <w:pPr>
        <w:spacing w:before="120" w:after="120" w:line="264" w:lineRule="auto"/>
        <w:jc w:val="both"/>
        <w:rPr>
          <w:rFonts w:cstheme="minorHAnsi"/>
          <w:lang w:val="nl-BE"/>
        </w:rPr>
      </w:pPr>
      <w:r w:rsidRPr="009B21B5">
        <w:rPr>
          <w:rFonts w:cstheme="minorHAnsi"/>
          <w:lang w:val="nl-BE"/>
        </w:rPr>
        <w:t xml:space="preserve">Als de opgietvloeistof opgenomen wordt in de verplichte voedingswaardevermelding dan moet die ook opgenomen worden in de berekening van de </w:t>
      </w:r>
      <w:proofErr w:type="spellStart"/>
      <w:r w:rsidRPr="009B21B5">
        <w:rPr>
          <w:rFonts w:cstheme="minorHAnsi"/>
          <w:lang w:val="nl-BE"/>
        </w:rPr>
        <w:t>Nutri</w:t>
      </w:r>
      <w:proofErr w:type="spellEnd"/>
      <w:r w:rsidRPr="009B21B5">
        <w:rPr>
          <w:rFonts w:cstheme="minorHAnsi"/>
          <w:lang w:val="nl-BE"/>
        </w:rPr>
        <w:t xml:space="preserve">-Score en omgekeerd. Voor de berekening van het percentage 'fruit, groenten, peulvruchten, noten, koolzaad-, noten- en olijfolie' moet dezelfde basis als voor de tabel met voedingswaarden worden gebruikt. Als de opgietvloeistof is inbegrepen, moet hiermee rekening worden gehouden, maar als de voedingswaarden voor het afgetapte product worden gepresenteerd, moet het percentage worden </w:t>
      </w:r>
      <w:proofErr w:type="spellStart"/>
      <w:r w:rsidRPr="009B21B5">
        <w:rPr>
          <w:rFonts w:cstheme="minorHAnsi"/>
          <w:lang w:val="nl-BE"/>
        </w:rPr>
        <w:t>herberekend</w:t>
      </w:r>
      <w:proofErr w:type="spellEnd"/>
      <w:r w:rsidRPr="009B21B5">
        <w:rPr>
          <w:rFonts w:cstheme="minorHAnsi"/>
          <w:lang w:val="nl-BE"/>
        </w:rPr>
        <w:t xml:space="preserve"> zonder opgietvloeistof.</w:t>
      </w:r>
    </w:p>
    <w:p w14:paraId="0882CC0B" w14:textId="77777777" w:rsidR="008E12C8" w:rsidRPr="009B21B5" w:rsidRDefault="008E12C8" w:rsidP="00AD727F">
      <w:pPr>
        <w:spacing w:before="120" w:after="120" w:line="264" w:lineRule="auto"/>
        <w:rPr>
          <w:rFonts w:cstheme="minorHAnsi"/>
          <w:lang w:val="nl-BE"/>
        </w:rPr>
      </w:pPr>
    </w:p>
    <w:p w14:paraId="1CDA7CD1" w14:textId="77777777" w:rsidR="008E12C8" w:rsidRPr="009B21B5" w:rsidRDefault="008E12C8" w:rsidP="00AD727F">
      <w:pPr>
        <w:pStyle w:val="Titre2"/>
        <w:spacing w:line="264" w:lineRule="auto"/>
        <w:contextualSpacing w:val="0"/>
        <w:rPr>
          <w:lang w:val="nl-BE"/>
        </w:rPr>
      </w:pPr>
      <w:bookmarkStart w:id="23" w:name="_Toc83375085"/>
      <w:r w:rsidRPr="009B21B5">
        <w:rPr>
          <w:lang w:val="nl-BE"/>
        </w:rPr>
        <w:t>Wordt voor vloeibare etenswaren de score berekend voor 100 g of voor 100 ml?</w:t>
      </w:r>
      <w:bookmarkEnd w:id="23"/>
    </w:p>
    <w:p w14:paraId="04F327F5" w14:textId="77777777" w:rsidR="00A77CC5" w:rsidRPr="009B21B5" w:rsidRDefault="008E12C8" w:rsidP="00AD727F">
      <w:pPr>
        <w:spacing w:before="120" w:after="120" w:line="264" w:lineRule="auto"/>
        <w:jc w:val="both"/>
        <w:rPr>
          <w:rFonts w:cstheme="minorHAnsi"/>
          <w:lang w:val="nl-BE"/>
        </w:rPr>
      </w:pPr>
      <w:r w:rsidRPr="009B21B5">
        <w:rPr>
          <w:rFonts w:cstheme="minorHAnsi"/>
          <w:lang w:val="nl-BE"/>
        </w:rPr>
        <w:t>Voor vloeibare etenswaren zoals soep, olie en melk moet de gekozen waarde de eenheid zijn die in de voedingswaardevermelding wordt gebruikt, zonder omrekening van een dichtheid die niet op de verpakking staat (transparantiebeginsel t.o.v. de consument). Indien er twee waarden per 100 g en per 100 ml zijn vermeld, dan geldt die per 100 g.</w:t>
      </w:r>
    </w:p>
    <w:p w14:paraId="7F50A729" w14:textId="77777777" w:rsidR="002959C6" w:rsidRPr="009B21B5" w:rsidRDefault="002959C6" w:rsidP="00AD727F">
      <w:pPr>
        <w:spacing w:before="120" w:after="120" w:line="264" w:lineRule="auto"/>
        <w:jc w:val="both"/>
        <w:rPr>
          <w:rFonts w:cstheme="minorHAnsi"/>
          <w:color w:val="548DD4" w:themeColor="text2" w:themeTint="99"/>
          <w:lang w:val="nl-BE"/>
        </w:rPr>
      </w:pPr>
    </w:p>
    <w:p w14:paraId="5429C2D5" w14:textId="77777777" w:rsidR="00145B03" w:rsidRPr="009B21B5" w:rsidRDefault="00145B03" w:rsidP="00145B03">
      <w:pPr>
        <w:pStyle w:val="Titre2"/>
        <w:rPr>
          <w:lang w:val="nl-BE"/>
        </w:rPr>
      </w:pPr>
      <w:bookmarkStart w:id="24" w:name="_Toc83375086"/>
      <w:r w:rsidRPr="009B21B5">
        <w:rPr>
          <w:lang w:val="nl-BE"/>
        </w:rPr>
        <w:t>Waarom werd de component 'fruit, groenten, peulvruchten en noten' gewijzigd en binnen welke termijn moet men hieraan voldoen?</w:t>
      </w:r>
      <w:bookmarkEnd w:id="24"/>
    </w:p>
    <w:p w14:paraId="612457CB" w14:textId="77777777" w:rsidR="00145B03" w:rsidRPr="009B21B5" w:rsidRDefault="00145B03" w:rsidP="00145B03">
      <w:pPr>
        <w:spacing w:before="120" w:after="120" w:line="264" w:lineRule="auto"/>
        <w:jc w:val="both"/>
        <w:rPr>
          <w:lang w:val="nl-BE"/>
        </w:rPr>
      </w:pPr>
      <w:r w:rsidRPr="009B21B5">
        <w:rPr>
          <w:lang w:val="nl-BE"/>
        </w:rPr>
        <w:t>In oktober 2019 werd de component 'fruit, groenten, peulvruchten en noten' gewijzigd teneinde meer rekening te houden met de voedingsaanbevelingen met betrekking tot olie in Europa. Voortaan wordt het percentage koolzaad-, olijf- en notenolie dat aanwezig is in de producten voor de berekening van de score opgenomen in de positieve component 'fruit, groenten, peulvruchten en noten'. Door deze wijziging hebben koolzaad-, noten- en olijfolie een gelijkwaardige score: 'C-geel' in navolging van de gezondheidsaanbevelingen waarin gepleit wordt om die olie te verkiezen boven andere vetten.</w:t>
      </w:r>
    </w:p>
    <w:p w14:paraId="4A48EE99" w14:textId="77777777" w:rsidR="00145B03" w:rsidRPr="009B21B5" w:rsidRDefault="00145B03" w:rsidP="00145B03">
      <w:pPr>
        <w:spacing w:before="120" w:after="120" w:line="264" w:lineRule="auto"/>
        <w:jc w:val="both"/>
        <w:rPr>
          <w:lang w:val="nl-BE"/>
        </w:rPr>
      </w:pPr>
      <w:r w:rsidRPr="009B21B5">
        <w:rPr>
          <w:lang w:val="nl-BE"/>
        </w:rPr>
        <w:t xml:space="preserve">Het gebruiksreglement bepaalt het volgende: "De handelaar beschikt over een redelijke termijn die, desgevallend, door Santé </w:t>
      </w:r>
      <w:proofErr w:type="spellStart"/>
      <w:r w:rsidRPr="009B21B5">
        <w:rPr>
          <w:lang w:val="nl-BE"/>
        </w:rPr>
        <w:t>publique</w:t>
      </w:r>
      <w:proofErr w:type="spellEnd"/>
      <w:r w:rsidRPr="009B21B5">
        <w:rPr>
          <w:lang w:val="nl-BE"/>
        </w:rPr>
        <w:t xml:space="preserve"> France wordt vastgesteld om zich in regel te stellen met de nieuwe bepalingen uit het gebruiksreglement." Die termijn is nog niet vastgelegd om de betrokken handelaren de tijd te geven om de nodige aanpassingen te doen. Het is dus mogelijk dat dezelfde olie (bv. olijfolie) gedurende die periode op sommige flessen een 'C-geel'-score heeft en op andere een 'D-oranje'-score, totdat de nieuwe 'C-geel'-etiketten in gebruik zullen worden genomen.</w:t>
      </w:r>
    </w:p>
    <w:p w14:paraId="6AF633FA" w14:textId="77777777" w:rsidR="00145B03" w:rsidRPr="009B21B5" w:rsidRDefault="00145B03" w:rsidP="00AD727F">
      <w:pPr>
        <w:spacing w:before="120" w:after="120" w:line="264" w:lineRule="auto"/>
        <w:jc w:val="both"/>
        <w:rPr>
          <w:rFonts w:cstheme="minorHAnsi"/>
          <w:color w:val="548DD4" w:themeColor="text2" w:themeTint="99"/>
          <w:lang w:val="nl-BE"/>
        </w:rPr>
      </w:pPr>
    </w:p>
    <w:p w14:paraId="0234FA35" w14:textId="77777777" w:rsidR="00EA77EB" w:rsidRPr="009B21B5" w:rsidRDefault="00EA77EB" w:rsidP="00AD727F">
      <w:pPr>
        <w:spacing w:before="120" w:after="120" w:line="264" w:lineRule="auto"/>
        <w:jc w:val="both"/>
        <w:rPr>
          <w:rFonts w:cstheme="minorHAnsi"/>
          <w:color w:val="548DD4" w:themeColor="text2" w:themeTint="99"/>
          <w:lang w:val="nl-BE"/>
        </w:rPr>
      </w:pPr>
    </w:p>
    <w:p w14:paraId="456F6472" w14:textId="77777777" w:rsidR="00841646" w:rsidRPr="009B21B5" w:rsidRDefault="00841646" w:rsidP="00AD727F">
      <w:pPr>
        <w:pStyle w:val="Titre1"/>
        <w:spacing w:before="120" w:after="120" w:line="264" w:lineRule="auto"/>
        <w:rPr>
          <w:lang w:val="nl-BE"/>
        </w:rPr>
      </w:pPr>
      <w:bookmarkStart w:id="25" w:name="_Toc501465201"/>
      <w:bookmarkStart w:id="26" w:name="_Toc83375087"/>
      <w:r w:rsidRPr="009B21B5">
        <w:rPr>
          <w:lang w:val="nl-BE"/>
        </w:rPr>
        <w:t>Aanpassing van de score voor bepaalde etenswaren en dranken</w:t>
      </w:r>
      <w:bookmarkEnd w:id="25"/>
      <w:bookmarkEnd w:id="26"/>
    </w:p>
    <w:p w14:paraId="5D6D5529" w14:textId="77777777" w:rsidR="00841646" w:rsidRPr="009B21B5" w:rsidRDefault="00841646" w:rsidP="00AD727F">
      <w:pPr>
        <w:pStyle w:val="Titre2"/>
        <w:spacing w:line="264" w:lineRule="auto"/>
        <w:contextualSpacing w:val="0"/>
        <w:rPr>
          <w:lang w:val="nl-BE"/>
        </w:rPr>
      </w:pPr>
      <w:bookmarkStart w:id="27" w:name="_Toc501465202"/>
      <w:bookmarkStart w:id="28" w:name="_Toc83375088"/>
      <w:r w:rsidRPr="009B21B5">
        <w:rPr>
          <w:lang w:val="nl-BE"/>
        </w:rPr>
        <w:t xml:space="preserve">Voor welke toegevoegde vetten geldt de aangepaste </w:t>
      </w:r>
      <w:proofErr w:type="spellStart"/>
      <w:r w:rsidRPr="009B21B5">
        <w:rPr>
          <w:lang w:val="nl-BE"/>
        </w:rPr>
        <w:t>Nutri</w:t>
      </w:r>
      <w:proofErr w:type="spellEnd"/>
      <w:r w:rsidRPr="009B21B5">
        <w:rPr>
          <w:lang w:val="nl-BE"/>
        </w:rPr>
        <w:t>-Score?</w:t>
      </w:r>
      <w:bookmarkEnd w:id="27"/>
      <w:bookmarkEnd w:id="28"/>
      <w:r w:rsidRPr="009B21B5">
        <w:rPr>
          <w:lang w:val="nl-BE"/>
        </w:rPr>
        <w:t xml:space="preserve">  </w:t>
      </w:r>
    </w:p>
    <w:p w14:paraId="4668FE61" w14:textId="129698BA" w:rsidR="00841646" w:rsidRPr="009B21B5" w:rsidRDefault="00841646" w:rsidP="00AD727F">
      <w:pPr>
        <w:spacing w:before="120" w:after="120" w:line="264" w:lineRule="auto"/>
        <w:jc w:val="both"/>
        <w:rPr>
          <w:rFonts w:eastAsia="Times New Roman" w:cstheme="minorHAnsi"/>
          <w:lang w:val="nl-BE"/>
        </w:rPr>
      </w:pPr>
      <w:r w:rsidRPr="009B21B5">
        <w:rPr>
          <w:rFonts w:eastAsia="Times New Roman" w:cstheme="minorHAnsi"/>
          <w:color w:val="00B0F0"/>
          <w:lang w:val="nl-BE"/>
        </w:rPr>
        <w:t xml:space="preserve">'Toegevoegde vetten' zijn de vetten die verkocht worden als afgewerkte producten en niet de vetten gebruikt als ingrediënten in een recept. </w:t>
      </w:r>
      <w:r w:rsidRPr="009B21B5">
        <w:rPr>
          <w:rFonts w:eastAsia="Times New Roman" w:cstheme="minorHAnsi"/>
          <w:lang w:val="nl-BE"/>
        </w:rPr>
        <w:t xml:space="preserve">Het gaat hier om </w:t>
      </w:r>
      <w:r w:rsidRPr="009B21B5">
        <w:rPr>
          <w:rFonts w:eastAsia="Times New Roman" w:cstheme="minorHAnsi"/>
          <w:b/>
          <w:lang w:val="nl-BE"/>
        </w:rPr>
        <w:t>plantaardige oliën, margarine, boter, room en melkspecialiteiten die als vetten worden gebruikt</w:t>
      </w:r>
      <w:r w:rsidRPr="009B21B5">
        <w:rPr>
          <w:rFonts w:eastAsia="Times New Roman" w:cstheme="minorHAnsi"/>
          <w:lang w:val="nl-BE"/>
        </w:rPr>
        <w:t>.</w:t>
      </w:r>
    </w:p>
    <w:p w14:paraId="44F3AC13" w14:textId="75E70C61" w:rsidR="00B07149" w:rsidRPr="009B21B5" w:rsidRDefault="004C415E" w:rsidP="00AD727F">
      <w:pPr>
        <w:spacing w:before="120" w:after="120" w:line="264" w:lineRule="auto"/>
        <w:jc w:val="both"/>
        <w:rPr>
          <w:lang w:val="nl-BE"/>
        </w:rPr>
      </w:pPr>
      <w:r w:rsidRPr="009B21B5">
        <w:rPr>
          <w:lang w:val="nl-BE"/>
        </w:rPr>
        <w:t>Culinaire plantaardige bereidingen (bv. op basis van soja, kokos ...) en slagroom worden ook als toegevoegde vetten beschouwd.</w:t>
      </w:r>
    </w:p>
    <w:p w14:paraId="366DC308" w14:textId="770C45C6" w:rsidR="0050175E" w:rsidRPr="009B21B5" w:rsidRDefault="0050175E" w:rsidP="00AD727F">
      <w:pPr>
        <w:spacing w:before="120" w:after="120" w:line="264" w:lineRule="auto"/>
        <w:jc w:val="both"/>
        <w:rPr>
          <w:color w:val="00B0F0"/>
          <w:lang w:val="nl-BE"/>
        </w:rPr>
      </w:pPr>
      <w:r w:rsidRPr="009B21B5">
        <w:rPr>
          <w:color w:val="00B0F0"/>
          <w:lang w:val="nl-BE"/>
        </w:rPr>
        <w:t>Koude geëmulgeerde sauzen zoals mayonaise of cocktailsaus worden niet in aanmerking genomen voor het aangepaste algoritme voor toegevoegde vetten.</w:t>
      </w:r>
    </w:p>
    <w:p w14:paraId="531D30C3" w14:textId="5B6BBF98" w:rsidR="00841646" w:rsidRPr="009B21B5" w:rsidRDefault="00B07149" w:rsidP="00AD727F">
      <w:pPr>
        <w:spacing w:before="120" w:after="120" w:line="264" w:lineRule="auto"/>
        <w:jc w:val="both"/>
        <w:rPr>
          <w:rFonts w:eastAsia="Times New Roman" w:cstheme="minorHAnsi"/>
          <w:lang w:val="nl-BE"/>
        </w:rPr>
      </w:pPr>
      <w:r w:rsidRPr="009B21B5">
        <w:rPr>
          <w:color w:val="00B0F0"/>
          <w:lang w:val="nl-BE"/>
        </w:rPr>
        <w:t xml:space="preserve">Ook room (of boter, of zonnebloemolie ...) verwerkt in een recept wordt opgenomen in de berekening van de totaalscore van het recept, gebaseerd op de voedingswaardevermelding voor 100 g voedingsmiddel. Recepten worden immers in hun geheel beschouwd, als een mengeling van ingrediënten, waaronder dus ook eventuele vetten. </w:t>
      </w:r>
      <w:r w:rsidR="00841646" w:rsidRPr="009B21B5">
        <w:rPr>
          <w:rFonts w:eastAsia="Times New Roman" w:cstheme="minorHAnsi"/>
          <w:lang w:val="nl-BE"/>
        </w:rPr>
        <w:t>De score geldt voor de uiteindelijke samenstelling. Net zoals voor vetten wordt ook kaas (net zoals toegevoegde vetten een uitzondering in de berekening van de score), wanneer het verwerkt is in een recept, niet apart in aanmerking genomen.</w:t>
      </w:r>
    </w:p>
    <w:p w14:paraId="21E49D35" w14:textId="77777777" w:rsidR="00841646" w:rsidRPr="009B21B5" w:rsidRDefault="00841646" w:rsidP="00AD727F">
      <w:pPr>
        <w:spacing w:before="120" w:after="120" w:line="264" w:lineRule="auto"/>
        <w:rPr>
          <w:rFonts w:eastAsia="Times New Roman"/>
          <w:sz w:val="16"/>
          <w:szCs w:val="16"/>
          <w:lang w:val="nl-BE"/>
        </w:rPr>
      </w:pPr>
    </w:p>
    <w:p w14:paraId="5A6FB11A" w14:textId="77777777" w:rsidR="00841646" w:rsidRPr="009B21B5" w:rsidRDefault="00841646" w:rsidP="00AD727F">
      <w:pPr>
        <w:pStyle w:val="Titre2"/>
        <w:spacing w:line="264" w:lineRule="auto"/>
        <w:contextualSpacing w:val="0"/>
        <w:rPr>
          <w:lang w:val="nl-BE"/>
        </w:rPr>
      </w:pPr>
      <w:bookmarkStart w:id="29" w:name="_Toc501465203"/>
      <w:bookmarkStart w:id="30" w:name="_Toc83375089"/>
      <w:r w:rsidRPr="009B21B5">
        <w:rPr>
          <w:lang w:val="nl-BE"/>
        </w:rPr>
        <w:t xml:space="preserve">Welke kazen komen in aanmerking voor de aangepaste </w:t>
      </w:r>
      <w:proofErr w:type="spellStart"/>
      <w:r w:rsidRPr="009B21B5">
        <w:rPr>
          <w:lang w:val="nl-BE"/>
        </w:rPr>
        <w:t>Nutri</w:t>
      </w:r>
      <w:proofErr w:type="spellEnd"/>
      <w:r w:rsidRPr="009B21B5">
        <w:rPr>
          <w:lang w:val="nl-BE"/>
        </w:rPr>
        <w:t>-Score?</w:t>
      </w:r>
      <w:bookmarkEnd w:id="29"/>
      <w:bookmarkEnd w:id="30"/>
    </w:p>
    <w:p w14:paraId="09EA0ACA" w14:textId="77777777" w:rsidR="00841646" w:rsidRPr="009B21B5" w:rsidRDefault="00B15DBD" w:rsidP="00AD727F">
      <w:pPr>
        <w:spacing w:before="120" w:after="120" w:line="264" w:lineRule="auto"/>
        <w:jc w:val="both"/>
        <w:rPr>
          <w:rFonts w:cstheme="minorHAnsi"/>
          <w:lang w:val="nl-BE"/>
        </w:rPr>
      </w:pPr>
      <w:r w:rsidRPr="009B21B5">
        <w:rPr>
          <w:rFonts w:cstheme="minorHAnsi"/>
          <w:lang w:val="nl-BE"/>
        </w:rPr>
        <w:t xml:space="preserve">Worden beschouwd als kazen, op grond van het Franse besluit 2007-628, voor de berekening van de aangepaste </w:t>
      </w:r>
      <w:proofErr w:type="spellStart"/>
      <w:r w:rsidRPr="009B21B5">
        <w:rPr>
          <w:rFonts w:cstheme="minorHAnsi"/>
          <w:lang w:val="nl-BE"/>
        </w:rPr>
        <w:t>Nutri</w:t>
      </w:r>
      <w:proofErr w:type="spellEnd"/>
      <w:r w:rsidRPr="009B21B5">
        <w:rPr>
          <w:rFonts w:cstheme="minorHAnsi"/>
          <w:lang w:val="nl-BE"/>
        </w:rPr>
        <w:t>-Score:</w:t>
      </w:r>
    </w:p>
    <w:p w14:paraId="72ACA0C6"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proofErr w:type="spellStart"/>
      <w:r w:rsidRPr="004D06A1">
        <w:rPr>
          <w:rFonts w:cstheme="minorHAnsi"/>
          <w:b/>
        </w:rPr>
        <w:t>Kazen</w:t>
      </w:r>
      <w:proofErr w:type="spellEnd"/>
    </w:p>
    <w:p w14:paraId="63A0D160" w14:textId="77777777" w:rsidR="00841646" w:rsidRPr="004D06A1" w:rsidRDefault="00841646" w:rsidP="00AD727F">
      <w:pPr>
        <w:pStyle w:val="Paragraphedeliste"/>
        <w:numPr>
          <w:ilvl w:val="0"/>
          <w:numId w:val="5"/>
        </w:numPr>
        <w:spacing w:before="120" w:after="120" w:line="264" w:lineRule="auto"/>
        <w:ind w:left="714" w:hanging="357"/>
        <w:rPr>
          <w:rFonts w:cstheme="minorHAnsi"/>
          <w:b/>
        </w:rPr>
      </w:pPr>
      <w:proofErr w:type="spellStart"/>
      <w:r w:rsidRPr="004D06A1">
        <w:rPr>
          <w:rFonts w:cstheme="minorHAnsi"/>
          <w:b/>
        </w:rPr>
        <w:t>Verwerkte</w:t>
      </w:r>
      <w:proofErr w:type="spellEnd"/>
      <w:r w:rsidRPr="004D06A1">
        <w:rPr>
          <w:rFonts w:cstheme="minorHAnsi"/>
          <w:b/>
        </w:rPr>
        <w:t xml:space="preserve"> </w:t>
      </w:r>
      <w:proofErr w:type="spellStart"/>
      <w:r w:rsidRPr="004D06A1">
        <w:rPr>
          <w:rFonts w:cstheme="minorHAnsi"/>
          <w:b/>
        </w:rPr>
        <w:t>kazen</w:t>
      </w:r>
      <w:proofErr w:type="spellEnd"/>
    </w:p>
    <w:p w14:paraId="2B8D3D0C" w14:textId="77777777" w:rsidR="00841646" w:rsidRDefault="00841646" w:rsidP="00AD727F">
      <w:pPr>
        <w:pStyle w:val="Paragraphedeliste"/>
        <w:numPr>
          <w:ilvl w:val="0"/>
          <w:numId w:val="5"/>
        </w:numPr>
        <w:spacing w:before="120" w:after="120" w:line="264" w:lineRule="auto"/>
        <w:ind w:left="714" w:hanging="357"/>
        <w:rPr>
          <w:rFonts w:cstheme="minorHAnsi"/>
          <w:b/>
        </w:rPr>
      </w:pPr>
      <w:proofErr w:type="spellStart"/>
      <w:r w:rsidRPr="004D06A1">
        <w:rPr>
          <w:rFonts w:cstheme="minorHAnsi"/>
          <w:b/>
        </w:rPr>
        <w:t>Kaasspecialiteiten</w:t>
      </w:r>
      <w:proofErr w:type="spellEnd"/>
    </w:p>
    <w:p w14:paraId="646BC1C9" w14:textId="77777777" w:rsidR="00B96335" w:rsidRDefault="00B96335" w:rsidP="00AD727F">
      <w:pPr>
        <w:pStyle w:val="Paragraphedeliste"/>
        <w:spacing w:before="120" w:after="120" w:line="264" w:lineRule="auto"/>
        <w:ind w:left="714"/>
        <w:rPr>
          <w:rFonts w:cstheme="minorHAnsi"/>
          <w:b/>
        </w:rPr>
      </w:pPr>
    </w:p>
    <w:p w14:paraId="14F6205A" w14:textId="77777777" w:rsidR="003E4456" w:rsidRPr="009B21B5" w:rsidRDefault="00841646" w:rsidP="00AD727F">
      <w:pPr>
        <w:spacing w:before="120" w:after="120" w:line="264" w:lineRule="auto"/>
        <w:jc w:val="both"/>
        <w:rPr>
          <w:rFonts w:cstheme="minorHAnsi"/>
          <w:i/>
          <w:lang w:val="nl-BE"/>
        </w:rPr>
      </w:pPr>
      <w:r w:rsidRPr="009B21B5">
        <w:rPr>
          <w:rFonts w:cstheme="minorHAnsi"/>
          <w:i/>
          <w:lang w:val="nl-BE"/>
        </w:rPr>
        <w:t xml:space="preserve">Worden daarentegen </w:t>
      </w:r>
      <w:r w:rsidR="003E4456" w:rsidRPr="009B21B5">
        <w:rPr>
          <w:rFonts w:cstheme="minorHAnsi"/>
          <w:b/>
          <w:i/>
          <w:u w:val="single"/>
          <w:lang w:val="nl-BE"/>
        </w:rPr>
        <w:t>niet</w:t>
      </w:r>
      <w:r w:rsidR="003E4456" w:rsidRPr="009B21B5">
        <w:rPr>
          <w:rFonts w:cstheme="minorHAnsi"/>
          <w:b/>
          <w:i/>
          <w:u w:val="double"/>
          <w:lang w:val="nl-BE"/>
        </w:rPr>
        <w:t xml:space="preserve"> beschouwd</w:t>
      </w:r>
      <w:r w:rsidR="003E4456" w:rsidRPr="009B21B5">
        <w:rPr>
          <w:rFonts w:cstheme="minorHAnsi"/>
          <w:i/>
          <w:lang w:val="nl-BE"/>
        </w:rPr>
        <w:t xml:space="preserve"> als kazen voor de berekening van de </w:t>
      </w:r>
      <w:proofErr w:type="spellStart"/>
      <w:r w:rsidR="003E4456" w:rsidRPr="009B21B5">
        <w:rPr>
          <w:rFonts w:cstheme="minorHAnsi"/>
          <w:i/>
          <w:lang w:val="nl-BE"/>
        </w:rPr>
        <w:t>Nutri</w:t>
      </w:r>
      <w:proofErr w:type="spellEnd"/>
      <w:r w:rsidR="003E4456" w:rsidRPr="009B21B5">
        <w:rPr>
          <w:rFonts w:cstheme="minorHAnsi"/>
          <w:i/>
          <w:lang w:val="nl-BE"/>
        </w:rPr>
        <w:t>-Score:</w:t>
      </w:r>
    </w:p>
    <w:p w14:paraId="4143D87D" w14:textId="4F76FDC2" w:rsidR="00841646" w:rsidRPr="009B21B5" w:rsidRDefault="00841646" w:rsidP="00AD727F">
      <w:pPr>
        <w:pStyle w:val="Paragraphedeliste"/>
        <w:numPr>
          <w:ilvl w:val="0"/>
          <w:numId w:val="5"/>
        </w:numPr>
        <w:spacing w:before="120" w:after="120" w:line="264" w:lineRule="auto"/>
        <w:ind w:left="714" w:hanging="357"/>
        <w:rPr>
          <w:rFonts w:cstheme="minorHAnsi"/>
          <w:i/>
          <w:lang w:val="nl-BE"/>
        </w:rPr>
      </w:pPr>
      <w:r w:rsidRPr="009B21B5">
        <w:rPr>
          <w:rFonts w:cstheme="minorHAnsi"/>
          <w:b/>
          <w:i/>
          <w:lang w:val="nl-BE"/>
        </w:rPr>
        <w:t>Kwark</w:t>
      </w:r>
      <w:r w:rsidRPr="009B21B5">
        <w:rPr>
          <w:rFonts w:cstheme="minorHAnsi"/>
          <w:i/>
          <w:lang w:val="nl-BE"/>
        </w:rPr>
        <w:t>. De berekening voor deze productcategorie gebeurt hoe dan ook strikt identiek of het nu om een kaas gaat of niet, want deze producten hebben zelden een score hoger dan 11 voor hun zogeheten 'negatieve' component, wat maakt dat hun eiwitgehalte wordt meegerekend.</w:t>
      </w:r>
    </w:p>
    <w:p w14:paraId="62D50B4D" w14:textId="3368EC66" w:rsidR="003E4456" w:rsidRDefault="003E4456" w:rsidP="00AD727F">
      <w:pPr>
        <w:pStyle w:val="Paragraphedeliste"/>
        <w:numPr>
          <w:ilvl w:val="0"/>
          <w:numId w:val="5"/>
        </w:numPr>
        <w:spacing w:before="120" w:after="120" w:line="264" w:lineRule="auto"/>
        <w:ind w:left="714" w:hanging="357"/>
        <w:rPr>
          <w:rFonts w:cstheme="minorHAnsi"/>
          <w:i/>
        </w:rPr>
      </w:pPr>
      <w:proofErr w:type="spellStart"/>
      <w:r w:rsidRPr="004D4E9A">
        <w:rPr>
          <w:rFonts w:cstheme="minorHAnsi"/>
          <w:b/>
          <w:i/>
        </w:rPr>
        <w:t>Plantaardige</w:t>
      </w:r>
      <w:proofErr w:type="spellEnd"/>
      <w:r w:rsidRPr="004D4E9A">
        <w:rPr>
          <w:rFonts w:cstheme="minorHAnsi"/>
          <w:b/>
          <w:i/>
        </w:rPr>
        <w:t xml:space="preserve"> </w:t>
      </w:r>
      <w:proofErr w:type="spellStart"/>
      <w:r w:rsidRPr="004D4E9A">
        <w:rPr>
          <w:rFonts w:cstheme="minorHAnsi"/>
          <w:b/>
          <w:i/>
        </w:rPr>
        <w:t>smeerbare</w:t>
      </w:r>
      <w:proofErr w:type="spellEnd"/>
      <w:r w:rsidRPr="004D4E9A">
        <w:rPr>
          <w:rFonts w:cstheme="minorHAnsi"/>
          <w:b/>
          <w:i/>
        </w:rPr>
        <w:t xml:space="preserve"> </w:t>
      </w:r>
      <w:proofErr w:type="spellStart"/>
      <w:r w:rsidRPr="004D4E9A">
        <w:rPr>
          <w:rFonts w:cstheme="minorHAnsi"/>
          <w:b/>
          <w:i/>
        </w:rPr>
        <w:t>specialiteiten</w:t>
      </w:r>
      <w:proofErr w:type="spellEnd"/>
      <w:r w:rsidR="00F7615D" w:rsidRPr="004D4E9A">
        <w:rPr>
          <w:rFonts w:cstheme="minorHAnsi"/>
          <w:i/>
        </w:rPr>
        <w:t>.</w:t>
      </w:r>
    </w:p>
    <w:p w14:paraId="221F6549" w14:textId="77777777" w:rsidR="0037773F" w:rsidRPr="004D4E9A" w:rsidRDefault="0037773F" w:rsidP="0037773F">
      <w:pPr>
        <w:pStyle w:val="Paragraphedeliste"/>
        <w:spacing w:before="120" w:after="120" w:line="264" w:lineRule="auto"/>
        <w:ind w:left="714"/>
        <w:rPr>
          <w:rFonts w:cstheme="minorHAnsi"/>
          <w:i/>
        </w:rPr>
      </w:pPr>
    </w:p>
    <w:p w14:paraId="297D72F8" w14:textId="77777777" w:rsidR="00841646" w:rsidRPr="009B21B5" w:rsidRDefault="00841646" w:rsidP="00AD727F">
      <w:pPr>
        <w:pStyle w:val="Titre2"/>
        <w:spacing w:line="264" w:lineRule="auto"/>
        <w:contextualSpacing w:val="0"/>
        <w:rPr>
          <w:lang w:val="nl-BE"/>
        </w:rPr>
      </w:pPr>
      <w:bookmarkStart w:id="31" w:name="_Toc501465204"/>
      <w:bookmarkStart w:id="32" w:name="_Toc83375090"/>
      <w:r w:rsidRPr="009B21B5">
        <w:rPr>
          <w:lang w:val="nl-BE"/>
        </w:rPr>
        <w:t xml:space="preserve">Welke dranken komen in aanmerking voor de aangepaste </w:t>
      </w:r>
      <w:proofErr w:type="spellStart"/>
      <w:r w:rsidRPr="009B21B5">
        <w:rPr>
          <w:lang w:val="nl-BE"/>
        </w:rPr>
        <w:t>Nutri</w:t>
      </w:r>
      <w:proofErr w:type="spellEnd"/>
      <w:r w:rsidRPr="009B21B5">
        <w:rPr>
          <w:lang w:val="nl-BE"/>
        </w:rPr>
        <w:t>-Score?</w:t>
      </w:r>
      <w:bookmarkEnd w:id="31"/>
      <w:bookmarkEnd w:id="32"/>
    </w:p>
    <w:p w14:paraId="4CB05894" w14:textId="77777777" w:rsidR="00841646" w:rsidRPr="009B21B5" w:rsidRDefault="00841646" w:rsidP="00AD727F">
      <w:pPr>
        <w:spacing w:before="120" w:after="120" w:line="264" w:lineRule="auto"/>
        <w:jc w:val="both"/>
        <w:rPr>
          <w:rFonts w:cstheme="minorHAnsi"/>
          <w:b/>
          <w:lang w:val="nl-BE"/>
        </w:rPr>
      </w:pPr>
      <w:r w:rsidRPr="009B21B5">
        <w:rPr>
          <w:rFonts w:cstheme="minorHAnsi"/>
          <w:lang w:val="nl-BE"/>
        </w:rPr>
        <w:t xml:space="preserve">De aangepaste </w:t>
      </w:r>
      <w:proofErr w:type="spellStart"/>
      <w:r w:rsidRPr="009B21B5">
        <w:rPr>
          <w:rFonts w:cstheme="minorHAnsi"/>
          <w:lang w:val="nl-BE"/>
        </w:rPr>
        <w:t>Nutri</w:t>
      </w:r>
      <w:proofErr w:type="spellEnd"/>
      <w:r w:rsidRPr="009B21B5">
        <w:rPr>
          <w:rFonts w:cstheme="minorHAnsi"/>
          <w:lang w:val="nl-BE"/>
        </w:rPr>
        <w:t xml:space="preserve">-Score </w:t>
      </w:r>
      <w:r w:rsidRPr="009B21B5">
        <w:rPr>
          <w:rFonts w:cstheme="minorHAnsi"/>
          <w:u w:val="single"/>
          <w:lang w:val="nl-BE"/>
        </w:rPr>
        <w:t>geldt</w:t>
      </w:r>
      <w:r w:rsidRPr="009B21B5">
        <w:rPr>
          <w:rFonts w:cstheme="minorHAnsi"/>
          <w:lang w:val="nl-BE"/>
        </w:rPr>
        <w:t xml:space="preserve"> voor de volgende dranken </w:t>
      </w:r>
      <w:r w:rsidRPr="009B21B5">
        <w:rPr>
          <w:rFonts w:cstheme="minorHAnsi"/>
          <w:b/>
          <w:lang w:val="nl-BE"/>
        </w:rPr>
        <w:t>indien ze een voedingswaardevermelding dragen</w:t>
      </w:r>
      <w:r w:rsidRPr="009B21B5">
        <w:rPr>
          <w:rFonts w:cstheme="minorHAnsi"/>
          <w:lang w:val="nl-BE"/>
        </w:rPr>
        <w:t xml:space="preserve">, uitgezonderd gebotteld water waarvoor geen verplichte voedingswaardevermelding geldt, om de </w:t>
      </w:r>
      <w:proofErr w:type="spellStart"/>
      <w:r w:rsidRPr="009B21B5">
        <w:rPr>
          <w:rFonts w:cstheme="minorHAnsi"/>
          <w:lang w:val="nl-BE"/>
        </w:rPr>
        <w:t>Nutri</w:t>
      </w:r>
      <w:proofErr w:type="spellEnd"/>
      <w:r w:rsidRPr="009B21B5">
        <w:rPr>
          <w:rFonts w:cstheme="minorHAnsi"/>
          <w:lang w:val="nl-BE"/>
        </w:rPr>
        <w:t>-Score A/donkergroen aan te brengen:</w:t>
      </w:r>
    </w:p>
    <w:p w14:paraId="2443005B" w14:textId="77777777" w:rsidR="005C3B97" w:rsidRPr="009B21B5" w:rsidRDefault="00841646" w:rsidP="00AD727F">
      <w:pPr>
        <w:pStyle w:val="Paragraphedeliste"/>
        <w:numPr>
          <w:ilvl w:val="0"/>
          <w:numId w:val="5"/>
        </w:numPr>
        <w:spacing w:before="120" w:after="120" w:line="264" w:lineRule="auto"/>
        <w:ind w:left="714" w:hanging="357"/>
        <w:rPr>
          <w:rFonts w:cstheme="minorHAnsi"/>
          <w:b/>
          <w:lang w:val="nl-BE"/>
        </w:rPr>
      </w:pPr>
      <w:r w:rsidRPr="009B21B5">
        <w:rPr>
          <w:rFonts w:cstheme="minorHAnsi"/>
          <w:b/>
          <w:lang w:val="nl-BE"/>
        </w:rPr>
        <w:t>Mineraal- en bronwaters</w:t>
      </w:r>
      <w:r w:rsidR="005C3B97" w:rsidRPr="009B21B5">
        <w:rPr>
          <w:rFonts w:cstheme="minorHAnsi"/>
          <w:lang w:val="nl-BE"/>
        </w:rPr>
        <w:t xml:space="preserve"> (score A - donkergroene kleur);</w:t>
      </w:r>
    </w:p>
    <w:p w14:paraId="39716DB0" w14:textId="77777777" w:rsidR="00841646" w:rsidRPr="009B21B5" w:rsidRDefault="005C3B97" w:rsidP="00AD727F">
      <w:pPr>
        <w:pStyle w:val="Paragraphedeliste"/>
        <w:numPr>
          <w:ilvl w:val="0"/>
          <w:numId w:val="5"/>
        </w:numPr>
        <w:spacing w:before="120" w:after="120" w:line="264" w:lineRule="auto"/>
        <w:ind w:left="714" w:hanging="357"/>
        <w:rPr>
          <w:rFonts w:cstheme="minorHAnsi"/>
          <w:b/>
          <w:lang w:val="nl-BE"/>
        </w:rPr>
      </w:pPr>
      <w:r w:rsidRPr="009B21B5">
        <w:rPr>
          <w:rFonts w:cstheme="minorHAnsi"/>
          <w:b/>
          <w:lang w:val="nl-BE"/>
        </w:rPr>
        <w:t xml:space="preserve">Gearomatiseerde waters (met of zonder toegevoegde suikers). </w:t>
      </w:r>
      <w:r w:rsidR="00DE0AFE" w:rsidRPr="009B21B5">
        <w:rPr>
          <w:rFonts w:cstheme="minorHAnsi"/>
          <w:lang w:val="nl-BE"/>
        </w:rPr>
        <w:t xml:space="preserve">Die categorie valt niet in de categorie mineraal- en bronwater en kan niet worden geclassificeerd met een </w:t>
      </w:r>
      <w:proofErr w:type="spellStart"/>
      <w:r w:rsidR="00DE0AFE" w:rsidRPr="009B21B5">
        <w:rPr>
          <w:rFonts w:cstheme="minorHAnsi"/>
          <w:lang w:val="nl-BE"/>
        </w:rPr>
        <w:t>Nutri</w:t>
      </w:r>
      <w:proofErr w:type="spellEnd"/>
      <w:r w:rsidR="00DE0AFE" w:rsidRPr="009B21B5">
        <w:rPr>
          <w:rFonts w:cstheme="minorHAnsi"/>
          <w:lang w:val="nl-BE"/>
        </w:rPr>
        <w:t>-Score A;</w:t>
      </w:r>
    </w:p>
    <w:p w14:paraId="4F89CF7B" w14:textId="77777777" w:rsidR="00841646" w:rsidRDefault="00841646" w:rsidP="00AD727F">
      <w:pPr>
        <w:pStyle w:val="Paragraphedeliste"/>
        <w:numPr>
          <w:ilvl w:val="0"/>
          <w:numId w:val="5"/>
        </w:numPr>
        <w:spacing w:before="120" w:after="120" w:line="264" w:lineRule="auto"/>
        <w:ind w:left="714" w:hanging="357"/>
        <w:rPr>
          <w:rFonts w:cstheme="minorHAnsi"/>
          <w:b/>
        </w:rPr>
      </w:pPr>
      <w:proofErr w:type="spellStart"/>
      <w:r w:rsidRPr="004D06A1">
        <w:rPr>
          <w:rFonts w:cstheme="minorHAnsi"/>
          <w:b/>
        </w:rPr>
        <w:lastRenderedPageBreak/>
        <w:t>Vruchtensappen</w:t>
      </w:r>
      <w:proofErr w:type="spellEnd"/>
      <w:r w:rsidRPr="004D06A1">
        <w:rPr>
          <w:rFonts w:cstheme="minorHAnsi"/>
          <w:b/>
        </w:rPr>
        <w:t>, nectars en smoothies;</w:t>
      </w:r>
    </w:p>
    <w:p w14:paraId="74E973A7" w14:textId="77777777" w:rsidR="005E1A5A" w:rsidRPr="004D06A1" w:rsidRDefault="005E1A5A" w:rsidP="00AD727F">
      <w:pPr>
        <w:pStyle w:val="Paragraphedeliste"/>
        <w:numPr>
          <w:ilvl w:val="0"/>
          <w:numId w:val="5"/>
        </w:numPr>
        <w:spacing w:before="120" w:after="120" w:line="264" w:lineRule="auto"/>
        <w:ind w:left="714" w:hanging="357"/>
        <w:rPr>
          <w:rFonts w:cstheme="minorHAnsi"/>
          <w:b/>
        </w:rPr>
      </w:pPr>
      <w:proofErr w:type="spellStart"/>
      <w:r>
        <w:rPr>
          <w:rFonts w:cstheme="minorHAnsi"/>
          <w:b/>
        </w:rPr>
        <w:t>Groentesappen</w:t>
      </w:r>
      <w:proofErr w:type="spellEnd"/>
      <w:r>
        <w:rPr>
          <w:rFonts w:cstheme="minorHAnsi"/>
          <w:b/>
        </w:rPr>
        <w:t>;</w:t>
      </w:r>
    </w:p>
    <w:p w14:paraId="3B06C2EE" w14:textId="77777777" w:rsidR="00841646" w:rsidRPr="009B21B5" w:rsidRDefault="00841646" w:rsidP="00AD727F">
      <w:pPr>
        <w:pStyle w:val="Paragraphedeliste"/>
        <w:numPr>
          <w:ilvl w:val="0"/>
          <w:numId w:val="5"/>
        </w:numPr>
        <w:spacing w:before="120" w:after="120" w:line="264" w:lineRule="auto"/>
        <w:ind w:left="714" w:hanging="357"/>
        <w:rPr>
          <w:rFonts w:cstheme="minorHAnsi"/>
          <w:lang w:val="nl-BE"/>
        </w:rPr>
      </w:pPr>
      <w:r w:rsidRPr="009B21B5">
        <w:rPr>
          <w:rFonts w:cstheme="minorHAnsi"/>
          <w:b/>
          <w:lang w:val="nl-BE"/>
        </w:rPr>
        <w:t>Dranken die suiker en/of toegevoegde zoetstoffen bevatten</w:t>
      </w:r>
      <w:r w:rsidRPr="009B21B5">
        <w:rPr>
          <w:rFonts w:cstheme="minorHAnsi"/>
          <w:lang w:val="nl-BE"/>
        </w:rPr>
        <w:t>;</w:t>
      </w:r>
    </w:p>
    <w:p w14:paraId="0D7108A5" w14:textId="77777777" w:rsidR="00841646" w:rsidRPr="009B21B5" w:rsidRDefault="00841646" w:rsidP="00AD727F">
      <w:pPr>
        <w:pStyle w:val="Paragraphedeliste"/>
        <w:numPr>
          <w:ilvl w:val="0"/>
          <w:numId w:val="5"/>
        </w:numPr>
        <w:spacing w:before="120" w:after="120" w:line="264" w:lineRule="auto"/>
        <w:ind w:left="714" w:hanging="357"/>
        <w:rPr>
          <w:rFonts w:cstheme="minorHAnsi"/>
          <w:lang w:val="nl-BE"/>
        </w:rPr>
      </w:pPr>
      <w:proofErr w:type="spellStart"/>
      <w:r w:rsidRPr="009B21B5">
        <w:rPr>
          <w:rFonts w:cstheme="minorHAnsi"/>
          <w:b/>
          <w:lang w:val="nl-BE"/>
        </w:rPr>
        <w:t>Thees</w:t>
      </w:r>
      <w:proofErr w:type="spellEnd"/>
      <w:r w:rsidRPr="009B21B5">
        <w:rPr>
          <w:rFonts w:cstheme="minorHAnsi"/>
          <w:b/>
          <w:lang w:val="nl-BE"/>
        </w:rPr>
        <w:t>, infusies of koffies die uitsluitend met water zijn bereid.</w:t>
      </w:r>
    </w:p>
    <w:p w14:paraId="44654FCC" w14:textId="77777777" w:rsidR="003A702E" w:rsidRPr="009B21B5" w:rsidRDefault="003A702E" w:rsidP="00AD727F">
      <w:pPr>
        <w:spacing w:before="120" w:after="120" w:line="264" w:lineRule="auto"/>
        <w:jc w:val="both"/>
        <w:rPr>
          <w:rFonts w:cstheme="minorHAnsi"/>
          <w:lang w:val="nl-BE"/>
        </w:rPr>
      </w:pPr>
      <w:r w:rsidRPr="009B21B5">
        <w:rPr>
          <w:rFonts w:cstheme="minorHAnsi"/>
          <w:lang w:val="nl-BE"/>
        </w:rPr>
        <w:t>Het specifieke rooster voor dranken vervangt de kolommen voor energiedichtheid, suikers en fruit en groenten door de kolommen die worden gebruikt voor andere etenswaren. De overige kolommen (verzadigde vetzuren, zout, eiwitten, vezels) blijven gelijkaardig en moeten in aanmerking worden genomen.</w:t>
      </w:r>
    </w:p>
    <w:p w14:paraId="7DB3253D" w14:textId="5A8CADDC" w:rsidR="00841646" w:rsidRPr="009B21B5" w:rsidRDefault="00841646" w:rsidP="00AD727F">
      <w:pPr>
        <w:spacing w:before="120" w:after="120" w:line="264" w:lineRule="auto"/>
        <w:jc w:val="both"/>
        <w:rPr>
          <w:rFonts w:cstheme="minorHAnsi"/>
          <w:i/>
          <w:lang w:val="nl-BE"/>
        </w:rPr>
      </w:pPr>
      <w:r w:rsidRPr="009B21B5">
        <w:rPr>
          <w:rFonts w:cstheme="minorHAnsi"/>
          <w:i/>
          <w:lang w:val="nl-BE"/>
        </w:rPr>
        <w:t>Melk, drinkyoghurts, gearomatiseerde melkdranken of chocoladedranken</w:t>
      </w:r>
      <w:r w:rsidR="0030293A" w:rsidRPr="009B21B5">
        <w:rPr>
          <w:i/>
          <w:iCs/>
          <w:lang w:val="nl-BE"/>
        </w:rPr>
        <w:t xml:space="preserve"> met meer dan 80 % melk</w:t>
      </w:r>
      <w:r w:rsidRPr="009B21B5">
        <w:rPr>
          <w:rFonts w:cstheme="minorHAnsi"/>
          <w:i/>
          <w:lang w:val="nl-BE"/>
        </w:rPr>
        <w:t>, soep, gazpacho en plantaardige dranken</w:t>
      </w:r>
      <w:r w:rsidRPr="009B21B5">
        <w:rPr>
          <w:rFonts w:cstheme="minorHAnsi"/>
          <w:i/>
          <w:u w:val="single"/>
          <w:lang w:val="nl-BE"/>
        </w:rPr>
        <w:t xml:space="preserve"> worden niet beschouwd</w:t>
      </w:r>
      <w:r w:rsidRPr="009B21B5">
        <w:rPr>
          <w:rFonts w:cstheme="minorHAnsi"/>
          <w:i/>
          <w:lang w:val="nl-BE"/>
        </w:rPr>
        <w:t xml:space="preserve"> als dranken bij de berekening van de </w:t>
      </w:r>
      <w:proofErr w:type="spellStart"/>
      <w:r w:rsidRPr="009B21B5">
        <w:rPr>
          <w:rFonts w:cstheme="minorHAnsi"/>
          <w:i/>
          <w:lang w:val="nl-BE"/>
        </w:rPr>
        <w:t>Nutri</w:t>
      </w:r>
      <w:proofErr w:type="spellEnd"/>
      <w:r w:rsidRPr="009B21B5">
        <w:rPr>
          <w:rFonts w:cstheme="minorHAnsi"/>
          <w:i/>
          <w:lang w:val="nl-BE"/>
        </w:rPr>
        <w:t>-Score.</w:t>
      </w:r>
    </w:p>
    <w:p w14:paraId="5CA89716" w14:textId="51896C5F" w:rsidR="00B26239" w:rsidRPr="009B21B5" w:rsidRDefault="00B26239" w:rsidP="00AD727F">
      <w:pPr>
        <w:pStyle w:val="NormalWeb"/>
        <w:spacing w:before="120" w:beforeAutospacing="0" w:after="120" w:afterAutospacing="0" w:line="264" w:lineRule="auto"/>
        <w:jc w:val="both"/>
        <w:rPr>
          <w:rFonts w:asciiTheme="minorHAnsi" w:hAnsiTheme="minorHAnsi"/>
          <w:color w:val="auto"/>
          <w:sz w:val="22"/>
          <w:szCs w:val="22"/>
          <w:lang w:val="nl-BE"/>
        </w:rPr>
      </w:pPr>
      <w:r w:rsidRPr="009B21B5">
        <w:rPr>
          <w:rFonts w:asciiTheme="minorHAnsi" w:hAnsiTheme="minorHAnsi"/>
          <w:color w:val="auto"/>
          <w:sz w:val="22"/>
          <w:szCs w:val="22"/>
          <w:lang w:val="nl-BE"/>
        </w:rPr>
        <w:t xml:space="preserve">De berekening van de score en de toekenning van de </w:t>
      </w:r>
      <w:proofErr w:type="spellStart"/>
      <w:r w:rsidRPr="009B21B5">
        <w:rPr>
          <w:rFonts w:asciiTheme="minorHAnsi" w:hAnsiTheme="minorHAnsi"/>
          <w:color w:val="auto"/>
          <w:sz w:val="22"/>
          <w:szCs w:val="22"/>
          <w:lang w:val="nl-BE"/>
        </w:rPr>
        <w:t>Nutri</w:t>
      </w:r>
      <w:proofErr w:type="spellEnd"/>
      <w:r w:rsidRPr="009B21B5">
        <w:rPr>
          <w:rFonts w:asciiTheme="minorHAnsi" w:hAnsiTheme="minorHAnsi"/>
          <w:color w:val="auto"/>
          <w:sz w:val="22"/>
          <w:szCs w:val="22"/>
          <w:lang w:val="nl-BE"/>
        </w:rPr>
        <w:t xml:space="preserve">-Score voor melk gebeurt op basis van de berekening voor vaste producten, zodat de voedingskwaliteit van deze producten beter in aanmerking wordt genomen (in het bijzonder de aanwezigheid van eiwitten en calcium). Het lijkt dan ook essentieel dat er een goed onderscheid wordt gemaakt tussen producten die voor het merendeel bestaan uit melk en producten die er minder bevatten en die meer verwant zijn met frisdranken. Om dit onderscheid te maken is er een drempel van 80 % nodig opdat het product zou kunnen worden beschouwd als een vast product voor de berekening van de </w:t>
      </w:r>
      <w:proofErr w:type="spellStart"/>
      <w:r w:rsidRPr="009B21B5">
        <w:rPr>
          <w:rFonts w:asciiTheme="minorHAnsi" w:hAnsiTheme="minorHAnsi"/>
          <w:color w:val="auto"/>
          <w:sz w:val="22"/>
          <w:szCs w:val="22"/>
          <w:lang w:val="nl-BE"/>
        </w:rPr>
        <w:t>Nutri</w:t>
      </w:r>
      <w:proofErr w:type="spellEnd"/>
      <w:r w:rsidRPr="009B21B5">
        <w:rPr>
          <w:rFonts w:asciiTheme="minorHAnsi" w:hAnsiTheme="minorHAnsi"/>
          <w:color w:val="auto"/>
          <w:sz w:val="22"/>
          <w:szCs w:val="22"/>
          <w:lang w:val="nl-BE"/>
        </w:rPr>
        <w:t xml:space="preserve">-Score. Deze drempel werd bepaald in consensus tussen experts, om een duidelijk onderscheid te kunnen maken onder de melkproducten (inzonderheid ten aanzien van dranken van het type koffie met melk), en tegelijk ook een zekere innovatiemarge te behouden in deze sector van </w:t>
      </w:r>
      <w:r w:rsidR="00B96335" w:rsidRPr="009B21B5">
        <w:rPr>
          <w:rFonts w:asciiTheme="minorHAnsi" w:hAnsiTheme="minorHAnsi"/>
          <w:color w:val="auto"/>
          <w:sz w:val="22"/>
          <w:szCs w:val="22"/>
          <w:lang w:val="nl-BE"/>
        </w:rPr>
        <w:t>producten.</w:t>
      </w:r>
    </w:p>
    <w:p w14:paraId="4AB8FFA2" w14:textId="77777777" w:rsidR="00B96335" w:rsidRPr="009B21B5" w:rsidRDefault="00B96335" w:rsidP="00AD727F">
      <w:pPr>
        <w:pStyle w:val="NormalWeb"/>
        <w:spacing w:before="120" w:beforeAutospacing="0" w:after="120" w:afterAutospacing="0" w:line="264" w:lineRule="auto"/>
        <w:jc w:val="both"/>
        <w:rPr>
          <w:rFonts w:asciiTheme="minorHAnsi" w:hAnsiTheme="minorHAnsi"/>
          <w:color w:val="548DD4" w:themeColor="text2" w:themeTint="99"/>
          <w:sz w:val="22"/>
          <w:szCs w:val="22"/>
          <w:lang w:val="nl-BE"/>
        </w:rPr>
      </w:pPr>
    </w:p>
    <w:p w14:paraId="3633BF1F" w14:textId="77777777" w:rsidR="00841646" w:rsidRPr="009B21B5" w:rsidRDefault="00841646" w:rsidP="00AD727F">
      <w:pPr>
        <w:pStyle w:val="Titre2"/>
        <w:spacing w:line="264" w:lineRule="auto"/>
        <w:contextualSpacing w:val="0"/>
        <w:rPr>
          <w:lang w:val="nl-BE"/>
        </w:rPr>
      </w:pPr>
      <w:bookmarkStart w:id="33" w:name="_Toc501465205"/>
      <w:bookmarkStart w:id="34" w:name="_Toc83375091"/>
      <w:r w:rsidRPr="009B21B5">
        <w:rPr>
          <w:lang w:val="nl-BE"/>
        </w:rPr>
        <w:t xml:space="preserve">Geldt de </w:t>
      </w:r>
      <w:proofErr w:type="spellStart"/>
      <w:r w:rsidRPr="009B21B5">
        <w:rPr>
          <w:lang w:val="nl-BE"/>
        </w:rPr>
        <w:t>Nutri</w:t>
      </w:r>
      <w:proofErr w:type="spellEnd"/>
      <w:r w:rsidRPr="009B21B5">
        <w:rPr>
          <w:lang w:val="nl-BE"/>
        </w:rPr>
        <w:t>-Score ook voor alcoholische dranken?</w:t>
      </w:r>
      <w:bookmarkEnd w:id="33"/>
      <w:bookmarkEnd w:id="34"/>
    </w:p>
    <w:p w14:paraId="7A37D6DC" w14:textId="7ACFBECA" w:rsidR="00841646" w:rsidRPr="009B21B5" w:rsidRDefault="0050175E" w:rsidP="00AD727F">
      <w:pPr>
        <w:spacing w:before="120" w:after="120" w:line="264" w:lineRule="auto"/>
        <w:jc w:val="both"/>
        <w:rPr>
          <w:rFonts w:cstheme="minorHAnsi"/>
          <w:lang w:val="nl-BE"/>
        </w:rPr>
      </w:pPr>
      <w:r w:rsidRPr="009B21B5">
        <w:rPr>
          <w:rFonts w:cstheme="minorHAnsi"/>
          <w:lang w:val="nl-BE"/>
        </w:rPr>
        <w:t xml:space="preserve">Alcoholische dranken met een alcoholpercentage van meer dan 1,2 % </w:t>
      </w:r>
      <w:r w:rsidR="00841646" w:rsidRPr="009B21B5">
        <w:rPr>
          <w:rFonts w:cstheme="minorHAnsi"/>
          <w:b/>
          <w:lang w:val="nl-BE"/>
        </w:rPr>
        <w:t>komen niet in aanmerking</w:t>
      </w:r>
      <w:r w:rsidRPr="009B21B5">
        <w:rPr>
          <w:rFonts w:cstheme="minorHAnsi"/>
          <w:lang w:val="nl-BE"/>
        </w:rPr>
        <w:t xml:space="preserve"> voor de </w:t>
      </w:r>
      <w:proofErr w:type="spellStart"/>
      <w:r w:rsidRPr="009B21B5">
        <w:rPr>
          <w:rFonts w:cstheme="minorHAnsi"/>
          <w:lang w:val="nl-BE"/>
        </w:rPr>
        <w:t>Nutri</w:t>
      </w:r>
      <w:proofErr w:type="spellEnd"/>
      <w:r w:rsidRPr="009B21B5">
        <w:rPr>
          <w:rFonts w:cstheme="minorHAnsi"/>
          <w:lang w:val="nl-BE"/>
        </w:rPr>
        <w:t>-Score.</w:t>
      </w:r>
    </w:p>
    <w:p w14:paraId="4B3AA484" w14:textId="03B9D2BA" w:rsidR="00B26239" w:rsidRPr="009B21B5" w:rsidRDefault="00B26239" w:rsidP="00AD727F">
      <w:pPr>
        <w:spacing w:before="120" w:after="120" w:line="264" w:lineRule="auto"/>
        <w:jc w:val="both"/>
        <w:rPr>
          <w:bCs/>
          <w:color w:val="00B0F0"/>
          <w:lang w:val="nl-BE"/>
        </w:rPr>
      </w:pPr>
      <w:r w:rsidRPr="009B21B5">
        <w:rPr>
          <w:bCs/>
          <w:color w:val="00B0F0"/>
          <w:lang w:val="nl-BE"/>
        </w:rPr>
        <w:t xml:space="preserve">Net zoals niet-alcoholische dranken (bv. frisdrank of vruchtensap) moeten alcoholvrije dranken echter wel een verplichte voedingswaardevermelding dragen (bv. alcoholvrij bier, dranken van het type alcoholvrije </w:t>
      </w:r>
      <w:proofErr w:type="spellStart"/>
      <w:r w:rsidRPr="009B21B5">
        <w:rPr>
          <w:bCs/>
          <w:color w:val="00B0F0"/>
          <w:lang w:val="nl-BE"/>
        </w:rPr>
        <w:t>mojito</w:t>
      </w:r>
      <w:proofErr w:type="spellEnd"/>
      <w:r w:rsidRPr="009B21B5">
        <w:rPr>
          <w:bCs/>
          <w:color w:val="00B0F0"/>
          <w:lang w:val="nl-BE"/>
        </w:rPr>
        <w:t xml:space="preserve">, …). Indien een industriële actor zich ertoe verbonden heeft om de </w:t>
      </w:r>
      <w:proofErr w:type="spellStart"/>
      <w:r w:rsidRPr="009B21B5">
        <w:rPr>
          <w:bCs/>
          <w:color w:val="00B0F0"/>
          <w:lang w:val="nl-BE"/>
        </w:rPr>
        <w:t>Nutri</w:t>
      </w:r>
      <w:proofErr w:type="spellEnd"/>
      <w:r w:rsidRPr="009B21B5">
        <w:rPr>
          <w:bCs/>
          <w:color w:val="00B0F0"/>
          <w:lang w:val="nl-BE"/>
        </w:rPr>
        <w:t xml:space="preserve">-Score te vermelden op één van zijn producten, dan moet hij dat dus ook doen op zijn alcoholvrije dranken.  </w:t>
      </w:r>
    </w:p>
    <w:p w14:paraId="23C639B1" w14:textId="77777777" w:rsidR="00B26239" w:rsidRPr="009B21B5" w:rsidRDefault="00B26239" w:rsidP="00AD727F">
      <w:pPr>
        <w:spacing w:before="120" w:after="120" w:line="264" w:lineRule="auto"/>
        <w:jc w:val="both"/>
        <w:rPr>
          <w:rFonts w:cstheme="minorHAnsi"/>
          <w:lang w:val="nl-BE"/>
        </w:rPr>
      </w:pPr>
    </w:p>
    <w:p w14:paraId="069FF7B2" w14:textId="77777777" w:rsidR="002959C6" w:rsidRPr="009B21B5" w:rsidRDefault="002959C6" w:rsidP="00AD727F">
      <w:pPr>
        <w:spacing w:before="120" w:after="120" w:line="264" w:lineRule="auto"/>
        <w:jc w:val="both"/>
        <w:rPr>
          <w:rFonts w:cstheme="minorHAnsi"/>
          <w:lang w:val="nl-BE"/>
        </w:rPr>
      </w:pPr>
    </w:p>
    <w:p w14:paraId="41EE2A93" w14:textId="77777777" w:rsidR="00841646" w:rsidRPr="00BC010D" w:rsidRDefault="00841646" w:rsidP="00AD727F">
      <w:pPr>
        <w:pStyle w:val="Titre1"/>
        <w:spacing w:before="120" w:after="120" w:line="264" w:lineRule="auto"/>
      </w:pPr>
      <w:bookmarkStart w:id="35" w:name="_Toc501465206"/>
      <w:bookmarkStart w:id="36" w:name="_Toc83375092"/>
      <w:proofErr w:type="spellStart"/>
      <w:r w:rsidRPr="00BC010D">
        <w:t>Betrokken</w:t>
      </w:r>
      <w:proofErr w:type="spellEnd"/>
      <w:r w:rsidRPr="00BC010D">
        <w:t xml:space="preserve"> </w:t>
      </w:r>
      <w:proofErr w:type="spellStart"/>
      <w:r w:rsidRPr="00BC010D">
        <w:t>voedingsmiddelen</w:t>
      </w:r>
      <w:bookmarkEnd w:id="35"/>
      <w:bookmarkEnd w:id="36"/>
      <w:proofErr w:type="spellEnd"/>
    </w:p>
    <w:p w14:paraId="68E42B1B" w14:textId="77777777" w:rsidR="00841646" w:rsidRPr="009B21B5" w:rsidRDefault="005F2621" w:rsidP="00AD727F">
      <w:pPr>
        <w:pStyle w:val="Titre2"/>
        <w:spacing w:line="264" w:lineRule="auto"/>
        <w:contextualSpacing w:val="0"/>
        <w:rPr>
          <w:lang w:val="nl-BE"/>
        </w:rPr>
      </w:pPr>
      <w:bookmarkStart w:id="37" w:name="_Toc501465207"/>
      <w:bookmarkStart w:id="38" w:name="_Toc83375093"/>
      <w:r w:rsidRPr="009B21B5">
        <w:rPr>
          <w:lang w:val="nl-BE"/>
        </w:rPr>
        <w:t xml:space="preserve">Voor welke producten moet een </w:t>
      </w:r>
      <w:proofErr w:type="spellStart"/>
      <w:r w:rsidRPr="009B21B5">
        <w:rPr>
          <w:lang w:val="nl-BE"/>
        </w:rPr>
        <w:t>Nutri</w:t>
      </w:r>
      <w:proofErr w:type="spellEnd"/>
      <w:r w:rsidRPr="009B21B5">
        <w:rPr>
          <w:lang w:val="nl-BE"/>
        </w:rPr>
        <w:t>-Score worden berekend?</w:t>
      </w:r>
      <w:bookmarkEnd w:id="37"/>
      <w:bookmarkEnd w:id="38"/>
    </w:p>
    <w:p w14:paraId="1456A59E" w14:textId="77777777" w:rsidR="0030293A" w:rsidRPr="009B21B5" w:rsidRDefault="00841646" w:rsidP="00AD727F">
      <w:pPr>
        <w:spacing w:before="120" w:after="120" w:line="264" w:lineRule="auto"/>
        <w:jc w:val="both"/>
        <w:rPr>
          <w:lang w:val="nl-BE"/>
        </w:rPr>
      </w:pPr>
      <w:r w:rsidRPr="009B21B5">
        <w:rPr>
          <w:rFonts w:cstheme="minorHAnsi"/>
          <w:lang w:val="nl-BE"/>
        </w:rPr>
        <w:t xml:space="preserve">De voedingswaren waarvoor een </w:t>
      </w:r>
      <w:proofErr w:type="spellStart"/>
      <w:r w:rsidRPr="009B21B5">
        <w:rPr>
          <w:rFonts w:cstheme="minorHAnsi"/>
          <w:lang w:val="nl-BE"/>
        </w:rPr>
        <w:t>Nutri</w:t>
      </w:r>
      <w:proofErr w:type="spellEnd"/>
      <w:r w:rsidRPr="009B21B5">
        <w:rPr>
          <w:rFonts w:cstheme="minorHAnsi"/>
          <w:lang w:val="nl-BE"/>
        </w:rPr>
        <w:t xml:space="preserve">-Score moet worden berekend en vermeld, zijn die producten die ook vallen onder de verplichte etikettering van de voedingswaarde, krachtens verordening nr. 1169/2011, de zogeheten FIC-verordening. Behalve sommige heel specifieke gevallen die in deze FAQ worden vermeld, zijn de in de verplichte voedingswaardevermelding beschikbare gegevens dezelfde als die die moeten worden gebruikt voor de berekening van de </w:t>
      </w:r>
      <w:proofErr w:type="spellStart"/>
      <w:r w:rsidRPr="009B21B5">
        <w:rPr>
          <w:rFonts w:cstheme="minorHAnsi"/>
          <w:lang w:val="nl-BE"/>
        </w:rPr>
        <w:t>Nutri</w:t>
      </w:r>
      <w:proofErr w:type="spellEnd"/>
      <w:r w:rsidRPr="009B21B5">
        <w:rPr>
          <w:rFonts w:cstheme="minorHAnsi"/>
          <w:lang w:val="nl-BE"/>
        </w:rPr>
        <w:t>-Score.</w:t>
      </w:r>
    </w:p>
    <w:p w14:paraId="5B1C6D12" w14:textId="77777777" w:rsidR="00F5609A" w:rsidRPr="009B21B5" w:rsidRDefault="00F5609A" w:rsidP="00AD727F">
      <w:pPr>
        <w:spacing w:before="120" w:after="120" w:line="264" w:lineRule="auto"/>
        <w:jc w:val="both"/>
        <w:rPr>
          <w:rFonts w:cstheme="minorHAnsi"/>
          <w:lang w:val="nl-BE"/>
        </w:rPr>
      </w:pPr>
      <w:r w:rsidRPr="009B21B5">
        <w:rPr>
          <w:rFonts w:cstheme="minorHAnsi"/>
          <w:lang w:val="nl-BE"/>
        </w:rPr>
        <w:t xml:space="preserve">Hoewel kindervoedingsproducten bestemd voor kinderen van 0 tot 3 jaar een verplichte voedingswaardevermelding dragen, is het niet aangewezen de </w:t>
      </w:r>
      <w:proofErr w:type="spellStart"/>
      <w:r w:rsidRPr="009B21B5">
        <w:rPr>
          <w:rFonts w:cstheme="minorHAnsi"/>
          <w:lang w:val="nl-BE"/>
        </w:rPr>
        <w:t>Nutri</w:t>
      </w:r>
      <w:proofErr w:type="spellEnd"/>
      <w:r w:rsidRPr="009B21B5">
        <w:rPr>
          <w:rFonts w:cstheme="minorHAnsi"/>
          <w:lang w:val="nl-BE"/>
        </w:rPr>
        <w:t xml:space="preserve">-Score op die producten toe te passen. </w:t>
      </w:r>
      <w:r w:rsidRPr="009B21B5">
        <w:rPr>
          <w:rFonts w:cstheme="minorHAnsi"/>
          <w:lang w:val="nl-BE"/>
        </w:rPr>
        <w:lastRenderedPageBreak/>
        <w:t xml:space="preserve">De voedingsbehoeften van kinderen zijn namelijk specifiek, onder andere wat het vetstofgehalte betreft, en de </w:t>
      </w:r>
      <w:proofErr w:type="spellStart"/>
      <w:r w:rsidRPr="009B21B5">
        <w:rPr>
          <w:rFonts w:cstheme="minorHAnsi"/>
          <w:lang w:val="nl-BE"/>
        </w:rPr>
        <w:t>Nutri</w:t>
      </w:r>
      <w:proofErr w:type="spellEnd"/>
      <w:r w:rsidRPr="009B21B5">
        <w:rPr>
          <w:rFonts w:cstheme="minorHAnsi"/>
          <w:lang w:val="nl-BE"/>
        </w:rPr>
        <w:t xml:space="preserve">-Score is daar niet aan aangepast.  </w:t>
      </w:r>
    </w:p>
    <w:p w14:paraId="0AD5E60B" w14:textId="6B3FE17A" w:rsidR="0050175E" w:rsidRPr="009B21B5" w:rsidRDefault="0050175E" w:rsidP="00AD727F">
      <w:pPr>
        <w:spacing w:before="120" w:after="120" w:line="264" w:lineRule="auto"/>
        <w:jc w:val="both"/>
        <w:rPr>
          <w:rFonts w:cstheme="minorHAnsi"/>
          <w:lang w:val="nl-BE"/>
        </w:rPr>
      </w:pPr>
      <w:r w:rsidRPr="009B21B5">
        <w:rPr>
          <w:rFonts w:cstheme="minorHAnsi"/>
          <w:lang w:val="nl-BE"/>
        </w:rPr>
        <w:t xml:space="preserve">Op soortgelijke wijze ontraden we ook het gebruik van de </w:t>
      </w:r>
      <w:proofErr w:type="spellStart"/>
      <w:r w:rsidRPr="009B21B5">
        <w:rPr>
          <w:rFonts w:cstheme="minorHAnsi"/>
          <w:lang w:val="nl-BE"/>
        </w:rPr>
        <w:t>Nutri</w:t>
      </w:r>
      <w:proofErr w:type="spellEnd"/>
      <w:r w:rsidRPr="009B21B5">
        <w:rPr>
          <w:rFonts w:cstheme="minorHAnsi"/>
          <w:lang w:val="nl-BE"/>
        </w:rPr>
        <w:t xml:space="preserve">-Score op producten, bekend als sportvoedingsproducten. Het onderliggend algoritme van de </w:t>
      </w:r>
      <w:proofErr w:type="spellStart"/>
      <w:r w:rsidRPr="009B21B5">
        <w:rPr>
          <w:rFonts w:cstheme="minorHAnsi"/>
          <w:lang w:val="nl-BE"/>
        </w:rPr>
        <w:t>Nutri</w:t>
      </w:r>
      <w:proofErr w:type="spellEnd"/>
      <w:r w:rsidRPr="009B21B5">
        <w:rPr>
          <w:rFonts w:cstheme="minorHAnsi"/>
          <w:lang w:val="nl-BE"/>
        </w:rPr>
        <w:t>-Score werd ontwikkeld als antwoord op de behoeften van de algemene bevolking, terwijl sportvoeding als doel heeft te beantwoorden aan de specifieke behoeften van een subgroep van de bevolking.</w:t>
      </w:r>
    </w:p>
    <w:p w14:paraId="6C914119" w14:textId="53EEC851" w:rsidR="008F7CC1" w:rsidRPr="009B21B5" w:rsidRDefault="008F7CC1" w:rsidP="00A16745">
      <w:pPr>
        <w:rPr>
          <w:lang w:val="nl-BE"/>
        </w:rPr>
      </w:pPr>
      <w:r w:rsidRPr="009B21B5">
        <w:rPr>
          <w:rFonts w:cstheme="minorHAnsi"/>
          <w:lang w:val="nl-BE"/>
        </w:rPr>
        <w:t xml:space="preserve">Gezien de specifieke voedingssamenstelling, het specifieke kader en het specifieke doel van alle voor een specifieke voeding bestemde voedingsmiddelen waarop de verordening (EU) nr. 609/2013 betrekking heeft, is het ook niet aangewezen om de </w:t>
      </w:r>
      <w:proofErr w:type="spellStart"/>
      <w:r w:rsidRPr="009B21B5">
        <w:rPr>
          <w:rFonts w:cstheme="minorHAnsi"/>
          <w:lang w:val="nl-BE"/>
        </w:rPr>
        <w:t>Nutri</w:t>
      </w:r>
      <w:proofErr w:type="spellEnd"/>
      <w:r w:rsidRPr="009B21B5">
        <w:rPr>
          <w:rFonts w:cstheme="minorHAnsi"/>
          <w:lang w:val="nl-BE"/>
        </w:rPr>
        <w:t xml:space="preserve">-Score op die producten toe te passen, d.w.z.: </w:t>
      </w:r>
    </w:p>
    <w:p w14:paraId="1B7B5C10" w14:textId="77777777" w:rsidR="008F7CC1" w:rsidRPr="009B21B5" w:rsidRDefault="008F7CC1" w:rsidP="00AD727F">
      <w:pPr>
        <w:spacing w:before="120" w:after="120" w:line="264" w:lineRule="auto"/>
        <w:contextualSpacing/>
        <w:jc w:val="both"/>
        <w:rPr>
          <w:rFonts w:cstheme="minorHAnsi"/>
          <w:lang w:val="nl-BE"/>
        </w:rPr>
      </w:pPr>
      <w:r w:rsidRPr="009B21B5">
        <w:rPr>
          <w:rFonts w:cstheme="minorHAnsi"/>
          <w:lang w:val="nl-BE"/>
        </w:rPr>
        <w:t>- volledige zuigelingenvoeding en opvolgzuigelingenvoeding</w:t>
      </w:r>
    </w:p>
    <w:p w14:paraId="66878E94" w14:textId="77777777" w:rsidR="008F7CC1" w:rsidRPr="009B21B5" w:rsidRDefault="008F7CC1" w:rsidP="00AD727F">
      <w:pPr>
        <w:spacing w:before="120" w:after="120" w:line="264" w:lineRule="auto"/>
        <w:contextualSpacing/>
        <w:jc w:val="both"/>
        <w:rPr>
          <w:rFonts w:cstheme="minorHAnsi"/>
          <w:lang w:val="nl-BE"/>
        </w:rPr>
      </w:pPr>
      <w:r w:rsidRPr="009B21B5">
        <w:rPr>
          <w:rFonts w:cstheme="minorHAnsi"/>
          <w:lang w:val="nl-BE"/>
        </w:rPr>
        <w:t>- bewerkte voedingsmiddelen op basis van granen en babyvoeding</w:t>
      </w:r>
    </w:p>
    <w:p w14:paraId="7975A984" w14:textId="77777777" w:rsidR="008F7CC1" w:rsidRPr="009B21B5" w:rsidRDefault="008F7CC1" w:rsidP="00AD727F">
      <w:pPr>
        <w:spacing w:before="120" w:after="120" w:line="264" w:lineRule="auto"/>
        <w:contextualSpacing/>
        <w:jc w:val="both"/>
        <w:rPr>
          <w:rFonts w:cstheme="minorHAnsi"/>
          <w:lang w:val="nl-BE"/>
        </w:rPr>
      </w:pPr>
      <w:r w:rsidRPr="009B21B5">
        <w:rPr>
          <w:rFonts w:cstheme="minorHAnsi"/>
          <w:lang w:val="nl-BE"/>
        </w:rPr>
        <w:t>- voedingsmiddelen die bestemd zijn voor bijzonder medische gebruik</w:t>
      </w:r>
    </w:p>
    <w:p w14:paraId="31F5206B" w14:textId="4F941ED8" w:rsidR="008F7CC1" w:rsidRPr="009B21B5" w:rsidRDefault="008F7CC1" w:rsidP="00AD727F">
      <w:pPr>
        <w:spacing w:before="120" w:after="120" w:line="264" w:lineRule="auto"/>
        <w:contextualSpacing/>
        <w:jc w:val="both"/>
        <w:rPr>
          <w:rFonts w:cstheme="minorHAnsi"/>
          <w:lang w:val="nl-BE"/>
        </w:rPr>
      </w:pPr>
      <w:r w:rsidRPr="009B21B5">
        <w:rPr>
          <w:rFonts w:cstheme="minorHAnsi"/>
          <w:lang w:val="nl-BE"/>
        </w:rPr>
        <w:t xml:space="preserve">- producten voor gewichtsbeheersing die de dagelijkse voeding volledig vervangen. (…)". </w:t>
      </w:r>
    </w:p>
    <w:p w14:paraId="23E97F44" w14:textId="77777777" w:rsidR="00B96335" w:rsidRPr="009B21B5" w:rsidRDefault="00B96335" w:rsidP="00AD727F">
      <w:pPr>
        <w:spacing w:before="120" w:after="120" w:line="264" w:lineRule="auto"/>
        <w:contextualSpacing/>
        <w:jc w:val="both"/>
        <w:rPr>
          <w:rFonts w:cstheme="minorHAnsi"/>
          <w:lang w:val="nl-BE"/>
        </w:rPr>
      </w:pPr>
    </w:p>
    <w:p w14:paraId="5B41DC45" w14:textId="612B23E2" w:rsidR="008E2CB4" w:rsidRPr="009B21B5" w:rsidRDefault="008E2CB4" w:rsidP="00AD727F">
      <w:pPr>
        <w:spacing w:before="120" w:after="120" w:line="264" w:lineRule="auto"/>
        <w:contextualSpacing/>
        <w:jc w:val="both"/>
        <w:rPr>
          <w:rFonts w:cstheme="minorHAnsi"/>
          <w:lang w:val="nl-BE"/>
        </w:rPr>
      </w:pPr>
      <w:r w:rsidRPr="009B21B5">
        <w:rPr>
          <w:rFonts w:cstheme="minorHAnsi"/>
          <w:lang w:val="nl-BE"/>
        </w:rPr>
        <w:t xml:space="preserve">Het gebruik van de </w:t>
      </w:r>
      <w:proofErr w:type="spellStart"/>
      <w:r w:rsidRPr="009B21B5">
        <w:rPr>
          <w:rFonts w:cstheme="minorHAnsi"/>
          <w:lang w:val="nl-BE"/>
        </w:rPr>
        <w:t>Nutri</w:t>
      </w:r>
      <w:proofErr w:type="spellEnd"/>
      <w:r w:rsidRPr="009B21B5">
        <w:rPr>
          <w:rFonts w:cstheme="minorHAnsi"/>
          <w:lang w:val="nl-BE"/>
        </w:rPr>
        <w:t>-Score op maaltijdvervangingsproducten die geen gewichtsbeheersing als doel hebben, wordt ook afgeraden.</w:t>
      </w:r>
    </w:p>
    <w:p w14:paraId="0913B399" w14:textId="77777777" w:rsidR="00C76401" w:rsidRPr="009B21B5" w:rsidRDefault="00C76401" w:rsidP="00AD727F">
      <w:pPr>
        <w:spacing w:before="120" w:after="120" w:line="264" w:lineRule="auto"/>
        <w:contextualSpacing/>
        <w:jc w:val="both"/>
        <w:rPr>
          <w:rFonts w:cstheme="minorHAnsi"/>
          <w:color w:val="548DD4" w:themeColor="text2" w:themeTint="99"/>
          <w:lang w:val="nl-BE"/>
        </w:rPr>
      </w:pPr>
    </w:p>
    <w:p w14:paraId="4FC417BD" w14:textId="77777777" w:rsidR="00841646" w:rsidRPr="009B21B5" w:rsidRDefault="005F2621" w:rsidP="00AD727F">
      <w:pPr>
        <w:pStyle w:val="Titre2"/>
        <w:spacing w:line="264" w:lineRule="auto"/>
        <w:contextualSpacing w:val="0"/>
        <w:rPr>
          <w:lang w:val="nl-BE"/>
        </w:rPr>
      </w:pPr>
      <w:bookmarkStart w:id="39" w:name="_Toc501465208"/>
      <w:bookmarkStart w:id="40" w:name="_Toc83375094"/>
      <w:r w:rsidRPr="009B21B5">
        <w:rPr>
          <w:lang w:val="nl-BE"/>
        </w:rPr>
        <w:t xml:space="preserve">Voor welke producten moet geen </w:t>
      </w:r>
      <w:proofErr w:type="spellStart"/>
      <w:r w:rsidRPr="009B21B5">
        <w:rPr>
          <w:lang w:val="nl-BE"/>
        </w:rPr>
        <w:t>Nutri</w:t>
      </w:r>
      <w:proofErr w:type="spellEnd"/>
      <w:r w:rsidRPr="009B21B5">
        <w:rPr>
          <w:lang w:val="nl-BE"/>
        </w:rPr>
        <w:t>-Score worden berekend?</w:t>
      </w:r>
      <w:bookmarkEnd w:id="39"/>
      <w:bookmarkEnd w:id="40"/>
    </w:p>
    <w:p w14:paraId="30CF84CE" w14:textId="77777777" w:rsidR="00841646" w:rsidRPr="009B21B5" w:rsidRDefault="00841646" w:rsidP="00AD727F">
      <w:pPr>
        <w:spacing w:before="120" w:after="120" w:line="264" w:lineRule="auto"/>
        <w:jc w:val="both"/>
        <w:rPr>
          <w:rFonts w:cstheme="minorHAnsi"/>
          <w:lang w:val="nl-BE"/>
        </w:rPr>
      </w:pPr>
      <w:r w:rsidRPr="009B21B5">
        <w:rPr>
          <w:rFonts w:cstheme="minorHAnsi"/>
          <w:lang w:val="nl-BE"/>
        </w:rPr>
        <w:t xml:space="preserve">Voedingswaren die niet vallen onder de verplichte etikettering van de voedingswaarde, zoals opgesomd in bijlage V van verordening 1169/2011. Het gaat meer bepaald om: </w:t>
      </w:r>
    </w:p>
    <w:p w14:paraId="24268FD4"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 Onverwerkte producten die slechts één ingrediënt of één categorie ingrediënten bevatten (bijvoorbeeld vers fruit of verse groenten, versneden rauw vlees, honing ...)</w:t>
      </w:r>
    </w:p>
    <w:p w14:paraId="76688C4F"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 xml:space="preserve">2. Verwerkte producten die als enige vorm van verwerking zijn gerijpt en die bestaan uit één ingrediënt of categorie van ingrediënten </w:t>
      </w:r>
      <w:r w:rsidRPr="009B21B5">
        <w:rPr>
          <w:rFonts w:cstheme="minorHAnsi"/>
          <w:lang w:val="nl-BE"/>
        </w:rPr>
        <w:tab/>
      </w:r>
    </w:p>
    <w:p w14:paraId="23DB99CD" w14:textId="77777777" w:rsidR="00841646" w:rsidRPr="009B21B5" w:rsidRDefault="00841646" w:rsidP="00AD727F">
      <w:pPr>
        <w:spacing w:before="120" w:after="120" w:line="264" w:lineRule="auto"/>
        <w:ind w:left="426"/>
        <w:contextualSpacing/>
        <w:jc w:val="both"/>
        <w:rPr>
          <w:rFonts w:cstheme="minorHAnsi"/>
          <w:i/>
          <w:lang w:val="nl-BE"/>
        </w:rPr>
      </w:pPr>
      <w:r w:rsidRPr="009B21B5">
        <w:rPr>
          <w:rFonts w:cstheme="minorHAnsi"/>
          <w:i/>
          <w:lang w:val="nl-BE"/>
        </w:rPr>
        <w:t xml:space="preserve">NB: het gaat hier vooral om vlees </w:t>
      </w:r>
    </w:p>
    <w:p w14:paraId="3AA824EA"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3. Waters bestemd voor menselijke consumptie, inclusief waters waarbij de enige toegevoegde ingrediënten kooldioxide en/of aroma's zijn</w:t>
      </w:r>
    </w:p>
    <w:p w14:paraId="5F9CFDDF"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4. Kruiden, specerijen en mengsels ervan</w:t>
      </w:r>
    </w:p>
    <w:p w14:paraId="24C43E30"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5. Zout en zoutvervangers</w:t>
      </w:r>
    </w:p>
    <w:p w14:paraId="179279AD"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6. Tafelzoetstoffen</w:t>
      </w:r>
    </w:p>
    <w:p w14:paraId="6952AB33"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7. Producten die vallen onder richtlijn 1999/4/EG van het Europees Parlement en de Raad van 22 februari 1999 inzake extracten van koffie en extracten van cichorei, hele of gemalen koffiebonen en hele of gemalen cafeïnevrije koffiebonen</w:t>
      </w:r>
    </w:p>
    <w:p w14:paraId="237EBD10"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8. Kruiden- en vruchteninfusies, thee, cafeïnevrije thee, instant- of oplosthee of thee-extract, cafeïnevrije instant- of oplosthee of thee-extract, die geen andere toegevoegde ingrediënten bevatten dan aroma's die niets veranderen aan de voedingswaarde van de thee</w:t>
      </w:r>
    </w:p>
    <w:p w14:paraId="5027DA1D"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9. Gefermenteerde azijn of vervangers van azijn, inclusief die waarbij de enige toegevoegde ingrediënten aroma's zijn.</w:t>
      </w:r>
    </w:p>
    <w:p w14:paraId="23E7796E"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10. Aroma's</w:t>
      </w:r>
    </w:p>
    <w:p w14:paraId="022A4436"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11. Voedingsmiddelenadditieven</w:t>
      </w:r>
    </w:p>
    <w:p w14:paraId="2A877787"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12. Technische hulpstoffen</w:t>
      </w:r>
    </w:p>
    <w:p w14:paraId="2A013A75"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13. Voedingsenzymen</w:t>
      </w:r>
    </w:p>
    <w:p w14:paraId="0C2C5EC4"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14. Gelatine</w:t>
      </w:r>
    </w:p>
    <w:p w14:paraId="1D3C4AE4"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15. Geleermiddel voor confituur</w:t>
      </w:r>
    </w:p>
    <w:p w14:paraId="2D11BD75"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16. Gisten</w:t>
      </w:r>
    </w:p>
    <w:p w14:paraId="1C9E06ED"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lastRenderedPageBreak/>
        <w:t>17. Kauwgom</w:t>
      </w:r>
    </w:p>
    <w:p w14:paraId="757C6845" w14:textId="77777777" w:rsidR="00841646" w:rsidRPr="009B21B5" w:rsidRDefault="00841646" w:rsidP="00AD727F">
      <w:pPr>
        <w:spacing w:before="120" w:after="120" w:line="264" w:lineRule="auto"/>
        <w:ind w:left="426" w:hanging="426"/>
        <w:contextualSpacing/>
        <w:jc w:val="both"/>
        <w:rPr>
          <w:rFonts w:cstheme="minorHAnsi"/>
          <w:lang w:val="nl-BE"/>
        </w:rPr>
      </w:pPr>
      <w:r w:rsidRPr="009B21B5">
        <w:rPr>
          <w:rFonts w:cstheme="minorHAnsi"/>
          <w:lang w:val="nl-BE"/>
        </w:rPr>
        <w:t xml:space="preserve">18. Voedingsmiddelen in verpakkingen of </w:t>
      </w:r>
      <w:proofErr w:type="spellStart"/>
      <w:r w:rsidRPr="009B21B5">
        <w:rPr>
          <w:rFonts w:cstheme="minorHAnsi"/>
          <w:lang w:val="nl-BE"/>
        </w:rPr>
        <w:t>recipiënten</w:t>
      </w:r>
      <w:proofErr w:type="spellEnd"/>
      <w:r w:rsidRPr="009B21B5">
        <w:rPr>
          <w:rFonts w:cstheme="minorHAnsi"/>
          <w:lang w:val="nl-BE"/>
        </w:rPr>
        <w:t xml:space="preserve"> waarvan het grootste oppervlak minder dan 25 cm² bedraagt.</w:t>
      </w:r>
    </w:p>
    <w:p w14:paraId="40B9056B" w14:textId="77777777" w:rsidR="00841646" w:rsidRPr="009B21B5" w:rsidRDefault="00841646" w:rsidP="00AD727F">
      <w:pPr>
        <w:spacing w:before="120" w:after="120" w:line="264" w:lineRule="auto"/>
        <w:ind w:left="567" w:hanging="567"/>
        <w:contextualSpacing/>
        <w:jc w:val="both"/>
        <w:rPr>
          <w:rFonts w:cstheme="minorHAnsi"/>
          <w:lang w:val="nl-BE"/>
        </w:rPr>
      </w:pPr>
      <w:r w:rsidRPr="009B21B5">
        <w:rPr>
          <w:rFonts w:cstheme="minorHAnsi"/>
          <w:lang w:val="nl-BE"/>
        </w:rPr>
        <w:t>19. Voedingsmiddelen, met inbegrip van ambachtelijke voedingsmiddelen, die rechtstreeks door de producent in kleine hoeveelheden worden geleverd aan de eindverbruiker of aan de plaatselijke detailhandel die rechtstreeks aan de eindverbruiker levert.</w:t>
      </w:r>
    </w:p>
    <w:p w14:paraId="1511B882" w14:textId="77777777" w:rsidR="002276CD" w:rsidRPr="009B21B5" w:rsidRDefault="002276CD" w:rsidP="00AD727F">
      <w:pPr>
        <w:spacing w:before="120" w:after="120" w:line="264" w:lineRule="auto"/>
        <w:jc w:val="both"/>
        <w:rPr>
          <w:rFonts w:cstheme="minorHAnsi"/>
          <w:lang w:val="nl-BE"/>
        </w:rPr>
      </w:pPr>
    </w:p>
    <w:p w14:paraId="63E01683" w14:textId="77777777" w:rsidR="002276CD" w:rsidRPr="009B21B5" w:rsidRDefault="00841646" w:rsidP="00AD727F">
      <w:pPr>
        <w:spacing w:before="120" w:after="120" w:line="264" w:lineRule="auto"/>
        <w:jc w:val="both"/>
        <w:rPr>
          <w:rFonts w:cstheme="minorHAnsi"/>
          <w:i/>
          <w:lang w:val="nl-BE"/>
        </w:rPr>
      </w:pPr>
      <w:r w:rsidRPr="009B21B5">
        <w:rPr>
          <w:rFonts w:cstheme="minorHAnsi"/>
          <w:i/>
          <w:lang w:val="nl-BE"/>
        </w:rPr>
        <w:t>In dat opzicht is het raadzaam om aan te geven dat de afwijkingscriteria cumulatief moeten worden opgevat. Anders gezegd, de aanduiding 'kleine hoeveelheden' moet getoetst worden aan alle criteria.</w:t>
      </w:r>
    </w:p>
    <w:p w14:paraId="26CC7DC7" w14:textId="77777777" w:rsidR="00841646" w:rsidRPr="009B21B5" w:rsidRDefault="002276CD" w:rsidP="00AD727F">
      <w:pPr>
        <w:spacing w:before="120" w:after="120" w:line="264" w:lineRule="auto"/>
        <w:ind w:firstLine="708"/>
        <w:jc w:val="both"/>
        <w:rPr>
          <w:rFonts w:cstheme="minorHAnsi"/>
          <w:i/>
          <w:lang w:val="nl-BE"/>
        </w:rPr>
      </w:pPr>
      <w:r w:rsidRPr="009B21B5">
        <w:rPr>
          <w:rFonts w:cstheme="minorHAnsi"/>
          <w:i/>
          <w:lang w:val="nl-BE"/>
        </w:rPr>
        <w:t>• Wat betreft de plaatselijke detailhandel (kleinhandel) die rechtstreeks aan de eindverbruiker levert.</w:t>
      </w:r>
    </w:p>
    <w:p w14:paraId="0E01FB23" w14:textId="77777777" w:rsidR="002276CD" w:rsidRPr="009B21B5" w:rsidRDefault="00841646" w:rsidP="00AD727F">
      <w:pPr>
        <w:spacing w:before="120" w:after="120" w:line="264" w:lineRule="auto"/>
        <w:jc w:val="both"/>
        <w:rPr>
          <w:rFonts w:cstheme="minorHAnsi"/>
          <w:i/>
          <w:lang w:val="nl-BE"/>
        </w:rPr>
      </w:pPr>
      <w:r w:rsidRPr="009B21B5">
        <w:rPr>
          <w:rFonts w:cstheme="minorHAnsi"/>
          <w:i/>
          <w:lang w:val="nl-BE"/>
        </w:rPr>
        <w:t xml:space="preserve">De 'kleinhandelszaken' zijn alle grote en middelgrote winkels en hypermarkten, alsook buurtvoedingswinkels. </w:t>
      </w:r>
    </w:p>
    <w:p w14:paraId="7D0C17E5" w14:textId="77777777" w:rsidR="00841646" w:rsidRPr="009B21B5" w:rsidRDefault="002276CD" w:rsidP="00AD727F">
      <w:pPr>
        <w:spacing w:before="120" w:after="120" w:line="264" w:lineRule="auto"/>
        <w:ind w:firstLine="708"/>
        <w:jc w:val="both"/>
        <w:rPr>
          <w:rFonts w:cstheme="minorHAnsi"/>
          <w:i/>
          <w:lang w:val="nl-BE"/>
        </w:rPr>
      </w:pPr>
      <w:r w:rsidRPr="009B21B5">
        <w:rPr>
          <w:rFonts w:cstheme="minorHAnsi"/>
          <w:i/>
          <w:lang w:val="nl-BE"/>
        </w:rPr>
        <w:t>• Wat betreft het 'lokale' karakter</w:t>
      </w:r>
    </w:p>
    <w:p w14:paraId="53FDB682" w14:textId="77777777" w:rsidR="002276CD" w:rsidRPr="009B21B5" w:rsidRDefault="00841646" w:rsidP="00AD727F">
      <w:pPr>
        <w:spacing w:before="120" w:after="120" w:line="264" w:lineRule="auto"/>
        <w:jc w:val="both"/>
        <w:rPr>
          <w:rFonts w:cstheme="minorHAnsi"/>
          <w:i/>
          <w:lang w:val="nl-BE"/>
        </w:rPr>
      </w:pPr>
      <w:r w:rsidRPr="009B21B5">
        <w:rPr>
          <w:rFonts w:cstheme="minorHAnsi"/>
          <w:i/>
          <w:lang w:val="nl-BE"/>
        </w:rPr>
        <w:t>Een straal van ongeveer 100 km voor het hele departement of de hele regio lijkt aanvaardbaar. Die afstand kan uitgebreid worden voor producenten in dunbevolkte gebieden die afzetketens uitbouwen bij consumenten en detailhandelaars (kruidenierszaken, zuivel- en kaaswinkels ...) in de dichtstbijzijnde stedelijke gebieden (denken we aan de Parijse regio voor de Bourgogne en de Centre). Die analyse is van toepassing op handel over de grenzen heen als die conform de aanbevelingen van de betrokken lidstaat gebeurt.</w:t>
      </w:r>
    </w:p>
    <w:p w14:paraId="474F7F0E" w14:textId="77777777" w:rsidR="00841646" w:rsidRPr="009B21B5" w:rsidRDefault="002276CD" w:rsidP="00AD727F">
      <w:pPr>
        <w:spacing w:before="120" w:after="120" w:line="264" w:lineRule="auto"/>
        <w:ind w:firstLine="708"/>
        <w:jc w:val="both"/>
        <w:rPr>
          <w:rFonts w:cstheme="minorHAnsi"/>
          <w:i/>
          <w:lang w:val="nl-BE"/>
        </w:rPr>
      </w:pPr>
      <w:r w:rsidRPr="009B21B5">
        <w:rPr>
          <w:rFonts w:cstheme="minorHAnsi"/>
          <w:i/>
          <w:lang w:val="nl-BE"/>
        </w:rPr>
        <w:t>• Wat betreft het criterium 'rechtstreeks door de producent geleverd aan de eindverbruiker'</w:t>
      </w:r>
    </w:p>
    <w:p w14:paraId="4FCA1028" w14:textId="77777777" w:rsidR="00841646" w:rsidRPr="009B21B5" w:rsidRDefault="00841646" w:rsidP="00AD727F">
      <w:pPr>
        <w:spacing w:before="120" w:after="120" w:line="264" w:lineRule="auto"/>
        <w:jc w:val="both"/>
        <w:rPr>
          <w:rFonts w:cstheme="minorHAnsi"/>
          <w:i/>
          <w:lang w:val="nl-BE"/>
        </w:rPr>
      </w:pPr>
      <w:r w:rsidRPr="009B21B5">
        <w:rPr>
          <w:rFonts w:cstheme="minorHAnsi"/>
          <w:i/>
          <w:lang w:val="nl-BE"/>
        </w:rPr>
        <w:t>Kunnen gelijkgesteld worden met een rechtstreekse levering door de producent aan de eindverbruiker, verkopen van een fabrikant op de boerderij, op markten, binnen korte ketens, binnen verenigingen voor het behoud van de traditionele landbouw, bij fabriekswinkels en verkopen door een ambachtsman (slagerij, traiteur, vishandelaar, bakker ...), ook wanneer ze gebeuren via internet voor zover de onlineverkoop niet het volledige inkomen van de handelaar uitmaakt.</w:t>
      </w:r>
    </w:p>
    <w:p w14:paraId="15DAA0BB" w14:textId="77777777" w:rsidR="00841646" w:rsidRPr="009B21B5" w:rsidRDefault="00841646" w:rsidP="00AD727F">
      <w:pPr>
        <w:spacing w:before="120" w:after="120" w:line="264" w:lineRule="auto"/>
        <w:jc w:val="both"/>
        <w:rPr>
          <w:rFonts w:cstheme="minorHAnsi"/>
          <w:i/>
          <w:lang w:val="nl-BE"/>
        </w:rPr>
      </w:pPr>
      <w:r w:rsidRPr="009B21B5">
        <w:rPr>
          <w:rFonts w:cstheme="minorHAnsi"/>
          <w:i/>
          <w:lang w:val="nl-BE"/>
        </w:rPr>
        <w:t>Ook producten die aangeboden worden op beurzen die bedoeld zijn om regionale producten te promoten, kunnen hieronder vallen.</w:t>
      </w:r>
    </w:p>
    <w:p w14:paraId="7F54E35F" w14:textId="77777777" w:rsidR="00841646" w:rsidRPr="009B21B5" w:rsidRDefault="002276CD" w:rsidP="00AD727F">
      <w:pPr>
        <w:spacing w:before="120" w:after="120" w:line="264" w:lineRule="auto"/>
        <w:jc w:val="both"/>
        <w:rPr>
          <w:rFonts w:cstheme="minorHAnsi"/>
          <w:i/>
          <w:lang w:val="nl-BE"/>
        </w:rPr>
      </w:pPr>
      <w:r w:rsidRPr="009B21B5">
        <w:rPr>
          <w:rFonts w:cstheme="minorHAnsi"/>
          <w:i/>
          <w:lang w:val="nl-BE"/>
        </w:rPr>
        <w:t xml:space="preserve">Zijn de bovenstaande criteria van toepassing, dan voldoet de fabrikant waar deze maatregel betrekking op heeft doorgaans, de facto, aan het criterium van 'kleine hoeveelheden' naar de letter van de wet. </w:t>
      </w:r>
    </w:p>
    <w:p w14:paraId="76A3B19D" w14:textId="77777777" w:rsidR="00091B80" w:rsidRPr="009B21B5" w:rsidRDefault="00841646" w:rsidP="00744C6F">
      <w:pPr>
        <w:spacing w:before="120" w:after="0" w:line="264" w:lineRule="auto"/>
        <w:jc w:val="both"/>
        <w:rPr>
          <w:rFonts w:cstheme="minorHAnsi"/>
          <w:i/>
          <w:lang w:val="nl-BE"/>
        </w:rPr>
      </w:pPr>
      <w:r w:rsidRPr="009B21B5">
        <w:rPr>
          <w:rFonts w:cstheme="minorHAnsi"/>
          <w:i/>
          <w:lang w:val="nl-BE"/>
        </w:rPr>
        <w:t>Ten slotte, als aanvulling op de hierboven opgesomde criteria, kunnen in de zin van de definitie van 'kleine hoeveelheden' ook de hoeveelheden voedingsmiddelen in rekening worden gebracht die geproduceerd zijn door producenten die voldoen aan de definitie van micro-onderneming, op nationale schaal, zoals die is opgenomen in artikel 3 van decreet nr. 2008-1354 van 18 december 2008 betreffende de criteria tot bepaling van de categorie waartoe een onderneming behoort voor doeleinden van statistische en economische analyse; met name een onderneming die enerzijds minder dan 10 personen tewerkstelt en anderzijds een jaarlijkse omzet of een balanstotaal laat optekenen van niet meer dan 2 miljoen euro.</w:t>
      </w:r>
    </w:p>
    <w:p w14:paraId="00E1C8DA" w14:textId="77777777" w:rsidR="00A80CDA" w:rsidRPr="009B21B5" w:rsidRDefault="00A80CDA" w:rsidP="00744C6F">
      <w:pPr>
        <w:spacing w:after="0" w:line="264" w:lineRule="auto"/>
        <w:jc w:val="both"/>
        <w:rPr>
          <w:rFonts w:cstheme="minorHAnsi"/>
          <w:i/>
          <w:lang w:val="nl-BE"/>
        </w:rPr>
      </w:pPr>
    </w:p>
    <w:p w14:paraId="70E30D90" w14:textId="705D0AF6" w:rsidR="00AD727F" w:rsidRPr="009B21B5" w:rsidRDefault="00192383" w:rsidP="00644EBB">
      <w:pPr>
        <w:spacing w:after="120" w:line="264" w:lineRule="auto"/>
        <w:jc w:val="both"/>
        <w:rPr>
          <w:color w:val="00B0F0"/>
          <w:lang w:val="nl-BE"/>
        </w:rPr>
      </w:pPr>
      <w:r w:rsidRPr="009B21B5">
        <w:rPr>
          <w:color w:val="00B0F0"/>
          <w:lang w:val="nl-BE"/>
        </w:rPr>
        <w:t xml:space="preserve">Op </w:t>
      </w:r>
      <w:r w:rsidRPr="009B21B5">
        <w:rPr>
          <w:b/>
          <w:color w:val="00B0F0"/>
          <w:lang w:val="nl-BE"/>
        </w:rPr>
        <w:t>voedingssupplementen</w:t>
      </w:r>
      <w:r w:rsidRPr="009B21B5">
        <w:rPr>
          <w:color w:val="00B0F0"/>
          <w:lang w:val="nl-BE"/>
        </w:rPr>
        <w:t xml:space="preserve"> kan de </w:t>
      </w:r>
      <w:proofErr w:type="spellStart"/>
      <w:r w:rsidRPr="009B21B5">
        <w:rPr>
          <w:color w:val="00B0F0"/>
          <w:lang w:val="nl-BE"/>
        </w:rPr>
        <w:t>Nutri</w:t>
      </w:r>
      <w:proofErr w:type="spellEnd"/>
      <w:r w:rsidRPr="009B21B5">
        <w:rPr>
          <w:color w:val="00B0F0"/>
          <w:lang w:val="nl-BE"/>
        </w:rPr>
        <w:t>-Score niet worden aangebracht.</w:t>
      </w:r>
    </w:p>
    <w:p w14:paraId="518C3A42" w14:textId="77777777" w:rsidR="00192383" w:rsidRPr="009B21B5" w:rsidRDefault="00192383" w:rsidP="00AD727F">
      <w:pPr>
        <w:spacing w:before="120" w:after="120" w:line="264" w:lineRule="auto"/>
        <w:jc w:val="both"/>
        <w:rPr>
          <w:rFonts w:cstheme="minorHAnsi"/>
          <w:lang w:val="nl-BE"/>
        </w:rPr>
      </w:pPr>
    </w:p>
    <w:p w14:paraId="0BA3DF67" w14:textId="77777777" w:rsidR="00AA085C" w:rsidRPr="009B21B5" w:rsidRDefault="00AA085C" w:rsidP="00AD727F">
      <w:pPr>
        <w:pStyle w:val="Titre2"/>
        <w:spacing w:line="264" w:lineRule="auto"/>
        <w:contextualSpacing w:val="0"/>
        <w:rPr>
          <w:lang w:val="nl-BE"/>
        </w:rPr>
      </w:pPr>
      <w:bookmarkStart w:id="41" w:name="_Toc83375095"/>
      <w:r w:rsidRPr="009B21B5">
        <w:rPr>
          <w:lang w:val="nl-BE"/>
        </w:rPr>
        <w:lastRenderedPageBreak/>
        <w:t xml:space="preserve">Is het mogelijk om de </w:t>
      </w:r>
      <w:proofErr w:type="spellStart"/>
      <w:r w:rsidRPr="009B21B5">
        <w:rPr>
          <w:lang w:val="nl-BE"/>
        </w:rPr>
        <w:t>Nutri</w:t>
      </w:r>
      <w:proofErr w:type="spellEnd"/>
      <w:r w:rsidRPr="009B21B5">
        <w:rPr>
          <w:lang w:val="nl-BE"/>
        </w:rPr>
        <w:t>-Score aan te brengen op producten waarvoor de verplichte voedingswaardevermelding niet geldt?</w:t>
      </w:r>
      <w:bookmarkEnd w:id="41"/>
    </w:p>
    <w:p w14:paraId="523B29E9" w14:textId="2EB17E68" w:rsidR="00084783" w:rsidRPr="009B21B5" w:rsidRDefault="00084783" w:rsidP="00AD727F">
      <w:pPr>
        <w:spacing w:before="120" w:after="120" w:line="264" w:lineRule="auto"/>
        <w:jc w:val="both"/>
        <w:rPr>
          <w:lang w:val="nl-BE"/>
        </w:rPr>
      </w:pPr>
      <w:r w:rsidRPr="009B21B5">
        <w:rPr>
          <w:lang w:val="nl-BE"/>
        </w:rPr>
        <w:t xml:space="preserve">Voor </w:t>
      </w:r>
      <w:r w:rsidRPr="009B21B5">
        <w:rPr>
          <w:b/>
          <w:lang w:val="nl-BE"/>
        </w:rPr>
        <w:t>producten waarvoor geen verplichte voedingswaardevermelding geldt</w:t>
      </w:r>
      <w:r w:rsidRPr="009B21B5">
        <w:rPr>
          <w:lang w:val="nl-BE"/>
        </w:rPr>
        <w:t xml:space="preserve">, (i.e. producten opgesomd in Bijlage V van de FIC-verordening), kan de producent </w:t>
      </w:r>
      <w:r w:rsidRPr="009B21B5">
        <w:rPr>
          <w:b/>
          <w:lang w:val="nl-BE"/>
        </w:rPr>
        <w:t>als de voedingswaardevermelding aanwezig is, ervoor kiezen</w:t>
      </w:r>
      <w:r w:rsidRPr="009B21B5">
        <w:rPr>
          <w:lang w:val="nl-BE"/>
        </w:rPr>
        <w:t xml:space="preserve"> (vrije keuze) om de </w:t>
      </w:r>
      <w:proofErr w:type="spellStart"/>
      <w:r w:rsidRPr="009B21B5">
        <w:rPr>
          <w:lang w:val="nl-BE"/>
        </w:rPr>
        <w:t>Nutri</w:t>
      </w:r>
      <w:proofErr w:type="spellEnd"/>
      <w:r w:rsidRPr="009B21B5">
        <w:rPr>
          <w:lang w:val="nl-BE"/>
        </w:rPr>
        <w:t>-Score op zijn producten te plaatsen. Die keuze moet echter wel uniform worden toegepast op alle producten van dezelfde categorie (en niet enkel voor elk product afzonderlijk).</w:t>
      </w:r>
    </w:p>
    <w:p w14:paraId="25050E3B" w14:textId="7E9010B1" w:rsidR="00AF5F6C" w:rsidRPr="009B21B5" w:rsidRDefault="00C76401" w:rsidP="00AD727F">
      <w:pPr>
        <w:spacing w:before="120" w:after="120" w:line="264" w:lineRule="auto"/>
        <w:jc w:val="both"/>
        <w:rPr>
          <w:lang w:val="nl-BE"/>
        </w:rPr>
      </w:pPr>
      <w:r w:rsidRPr="009B21B5">
        <w:rPr>
          <w:lang w:val="nl-BE"/>
        </w:rPr>
        <w:t xml:space="preserve">Ook voor producten die ter plaatse in de winkel worden verpakt, is het mogelijk om de </w:t>
      </w:r>
      <w:proofErr w:type="spellStart"/>
      <w:r w:rsidRPr="009B21B5">
        <w:rPr>
          <w:lang w:val="nl-BE"/>
        </w:rPr>
        <w:t>Nutri</w:t>
      </w:r>
      <w:proofErr w:type="spellEnd"/>
      <w:r w:rsidRPr="009B21B5">
        <w:rPr>
          <w:lang w:val="nl-BE"/>
        </w:rPr>
        <w:t>-Score aan te brengen indien het product een voedingswaardevermelding draagt.</w:t>
      </w:r>
    </w:p>
    <w:p w14:paraId="4DFFBCDB" w14:textId="77777777" w:rsidR="00042CB6" w:rsidRPr="009B21B5" w:rsidRDefault="00042CB6" w:rsidP="00AD727F">
      <w:pPr>
        <w:spacing w:before="120" w:after="120" w:line="264" w:lineRule="auto"/>
        <w:jc w:val="both"/>
        <w:rPr>
          <w:color w:val="548DD4" w:themeColor="text2" w:themeTint="99"/>
          <w:lang w:val="nl-BE"/>
        </w:rPr>
      </w:pPr>
    </w:p>
    <w:p w14:paraId="66FD0C13" w14:textId="77777777" w:rsidR="00042CB6" w:rsidRPr="009B21B5" w:rsidRDefault="00042CB6" w:rsidP="00AD727F">
      <w:pPr>
        <w:pStyle w:val="Titre2"/>
        <w:spacing w:line="264" w:lineRule="auto"/>
        <w:contextualSpacing w:val="0"/>
        <w:rPr>
          <w:lang w:val="nl-BE"/>
        </w:rPr>
      </w:pPr>
      <w:bookmarkStart w:id="42" w:name="_Toc83375096"/>
      <w:r w:rsidRPr="009B21B5">
        <w:rPr>
          <w:lang w:val="nl-BE"/>
        </w:rPr>
        <w:t xml:space="preserve">Is het mogelijk om de </w:t>
      </w:r>
      <w:proofErr w:type="spellStart"/>
      <w:r w:rsidRPr="009B21B5">
        <w:rPr>
          <w:lang w:val="nl-BE"/>
        </w:rPr>
        <w:t>Nutri</w:t>
      </w:r>
      <w:proofErr w:type="spellEnd"/>
      <w:r w:rsidRPr="009B21B5">
        <w:rPr>
          <w:lang w:val="nl-BE"/>
        </w:rPr>
        <w:t>-Score toe te passen op recepten?</w:t>
      </w:r>
      <w:bookmarkEnd w:id="42"/>
    </w:p>
    <w:p w14:paraId="14C53209" w14:textId="77777777" w:rsidR="00042CB6" w:rsidRPr="009B21B5" w:rsidRDefault="00042CB6" w:rsidP="00AD727F">
      <w:pPr>
        <w:spacing w:before="120" w:after="120" w:line="264" w:lineRule="auto"/>
        <w:rPr>
          <w:rFonts w:ascii="Calibri" w:hAnsi="Calibri"/>
          <w:i/>
          <w:lang w:val="nl-BE"/>
        </w:rPr>
      </w:pPr>
      <w:r w:rsidRPr="009B21B5">
        <w:rPr>
          <w:rFonts w:ascii="Calibri" w:hAnsi="Calibri"/>
          <w:i/>
          <w:lang w:val="nl-BE"/>
        </w:rPr>
        <w:t>Dit is een voorlopig antwoord dat na de werkzaamheden in het kader van het PNNS4 nog gewijzigd kan worden.</w:t>
      </w:r>
    </w:p>
    <w:p w14:paraId="6C1D43C8" w14:textId="7FAE3C21" w:rsidR="0085255E" w:rsidRPr="009B21B5" w:rsidRDefault="0085255E" w:rsidP="00AD727F">
      <w:pPr>
        <w:spacing w:before="120" w:after="120" w:line="264" w:lineRule="auto"/>
        <w:jc w:val="both"/>
        <w:rPr>
          <w:rFonts w:ascii="Calibri" w:hAnsi="Calibri"/>
          <w:lang w:val="nl-BE"/>
        </w:rPr>
      </w:pPr>
      <w:r w:rsidRPr="009B21B5">
        <w:rPr>
          <w:rFonts w:ascii="Calibri" w:hAnsi="Calibri"/>
          <w:lang w:val="nl-BE"/>
        </w:rPr>
        <w:t xml:space="preserve">Bij recepten wordt de </w:t>
      </w:r>
      <w:proofErr w:type="spellStart"/>
      <w:r w:rsidRPr="009B21B5">
        <w:rPr>
          <w:rFonts w:ascii="Calibri" w:hAnsi="Calibri"/>
          <w:lang w:val="nl-BE"/>
        </w:rPr>
        <w:t>Nutri</w:t>
      </w:r>
      <w:proofErr w:type="spellEnd"/>
      <w:r w:rsidRPr="009B21B5">
        <w:rPr>
          <w:rFonts w:ascii="Calibri" w:hAnsi="Calibri"/>
          <w:lang w:val="nl-BE"/>
        </w:rPr>
        <w:t>-Score berekend op basis van de hoeveelheden en de voedingswaarden van de verschillende ingrediënten van het gerecht zoals het gegeten wordt, dat wil zeggen na het koken van de ingrediënten die gekookt moeten worden. Als de voedingswaarden van de ingrediënten niet beschikbaar zijn omdat ze niet onder de FIC-verordening vallen (onverwerkte producten bv.) moet men zich baseren op de waarden van de CIQUAL-tabel. In Frankrijk wordt de CIQUAL-tabel als referentie genomen. De voedingswaarde</w:t>
      </w:r>
      <w:r w:rsidR="00F64AC4" w:rsidRPr="009B21B5">
        <w:rPr>
          <w:rFonts w:ascii="Calibri" w:hAnsi="Calibri"/>
          <w:lang w:val="nl-BE"/>
        </w:rPr>
        <w:t xml:space="preserve"> van die ingrediënten kunnen daarna worden bepaald door een evenredigheidsregel toe te passen op basis van de gegevens uit de tabel.</w:t>
      </w:r>
    </w:p>
    <w:p w14:paraId="39BE388E" w14:textId="77777777" w:rsidR="0085255E" w:rsidRPr="009B21B5" w:rsidRDefault="0085255E" w:rsidP="00AD727F">
      <w:pPr>
        <w:spacing w:before="120" w:after="120" w:line="264" w:lineRule="auto"/>
        <w:jc w:val="both"/>
        <w:rPr>
          <w:rFonts w:ascii="Calibri" w:hAnsi="Calibri"/>
          <w:lang w:val="nl-BE"/>
        </w:rPr>
      </w:pPr>
      <w:r w:rsidRPr="009B21B5">
        <w:rPr>
          <w:rFonts w:ascii="Calibri" w:hAnsi="Calibri"/>
          <w:lang w:val="nl-BE"/>
        </w:rPr>
        <w:t>De lijst van de ingrediënten die gebruikt worden bij de bereiding van het gerecht alsook de hoeveelheid ervan moeten duidelijk vastgelegd zijn. Er moet een voedingswaardetabel van het recept worden weergegeven.</w:t>
      </w:r>
    </w:p>
    <w:p w14:paraId="6A4B394A" w14:textId="47503C57" w:rsidR="00084783" w:rsidRPr="009B21B5" w:rsidRDefault="00084783" w:rsidP="00AD727F">
      <w:pPr>
        <w:spacing w:before="120" w:after="120" w:line="264" w:lineRule="auto"/>
        <w:jc w:val="both"/>
        <w:rPr>
          <w:rFonts w:ascii="Calibri" w:hAnsi="Calibri"/>
          <w:lang w:val="nl-BE"/>
        </w:rPr>
      </w:pPr>
      <w:r w:rsidRPr="009B21B5">
        <w:rPr>
          <w:lang w:val="nl-BE"/>
        </w:rPr>
        <w:t>Voorverpakte voedingsmiddelen komen niet in aanmerking voor deze berekeningswijze.</w:t>
      </w:r>
    </w:p>
    <w:p w14:paraId="518C84D0" w14:textId="77777777" w:rsidR="00042CB6" w:rsidRPr="009B21B5" w:rsidRDefault="00042CB6" w:rsidP="00AD727F">
      <w:pPr>
        <w:spacing w:before="120" w:after="120" w:line="264" w:lineRule="auto"/>
        <w:jc w:val="both"/>
        <w:rPr>
          <w:color w:val="548DD4" w:themeColor="text2" w:themeTint="99"/>
          <w:lang w:val="nl-BE"/>
        </w:rPr>
      </w:pPr>
    </w:p>
    <w:p w14:paraId="16D0089D" w14:textId="77777777" w:rsidR="004B7D63" w:rsidRPr="009B21B5" w:rsidRDefault="00AD1346" w:rsidP="00AD727F">
      <w:pPr>
        <w:pStyle w:val="Titre2"/>
        <w:spacing w:line="264" w:lineRule="auto"/>
        <w:contextualSpacing w:val="0"/>
        <w:rPr>
          <w:lang w:val="nl-BE"/>
        </w:rPr>
      </w:pPr>
      <w:bookmarkStart w:id="43" w:name="_Toc83375097"/>
      <w:r w:rsidRPr="009B21B5">
        <w:rPr>
          <w:lang w:val="nl-BE"/>
        </w:rPr>
        <w:t xml:space="preserve">Kan men, in commerciële relaties tussen een bedrijf dat klant is bij een leverancier de </w:t>
      </w:r>
      <w:proofErr w:type="spellStart"/>
      <w:r w:rsidRPr="009B21B5">
        <w:rPr>
          <w:lang w:val="nl-BE"/>
        </w:rPr>
        <w:t>Nutri</w:t>
      </w:r>
      <w:proofErr w:type="spellEnd"/>
      <w:r w:rsidRPr="009B21B5">
        <w:rPr>
          <w:lang w:val="nl-BE"/>
        </w:rPr>
        <w:t xml:space="preserve">-Score gebruiken op producten die zogenaamd 'ingrediënt' zijn en die deel uitmaken van de samenstelling van een recept, zonder de </w:t>
      </w:r>
      <w:proofErr w:type="spellStart"/>
      <w:r w:rsidRPr="009B21B5">
        <w:rPr>
          <w:lang w:val="nl-BE"/>
        </w:rPr>
        <w:t>Nutri</w:t>
      </w:r>
      <w:proofErr w:type="spellEnd"/>
      <w:r w:rsidRPr="009B21B5">
        <w:rPr>
          <w:lang w:val="nl-BE"/>
        </w:rPr>
        <w:t>-Score toe te passen?</w:t>
      </w:r>
      <w:bookmarkEnd w:id="43"/>
    </w:p>
    <w:p w14:paraId="45E73BD6" w14:textId="77DD5141" w:rsidR="00F16EF0" w:rsidRPr="009B21B5" w:rsidRDefault="00F16EF0" w:rsidP="00AD727F">
      <w:pPr>
        <w:spacing w:before="120" w:after="120" w:line="264" w:lineRule="auto"/>
        <w:jc w:val="both"/>
        <w:rPr>
          <w:lang w:val="nl-BE"/>
        </w:rPr>
      </w:pPr>
      <w:r w:rsidRPr="009B21B5">
        <w:rPr>
          <w:lang w:val="nl-BE"/>
        </w:rPr>
        <w:t xml:space="preserve">Ingeval van een commerciële relatie tussen twee bedrijven, kan de technische fiche van het product dat 'ingrediënt' is en die bestemd is voor de producent en niet voor de uiteindelijke consument, de vermelding van de </w:t>
      </w:r>
      <w:proofErr w:type="spellStart"/>
      <w:r w:rsidRPr="009B21B5">
        <w:rPr>
          <w:lang w:val="nl-BE"/>
        </w:rPr>
        <w:t>Nutri</w:t>
      </w:r>
      <w:proofErr w:type="spellEnd"/>
      <w:r w:rsidRPr="009B21B5">
        <w:rPr>
          <w:lang w:val="nl-BE"/>
        </w:rPr>
        <w:t>-Score-letter bevatten, zonder dat de producent zich verbindt voor alle producten van zijn merk en zonder dat hij zich dus moet registreren bij de lokale overheid.</w:t>
      </w:r>
    </w:p>
    <w:p w14:paraId="52EF618C" w14:textId="77777777" w:rsidR="00AD1346" w:rsidRPr="009B21B5" w:rsidRDefault="00D44423" w:rsidP="00AD727F">
      <w:pPr>
        <w:spacing w:before="120" w:after="120" w:line="264" w:lineRule="auto"/>
        <w:jc w:val="both"/>
        <w:rPr>
          <w:color w:val="548DD4" w:themeColor="text2" w:themeTint="99"/>
          <w:lang w:val="nl-BE"/>
        </w:rPr>
      </w:pPr>
      <w:r w:rsidRPr="009B21B5">
        <w:rPr>
          <w:color w:val="548DD4" w:themeColor="text2" w:themeTint="99"/>
          <w:lang w:val="nl-BE"/>
        </w:rPr>
        <w:t xml:space="preserve"> </w:t>
      </w:r>
    </w:p>
    <w:p w14:paraId="447E2BC6" w14:textId="77777777" w:rsidR="004B7D63" w:rsidRPr="009B21B5" w:rsidRDefault="004B7D63" w:rsidP="00AD727F">
      <w:pPr>
        <w:pStyle w:val="Titre2"/>
        <w:spacing w:line="264" w:lineRule="auto"/>
        <w:contextualSpacing w:val="0"/>
        <w:rPr>
          <w:lang w:val="nl-BE"/>
        </w:rPr>
      </w:pPr>
      <w:bookmarkStart w:id="44" w:name="_Toc83375098"/>
      <w:r w:rsidRPr="009B21B5">
        <w:rPr>
          <w:lang w:val="nl-BE"/>
        </w:rPr>
        <w:t xml:space="preserve">Wat met assortimenten? Moeten er dan meerdere </w:t>
      </w:r>
      <w:proofErr w:type="spellStart"/>
      <w:r w:rsidRPr="009B21B5">
        <w:rPr>
          <w:lang w:val="nl-BE"/>
        </w:rPr>
        <w:t>Nutri</w:t>
      </w:r>
      <w:proofErr w:type="spellEnd"/>
      <w:r w:rsidRPr="009B21B5">
        <w:rPr>
          <w:lang w:val="nl-BE"/>
        </w:rPr>
        <w:t>-Scores vermeld worden?</w:t>
      </w:r>
      <w:bookmarkEnd w:id="44"/>
    </w:p>
    <w:p w14:paraId="376224B2" w14:textId="77777777" w:rsidR="00DD1DCA" w:rsidRPr="009B21B5" w:rsidRDefault="004B7D63" w:rsidP="00AD727F">
      <w:pPr>
        <w:spacing w:before="120" w:after="120" w:line="264" w:lineRule="auto"/>
        <w:rPr>
          <w:lang w:val="nl-BE"/>
        </w:rPr>
      </w:pPr>
      <w:r w:rsidRPr="009B21B5">
        <w:rPr>
          <w:lang w:val="nl-BE"/>
        </w:rPr>
        <w:t xml:space="preserve">Voor assortimenten: </w:t>
      </w:r>
    </w:p>
    <w:p w14:paraId="4B268B5E" w14:textId="77777777" w:rsidR="004B7D63" w:rsidRPr="009B21B5" w:rsidRDefault="00DD1DCA" w:rsidP="00AD727F">
      <w:pPr>
        <w:spacing w:before="120" w:after="120" w:line="264" w:lineRule="auto"/>
        <w:jc w:val="both"/>
        <w:rPr>
          <w:lang w:val="nl-BE"/>
        </w:rPr>
      </w:pPr>
      <w:r w:rsidRPr="009B21B5">
        <w:rPr>
          <w:lang w:val="nl-BE"/>
        </w:rPr>
        <w:t xml:space="preserve">- Indien de voedingswaarden verschillen, moet per voedingswaardevermelding een </w:t>
      </w:r>
      <w:proofErr w:type="spellStart"/>
      <w:r w:rsidRPr="009B21B5">
        <w:rPr>
          <w:lang w:val="nl-BE"/>
        </w:rPr>
        <w:t>Nutri</w:t>
      </w:r>
      <w:proofErr w:type="spellEnd"/>
      <w:r w:rsidRPr="009B21B5">
        <w:rPr>
          <w:lang w:val="nl-BE"/>
        </w:rPr>
        <w:t xml:space="preserve">-Score worden aangegeven; Santé </w:t>
      </w:r>
      <w:proofErr w:type="spellStart"/>
      <w:r w:rsidRPr="009B21B5">
        <w:rPr>
          <w:lang w:val="nl-BE"/>
        </w:rPr>
        <w:t>publique</w:t>
      </w:r>
      <w:proofErr w:type="spellEnd"/>
      <w:r w:rsidRPr="009B21B5">
        <w:rPr>
          <w:lang w:val="nl-BE"/>
        </w:rPr>
        <w:t xml:space="preserve"> France vermeldt in een grafisch charter hoe meerdere </w:t>
      </w:r>
      <w:proofErr w:type="spellStart"/>
      <w:r w:rsidRPr="009B21B5">
        <w:rPr>
          <w:lang w:val="nl-BE"/>
        </w:rPr>
        <w:t>Nutri</w:t>
      </w:r>
      <w:proofErr w:type="spellEnd"/>
      <w:r w:rsidRPr="009B21B5">
        <w:rPr>
          <w:lang w:val="nl-BE"/>
        </w:rPr>
        <w:t>-Scores op de voorzijde kunnen worden geplaatst.</w:t>
      </w:r>
    </w:p>
    <w:p w14:paraId="20BD72A9" w14:textId="77777777" w:rsidR="004B7D63" w:rsidRPr="009B21B5" w:rsidRDefault="00DD1DCA" w:rsidP="00AD727F">
      <w:pPr>
        <w:spacing w:before="120" w:after="120" w:line="264" w:lineRule="auto"/>
        <w:jc w:val="both"/>
        <w:rPr>
          <w:lang w:val="nl-BE"/>
        </w:rPr>
      </w:pPr>
      <w:r w:rsidRPr="009B21B5">
        <w:rPr>
          <w:lang w:val="nl-BE"/>
        </w:rPr>
        <w:t xml:space="preserve">- Indien de voedingswaardetabellen hetzelfde resultaat opleveren voor de </w:t>
      </w:r>
      <w:proofErr w:type="spellStart"/>
      <w:r w:rsidRPr="009B21B5">
        <w:rPr>
          <w:lang w:val="nl-BE"/>
        </w:rPr>
        <w:t>Nutri</w:t>
      </w:r>
      <w:proofErr w:type="spellEnd"/>
      <w:r w:rsidRPr="009B21B5">
        <w:rPr>
          <w:lang w:val="nl-BE"/>
        </w:rPr>
        <w:t xml:space="preserve">-Score, dan mag er één enkele </w:t>
      </w:r>
      <w:proofErr w:type="spellStart"/>
      <w:r w:rsidRPr="009B21B5">
        <w:rPr>
          <w:lang w:val="nl-BE"/>
        </w:rPr>
        <w:t>Nutri</w:t>
      </w:r>
      <w:proofErr w:type="spellEnd"/>
      <w:r w:rsidRPr="009B21B5">
        <w:rPr>
          <w:lang w:val="nl-BE"/>
        </w:rPr>
        <w:t>-Score worden vermeld op de voorzijde (denken we bijvoorbeeld aan een vruchtenmoes met een ander aroma of aan producten met een enkele gemiddelde voedingswaardevermelding);</w:t>
      </w:r>
    </w:p>
    <w:p w14:paraId="1EE48B3F" w14:textId="4825841F" w:rsidR="004B7D63" w:rsidRPr="009B21B5" w:rsidRDefault="00DD1DCA" w:rsidP="00AD727F">
      <w:pPr>
        <w:spacing w:before="120" w:after="120" w:line="264" w:lineRule="auto"/>
        <w:jc w:val="both"/>
        <w:rPr>
          <w:color w:val="548DD4" w:themeColor="text2" w:themeTint="99"/>
          <w:lang w:val="nl-BE"/>
        </w:rPr>
      </w:pPr>
      <w:r w:rsidRPr="009B21B5">
        <w:rPr>
          <w:lang w:val="nl-BE"/>
        </w:rPr>
        <w:lastRenderedPageBreak/>
        <w:t xml:space="preserve">- Indien het gaat om een assortiment dat in principe volledig wordt geconsumeerd door één persoon, dan mag de gemiddelde </w:t>
      </w:r>
      <w:proofErr w:type="spellStart"/>
      <w:r w:rsidRPr="009B21B5">
        <w:rPr>
          <w:lang w:val="nl-BE"/>
        </w:rPr>
        <w:t>Nutri</w:t>
      </w:r>
      <w:proofErr w:type="spellEnd"/>
      <w:r w:rsidRPr="009B21B5">
        <w:rPr>
          <w:lang w:val="nl-BE"/>
        </w:rPr>
        <w:t xml:space="preserve">-Score worden berekend (we denken dan aan een 'verwenkoffie' met een crème </w:t>
      </w:r>
      <w:proofErr w:type="spellStart"/>
      <w:r w:rsidRPr="009B21B5">
        <w:rPr>
          <w:lang w:val="nl-BE"/>
        </w:rPr>
        <w:t>brûlée</w:t>
      </w:r>
      <w:proofErr w:type="spellEnd"/>
      <w:r w:rsidRPr="009B21B5">
        <w:rPr>
          <w:lang w:val="nl-BE"/>
        </w:rPr>
        <w:t xml:space="preserve">, een </w:t>
      </w:r>
      <w:proofErr w:type="spellStart"/>
      <w:r w:rsidRPr="009B21B5">
        <w:rPr>
          <w:lang w:val="nl-BE"/>
        </w:rPr>
        <w:t>macaron</w:t>
      </w:r>
      <w:proofErr w:type="spellEnd"/>
      <w:r w:rsidRPr="009B21B5">
        <w:rPr>
          <w:lang w:val="nl-BE"/>
        </w:rPr>
        <w:t xml:space="preserve"> en een </w:t>
      </w:r>
      <w:proofErr w:type="spellStart"/>
      <w:r w:rsidRPr="009B21B5">
        <w:rPr>
          <w:lang w:val="nl-BE"/>
        </w:rPr>
        <w:t>chocolademoelleux</w:t>
      </w:r>
      <w:proofErr w:type="spellEnd"/>
      <w:r w:rsidRPr="009B21B5">
        <w:rPr>
          <w:lang w:val="nl-BE"/>
        </w:rPr>
        <w:t xml:space="preserve"> per persoon, maar verbruikt als een enkel product). Als de elementen van het assortiment behoren tot groepen waarvoor verschillende rekenregels gelden (bv. vast voedsel en een drank), kan die berekeningswijze niet worden gebruikt.</w:t>
      </w:r>
    </w:p>
    <w:p w14:paraId="40BEBF29" w14:textId="77777777" w:rsidR="002959C6" w:rsidRPr="009B21B5" w:rsidRDefault="002959C6" w:rsidP="00AD727F">
      <w:pPr>
        <w:spacing w:before="120" w:after="120" w:line="264" w:lineRule="auto"/>
        <w:jc w:val="both"/>
        <w:rPr>
          <w:lang w:val="nl-BE"/>
        </w:rPr>
      </w:pPr>
    </w:p>
    <w:p w14:paraId="70B86879" w14:textId="77777777" w:rsidR="002959C6" w:rsidRPr="009B21B5" w:rsidRDefault="002959C6" w:rsidP="00AD727F">
      <w:pPr>
        <w:spacing w:before="120" w:after="120" w:line="264" w:lineRule="auto"/>
        <w:jc w:val="both"/>
        <w:rPr>
          <w:lang w:val="nl-BE"/>
        </w:rPr>
      </w:pPr>
    </w:p>
    <w:p w14:paraId="6D8CEF54" w14:textId="77777777" w:rsidR="00091B80" w:rsidRPr="009B21B5" w:rsidRDefault="00A007C7" w:rsidP="00AD727F">
      <w:pPr>
        <w:pStyle w:val="Titre1"/>
        <w:spacing w:before="120" w:after="120" w:line="264" w:lineRule="auto"/>
        <w:rPr>
          <w:lang w:val="nl-BE"/>
        </w:rPr>
      </w:pPr>
      <w:bookmarkStart w:id="45" w:name="_Toc83375099"/>
      <w:r w:rsidRPr="009B21B5">
        <w:rPr>
          <w:lang w:val="nl-BE"/>
        </w:rPr>
        <w:t xml:space="preserve">Juridische vragen met betrekking tot de </w:t>
      </w:r>
      <w:proofErr w:type="spellStart"/>
      <w:r w:rsidRPr="009B21B5">
        <w:rPr>
          <w:lang w:val="nl-BE"/>
        </w:rPr>
        <w:t>Nutri</w:t>
      </w:r>
      <w:proofErr w:type="spellEnd"/>
      <w:r w:rsidRPr="009B21B5">
        <w:rPr>
          <w:lang w:val="nl-BE"/>
        </w:rPr>
        <w:t>-Score</w:t>
      </w:r>
      <w:bookmarkEnd w:id="45"/>
    </w:p>
    <w:p w14:paraId="52C64FA4" w14:textId="77777777" w:rsidR="00FC33C6" w:rsidRPr="009B21B5" w:rsidRDefault="00FC33C6" w:rsidP="00AD727F">
      <w:pPr>
        <w:pStyle w:val="Titre2"/>
        <w:spacing w:line="264" w:lineRule="auto"/>
        <w:contextualSpacing w:val="0"/>
        <w:rPr>
          <w:lang w:val="nl-BE"/>
        </w:rPr>
      </w:pPr>
      <w:bookmarkStart w:id="46" w:name="_Toc486439636"/>
      <w:bookmarkStart w:id="47" w:name="_Toc83375100"/>
      <w:r w:rsidRPr="009B21B5">
        <w:rPr>
          <w:lang w:val="nl-BE"/>
        </w:rPr>
        <w:t xml:space="preserve">Wie mag het </w:t>
      </w:r>
      <w:proofErr w:type="spellStart"/>
      <w:r w:rsidRPr="009B21B5">
        <w:rPr>
          <w:lang w:val="nl-BE"/>
        </w:rPr>
        <w:t>Nutri</w:t>
      </w:r>
      <w:proofErr w:type="spellEnd"/>
      <w:r w:rsidRPr="009B21B5">
        <w:rPr>
          <w:lang w:val="nl-BE"/>
        </w:rPr>
        <w:t>-Score-label aanbrengen op zijn merken en producten?</w:t>
      </w:r>
      <w:bookmarkEnd w:id="46"/>
      <w:bookmarkEnd w:id="47"/>
    </w:p>
    <w:p w14:paraId="1CEA3699" w14:textId="77777777" w:rsidR="00FC33C6" w:rsidRPr="009B21B5" w:rsidRDefault="00FC33C6" w:rsidP="00AD727F">
      <w:pPr>
        <w:spacing w:before="120" w:after="120" w:line="264" w:lineRule="auto"/>
        <w:rPr>
          <w:lang w:val="nl-BE"/>
        </w:rPr>
      </w:pPr>
      <w:r w:rsidRPr="009B21B5">
        <w:rPr>
          <w:lang w:val="nl-BE"/>
        </w:rPr>
        <w:t xml:space="preserve">Het gebruik van de merknaam </w:t>
      </w:r>
      <w:proofErr w:type="spellStart"/>
      <w:r w:rsidRPr="009B21B5">
        <w:rPr>
          <w:lang w:val="nl-BE"/>
        </w:rPr>
        <w:t>Nutri</w:t>
      </w:r>
      <w:proofErr w:type="spellEnd"/>
      <w:r w:rsidRPr="009B21B5">
        <w:rPr>
          <w:lang w:val="nl-BE"/>
        </w:rPr>
        <w:t>-Score is voorbehouden aan de fabrikanten en verdelers van producten die op de Franse en/of Europese markt worden gebracht.</w:t>
      </w:r>
    </w:p>
    <w:p w14:paraId="66309D03" w14:textId="1861B692" w:rsidR="00A92583" w:rsidRPr="000F4DA1" w:rsidRDefault="00A92583" w:rsidP="00A92583">
      <w:pPr>
        <w:pStyle w:val="Titre2"/>
        <w:spacing w:line="264" w:lineRule="auto"/>
        <w:rPr>
          <w:color w:val="00B0F0"/>
        </w:rPr>
      </w:pPr>
      <w:bookmarkStart w:id="48" w:name="_Toc75960382"/>
      <w:bookmarkStart w:id="49" w:name="_Toc83375101"/>
      <w:r w:rsidRPr="009B21B5">
        <w:rPr>
          <w:color w:val="00B0F0"/>
          <w:lang w:val="nl-BE"/>
        </w:rPr>
        <w:t xml:space="preserve">Hoe het recht verkrijgen om de </w:t>
      </w:r>
      <w:proofErr w:type="spellStart"/>
      <w:r w:rsidRPr="009B21B5">
        <w:rPr>
          <w:color w:val="00B0F0"/>
          <w:lang w:val="nl-BE"/>
        </w:rPr>
        <w:t>Nutri</w:t>
      </w:r>
      <w:proofErr w:type="spellEnd"/>
      <w:r w:rsidRPr="009B21B5">
        <w:rPr>
          <w:color w:val="00B0F0"/>
          <w:lang w:val="nl-BE"/>
        </w:rPr>
        <w:t xml:space="preserve">-Score te gebruiken? </w:t>
      </w:r>
      <w:r w:rsidRPr="000F4DA1">
        <w:rPr>
          <w:color w:val="00B0F0"/>
        </w:rPr>
        <w:t>(</w:t>
      </w:r>
      <w:proofErr w:type="spellStart"/>
      <w:r w:rsidRPr="000F4DA1">
        <w:rPr>
          <w:color w:val="00B0F0"/>
        </w:rPr>
        <w:t>Registratieprocedure</w:t>
      </w:r>
      <w:proofErr w:type="spellEnd"/>
      <w:r w:rsidRPr="000F4DA1">
        <w:rPr>
          <w:color w:val="00B0F0"/>
        </w:rPr>
        <w:t>)</w:t>
      </w:r>
      <w:bookmarkEnd w:id="48"/>
      <w:bookmarkEnd w:id="49"/>
    </w:p>
    <w:p w14:paraId="548C1BF1" w14:textId="2123632F" w:rsidR="00A92583" w:rsidRPr="009B21B5" w:rsidRDefault="00A92583" w:rsidP="00ED464E">
      <w:pPr>
        <w:numPr>
          <w:ilvl w:val="0"/>
          <w:numId w:val="62"/>
        </w:numPr>
        <w:spacing w:before="100" w:beforeAutospacing="1" w:after="100" w:afterAutospacing="1" w:line="240" w:lineRule="auto"/>
        <w:rPr>
          <w:rFonts w:eastAsia="Times New Roman" w:cstheme="minorHAnsi"/>
          <w:color w:val="00B0F0"/>
          <w:sz w:val="24"/>
          <w:szCs w:val="24"/>
          <w:lang w:val="nl-BE"/>
        </w:rPr>
      </w:pPr>
      <w:r w:rsidRPr="009B21B5">
        <w:rPr>
          <w:rFonts w:cstheme="minorHAnsi"/>
          <w:color w:val="00B0F0"/>
          <w:lang w:val="nl-BE"/>
        </w:rPr>
        <w:t>Ga naar de volgende webpagina met de uitleg van de te volgen stappen (zie '</w:t>
      </w:r>
      <w:proofErr w:type="spellStart"/>
      <w:r w:rsidRPr="009B21B5">
        <w:rPr>
          <w:rFonts w:cstheme="minorHAnsi"/>
          <w:color w:val="00B0F0"/>
          <w:lang w:val="nl-BE"/>
        </w:rPr>
        <w:t>Obtaining</w:t>
      </w:r>
      <w:proofErr w:type="spellEnd"/>
      <w:r w:rsidRPr="009B21B5">
        <w:rPr>
          <w:rFonts w:cstheme="minorHAnsi"/>
          <w:color w:val="00B0F0"/>
          <w:lang w:val="nl-BE"/>
        </w:rPr>
        <w:t xml:space="preserve"> </w:t>
      </w:r>
      <w:proofErr w:type="spellStart"/>
      <w:r w:rsidRPr="009B21B5">
        <w:rPr>
          <w:rFonts w:cstheme="minorHAnsi"/>
          <w:color w:val="00B0F0"/>
          <w:lang w:val="nl-BE"/>
        </w:rPr>
        <w:t>the</w:t>
      </w:r>
      <w:proofErr w:type="spellEnd"/>
      <w:r w:rsidRPr="009B21B5">
        <w:rPr>
          <w:rFonts w:cstheme="minorHAnsi"/>
          <w:color w:val="00B0F0"/>
          <w:lang w:val="nl-BE"/>
        </w:rPr>
        <w:t xml:space="preserve"> right </w:t>
      </w:r>
      <w:proofErr w:type="spellStart"/>
      <w:r w:rsidRPr="009B21B5">
        <w:rPr>
          <w:rFonts w:cstheme="minorHAnsi"/>
          <w:color w:val="00B0F0"/>
          <w:lang w:val="nl-BE"/>
        </w:rPr>
        <w:t>to</w:t>
      </w:r>
      <w:proofErr w:type="spellEnd"/>
      <w:r w:rsidRPr="009B21B5">
        <w:rPr>
          <w:rFonts w:cstheme="minorHAnsi"/>
          <w:color w:val="00B0F0"/>
          <w:lang w:val="nl-BE"/>
        </w:rPr>
        <w:t xml:space="preserve"> </w:t>
      </w:r>
      <w:proofErr w:type="spellStart"/>
      <w:r w:rsidRPr="009B21B5">
        <w:rPr>
          <w:rFonts w:cstheme="minorHAnsi"/>
          <w:color w:val="00B0F0"/>
          <w:lang w:val="nl-BE"/>
        </w:rPr>
        <w:t>use</w:t>
      </w:r>
      <w:proofErr w:type="spellEnd"/>
      <w:r w:rsidRPr="009B21B5">
        <w:rPr>
          <w:rFonts w:cstheme="minorHAnsi"/>
          <w:color w:val="00B0F0"/>
          <w:lang w:val="nl-BE"/>
        </w:rPr>
        <w:t xml:space="preserve"> </w:t>
      </w:r>
      <w:proofErr w:type="spellStart"/>
      <w:r w:rsidRPr="009B21B5">
        <w:rPr>
          <w:rFonts w:cstheme="minorHAnsi"/>
          <w:color w:val="00B0F0"/>
          <w:lang w:val="nl-BE"/>
        </w:rPr>
        <w:t>the</w:t>
      </w:r>
      <w:proofErr w:type="spellEnd"/>
      <w:r w:rsidRPr="009B21B5">
        <w:rPr>
          <w:rFonts w:cstheme="minorHAnsi"/>
          <w:color w:val="00B0F0"/>
          <w:lang w:val="nl-BE"/>
        </w:rPr>
        <w:t xml:space="preserve"> logo'): </w:t>
      </w:r>
      <w:hyperlink r:id="rId9" w:history="1">
        <w:r w:rsidR="00803A0C" w:rsidRPr="009B21B5">
          <w:rPr>
            <w:rStyle w:val="Lienhypertexte"/>
            <w:rFonts w:cstheme="minorHAnsi"/>
            <w:color w:val="00B0F0"/>
            <w:lang w:val="nl-BE"/>
          </w:rPr>
          <w:t>https://www.santepubliquefrance.fr/en/nutri-score</w:t>
        </w:r>
      </w:hyperlink>
      <w:r w:rsidR="00803A0C" w:rsidRPr="009B21B5">
        <w:rPr>
          <w:rFonts w:cstheme="minorHAnsi"/>
          <w:color w:val="00B0F0"/>
          <w:lang w:val="nl-BE"/>
        </w:rPr>
        <w:br/>
      </w:r>
      <w:r w:rsidRPr="009B21B5">
        <w:rPr>
          <w:rFonts w:eastAsia="Times New Roman" w:cstheme="minorHAnsi"/>
          <w:color w:val="00B0F0"/>
          <w:sz w:val="24"/>
          <w:szCs w:val="24"/>
          <w:lang w:val="nl-BE"/>
        </w:rPr>
        <w:br/>
      </w:r>
      <w:r w:rsidRPr="009B21B5">
        <w:rPr>
          <w:rFonts w:cstheme="minorHAnsi"/>
          <w:color w:val="00B0F0"/>
          <w:lang w:val="nl-BE"/>
        </w:rPr>
        <w:t xml:space="preserve">We raden aan om </w:t>
      </w:r>
      <w:r w:rsidRPr="009B21B5">
        <w:rPr>
          <w:rFonts w:cstheme="minorHAnsi"/>
          <w:b/>
          <w:bCs/>
          <w:color w:val="00B0F0"/>
          <w:lang w:val="nl-BE"/>
        </w:rPr>
        <w:t>eerst het gebruiksreglement</w:t>
      </w:r>
      <w:r w:rsidRPr="009B21B5">
        <w:rPr>
          <w:rFonts w:cstheme="minorHAnsi"/>
          <w:color w:val="00B0F0"/>
          <w:lang w:val="nl-BE"/>
        </w:rPr>
        <w:t xml:space="preserve"> en de </w:t>
      </w:r>
      <w:r w:rsidRPr="009B21B5">
        <w:rPr>
          <w:rFonts w:cstheme="minorHAnsi"/>
          <w:b/>
          <w:bCs/>
          <w:color w:val="00B0F0"/>
          <w:lang w:val="nl-BE"/>
        </w:rPr>
        <w:t>vraagbaak (Q&amp;A) te lezen</w:t>
      </w:r>
      <w:r w:rsidRPr="009B21B5">
        <w:rPr>
          <w:rFonts w:cstheme="minorHAnsi"/>
          <w:color w:val="00B0F0"/>
          <w:lang w:val="nl-BE"/>
        </w:rPr>
        <w:t>, u vindt beide op dezelfde webpagina.</w:t>
      </w:r>
      <w:r w:rsidRPr="009B21B5">
        <w:rPr>
          <w:rFonts w:eastAsia="Times New Roman" w:cstheme="minorHAnsi"/>
          <w:color w:val="00B0F0"/>
          <w:sz w:val="24"/>
          <w:szCs w:val="24"/>
          <w:lang w:val="nl-BE"/>
        </w:rPr>
        <w:br/>
      </w:r>
    </w:p>
    <w:p w14:paraId="1E18D707" w14:textId="77777777" w:rsidR="00A92583" w:rsidRPr="009B21B5" w:rsidRDefault="00A92583" w:rsidP="00A92583">
      <w:pPr>
        <w:numPr>
          <w:ilvl w:val="0"/>
          <w:numId w:val="62"/>
        </w:numPr>
        <w:spacing w:before="100" w:beforeAutospacing="1" w:after="100" w:afterAutospacing="1" w:line="240" w:lineRule="auto"/>
        <w:rPr>
          <w:rFonts w:eastAsia="Times New Roman" w:cstheme="minorHAnsi"/>
          <w:color w:val="00B0F0"/>
          <w:sz w:val="24"/>
          <w:szCs w:val="24"/>
          <w:lang w:val="nl-BE"/>
        </w:rPr>
      </w:pPr>
      <w:r w:rsidRPr="009B21B5">
        <w:rPr>
          <w:rFonts w:cstheme="minorHAnsi"/>
          <w:color w:val="00B0F0"/>
          <w:lang w:val="nl-BE"/>
        </w:rPr>
        <w:t xml:space="preserve">Zodra u klaar bent voor de registratie, kunt u de </w:t>
      </w:r>
      <w:r w:rsidRPr="009B21B5">
        <w:rPr>
          <w:rFonts w:cstheme="minorHAnsi"/>
          <w:b/>
          <w:bCs/>
          <w:color w:val="00B0F0"/>
          <w:lang w:val="nl-BE"/>
        </w:rPr>
        <w:t>registratieprocedure</w:t>
      </w:r>
      <w:r w:rsidRPr="009B21B5">
        <w:rPr>
          <w:rFonts w:cstheme="minorHAnsi"/>
          <w:color w:val="00B0F0"/>
          <w:lang w:val="nl-BE"/>
        </w:rPr>
        <w:t xml:space="preserve"> uitvoeren via de volgende weblinks:</w:t>
      </w:r>
    </w:p>
    <w:p w14:paraId="39FDDF4A" w14:textId="72F323A6" w:rsidR="00A92583" w:rsidRPr="009B21B5" w:rsidRDefault="00A92583" w:rsidP="00803A0C">
      <w:pPr>
        <w:pStyle w:val="Paragraphedeliste"/>
        <w:numPr>
          <w:ilvl w:val="0"/>
          <w:numId w:val="63"/>
        </w:numPr>
        <w:spacing w:before="100" w:beforeAutospacing="1" w:after="100" w:afterAutospacing="1" w:line="240" w:lineRule="auto"/>
        <w:contextualSpacing w:val="0"/>
        <w:rPr>
          <w:rFonts w:cstheme="minorHAnsi"/>
          <w:color w:val="00B0F0"/>
          <w:lang w:val="nl-BE" w:eastAsia="fr-FR"/>
        </w:rPr>
      </w:pPr>
      <w:r w:rsidRPr="009B21B5">
        <w:rPr>
          <w:rFonts w:cstheme="minorHAnsi"/>
          <w:color w:val="00B0F0"/>
          <w:lang w:val="nl-BE"/>
        </w:rPr>
        <w:t xml:space="preserve">Voor merken die exclusief op het Franse grondgebied worden </w:t>
      </w:r>
      <w:proofErr w:type="spellStart"/>
      <w:r w:rsidRPr="009B21B5">
        <w:rPr>
          <w:rFonts w:cstheme="minorHAnsi"/>
          <w:color w:val="00B0F0"/>
          <w:lang w:val="nl-BE"/>
        </w:rPr>
        <w:t>vermarkt</w:t>
      </w:r>
      <w:proofErr w:type="spellEnd"/>
      <w:r w:rsidRPr="009B21B5">
        <w:rPr>
          <w:rFonts w:cstheme="minorHAnsi"/>
          <w:color w:val="00B0F0"/>
          <w:lang w:val="nl-BE"/>
        </w:rPr>
        <w:t>: elke persoon die in aanmerking komt en het handelsmerk '</w:t>
      </w:r>
      <w:proofErr w:type="spellStart"/>
      <w:r w:rsidRPr="009B21B5">
        <w:rPr>
          <w:rFonts w:cstheme="minorHAnsi"/>
          <w:color w:val="00B0F0"/>
          <w:lang w:val="nl-BE"/>
        </w:rPr>
        <w:t>Nutri</w:t>
      </w:r>
      <w:proofErr w:type="spellEnd"/>
      <w:r w:rsidRPr="009B21B5">
        <w:rPr>
          <w:rFonts w:cstheme="minorHAnsi"/>
          <w:color w:val="00B0F0"/>
          <w:lang w:val="nl-BE"/>
        </w:rPr>
        <w:t xml:space="preserve">-Score' wil gebruiken, moet die intentie meedelen aan het Franse ministerie van volksgezondheid, door zich te registreren op de website: </w:t>
      </w:r>
      <w:hyperlink r:id="rId10" w:history="1">
        <w:r w:rsidR="00803A0C" w:rsidRPr="009B21B5">
          <w:rPr>
            <w:rStyle w:val="Lienhypertexte"/>
            <w:rFonts w:cstheme="minorHAnsi"/>
            <w:color w:val="00B0F0"/>
            <w:lang w:val="nl-BE"/>
          </w:rPr>
          <w:t>https://www.demarches-simplifiees.fr/commencer/nutri-score_enregistrement_france</w:t>
        </w:r>
      </w:hyperlink>
      <w:r w:rsidR="00803A0C" w:rsidRPr="009B21B5">
        <w:rPr>
          <w:rFonts w:cstheme="minorHAnsi"/>
          <w:color w:val="00B0F0"/>
          <w:lang w:val="nl-BE"/>
        </w:rPr>
        <w:br/>
      </w:r>
    </w:p>
    <w:p w14:paraId="47C5F274" w14:textId="7DEFA531" w:rsidR="00803A0C" w:rsidRPr="009B21B5" w:rsidRDefault="00A92583" w:rsidP="00803A0C">
      <w:pPr>
        <w:pStyle w:val="Paragraphedeliste"/>
        <w:numPr>
          <w:ilvl w:val="0"/>
          <w:numId w:val="63"/>
        </w:numPr>
        <w:spacing w:before="100" w:beforeAutospacing="1" w:after="100" w:afterAutospacing="1" w:line="240" w:lineRule="auto"/>
        <w:contextualSpacing w:val="0"/>
        <w:rPr>
          <w:rFonts w:eastAsia="Times New Roman" w:cstheme="minorHAnsi"/>
          <w:color w:val="00B0F0"/>
          <w:sz w:val="24"/>
          <w:szCs w:val="24"/>
          <w:lang w:val="nl-BE"/>
        </w:rPr>
      </w:pPr>
      <w:r w:rsidRPr="009B21B5">
        <w:rPr>
          <w:rFonts w:cstheme="minorHAnsi"/>
          <w:color w:val="00B0F0"/>
          <w:lang w:val="nl-BE"/>
        </w:rPr>
        <w:t xml:space="preserve">Voor merken die in diverse landen (eventueel incl. Frankrijk) worden </w:t>
      </w:r>
      <w:proofErr w:type="spellStart"/>
      <w:r w:rsidRPr="009B21B5">
        <w:rPr>
          <w:rFonts w:cstheme="minorHAnsi"/>
          <w:color w:val="00B0F0"/>
          <w:lang w:val="nl-BE"/>
        </w:rPr>
        <w:t>vermarkt</w:t>
      </w:r>
      <w:proofErr w:type="spellEnd"/>
      <w:r w:rsidRPr="009B21B5">
        <w:rPr>
          <w:rFonts w:cstheme="minorHAnsi"/>
          <w:color w:val="00B0F0"/>
          <w:lang w:val="nl-BE"/>
        </w:rPr>
        <w:t xml:space="preserve"> of in een land waar de regulerende instantie geen eigen registratieprocedure heeft ingericht (Duitsland, België en Luxemburg), moeten de handelaars zich registreren op de website:</w:t>
      </w:r>
      <w:r w:rsidRPr="009B21B5">
        <w:rPr>
          <w:rFonts w:cstheme="minorHAnsi"/>
          <w:color w:val="00B0F0"/>
          <w:lang w:val="nl-BE"/>
        </w:rPr>
        <w:br/>
      </w:r>
      <w:hyperlink r:id="rId11" w:history="1">
        <w:r w:rsidR="00803A0C" w:rsidRPr="009B21B5">
          <w:rPr>
            <w:rStyle w:val="Lienhypertexte"/>
            <w:rFonts w:eastAsia="Times New Roman" w:cstheme="minorHAnsi"/>
            <w:color w:val="00B0F0"/>
            <w:szCs w:val="24"/>
            <w:lang w:val="nl-BE"/>
          </w:rPr>
          <w:t>https://www.demarches-simplifiees.fr/commencer/ns_international_registration_procedure</w:t>
        </w:r>
      </w:hyperlink>
    </w:p>
    <w:p w14:paraId="2C21CFB5" w14:textId="2008176F" w:rsidR="00736373" w:rsidRPr="009B21B5" w:rsidRDefault="00736373" w:rsidP="00F36B59">
      <w:pPr>
        <w:spacing w:before="100" w:beforeAutospacing="1" w:after="100" w:afterAutospacing="1" w:line="240" w:lineRule="auto"/>
        <w:rPr>
          <w:rFonts w:eastAsia="Times New Roman" w:cstheme="minorHAnsi"/>
          <w:color w:val="00B0F0"/>
          <w:sz w:val="24"/>
          <w:szCs w:val="24"/>
          <w:lang w:val="nl-BE"/>
        </w:rPr>
      </w:pPr>
      <w:r w:rsidRPr="009B21B5">
        <w:rPr>
          <w:rFonts w:cstheme="minorHAnsi"/>
          <w:color w:val="00B0F0"/>
          <w:lang w:val="nl-BE"/>
        </w:rPr>
        <w:t xml:space="preserve">Na uw registratie, ontvangt u meteen een </w:t>
      </w:r>
      <w:r w:rsidRPr="009B21B5">
        <w:rPr>
          <w:rFonts w:cstheme="minorHAnsi"/>
          <w:b/>
          <w:bCs/>
          <w:color w:val="00B0F0"/>
          <w:lang w:val="nl-BE"/>
        </w:rPr>
        <w:t>ontvangstbewijs</w:t>
      </w:r>
      <w:r w:rsidRPr="009B21B5">
        <w:rPr>
          <w:rFonts w:cstheme="minorHAnsi"/>
          <w:color w:val="00B0F0"/>
          <w:lang w:val="nl-BE"/>
        </w:rPr>
        <w:t xml:space="preserve"> via e-mail met het grafisch charter en de bestanden voor het gebruik van het logo,</w:t>
      </w:r>
      <w:r w:rsidRPr="009B21B5">
        <w:rPr>
          <w:rFonts w:cstheme="minorHAnsi"/>
          <w:b/>
          <w:bCs/>
          <w:color w:val="00B0F0"/>
          <w:lang w:val="nl-BE"/>
        </w:rPr>
        <w:t xml:space="preserve"> zonder dat eerst validering nodig is van onze kant</w:t>
      </w:r>
      <w:r w:rsidRPr="009B21B5">
        <w:rPr>
          <w:rFonts w:cstheme="minorHAnsi"/>
          <w:color w:val="00B0F0"/>
          <w:lang w:val="nl-BE"/>
        </w:rPr>
        <w:t xml:space="preserve">. </w:t>
      </w:r>
      <w:r w:rsidRPr="009B21B5">
        <w:rPr>
          <w:rFonts w:cstheme="minorHAnsi"/>
          <w:color w:val="00B0F0"/>
          <w:lang w:val="nl-BE"/>
        </w:rPr>
        <w:br/>
        <w:t xml:space="preserve">U zal de </w:t>
      </w:r>
      <w:r w:rsidRPr="009B21B5">
        <w:rPr>
          <w:rFonts w:cstheme="minorHAnsi"/>
          <w:b/>
          <w:bCs/>
          <w:color w:val="00B0F0"/>
          <w:lang w:val="nl-BE"/>
        </w:rPr>
        <w:t>scores van de producten</w:t>
      </w:r>
      <w:r w:rsidRPr="009B21B5">
        <w:rPr>
          <w:rFonts w:cstheme="minorHAnsi"/>
          <w:color w:val="00B0F0"/>
          <w:lang w:val="nl-BE"/>
        </w:rPr>
        <w:t xml:space="preserve"> kunnen berekenen met behulp van het</w:t>
      </w:r>
      <w:r w:rsidRPr="009B21B5">
        <w:rPr>
          <w:rFonts w:cstheme="minorHAnsi"/>
          <w:b/>
          <w:bCs/>
          <w:color w:val="00B0F0"/>
          <w:lang w:val="nl-BE"/>
        </w:rPr>
        <w:t xml:space="preserve"> Excelbestand</w:t>
      </w:r>
      <w:r w:rsidRPr="009B21B5">
        <w:rPr>
          <w:rFonts w:cstheme="minorHAnsi"/>
          <w:color w:val="00B0F0"/>
          <w:lang w:val="nl-BE"/>
        </w:rPr>
        <w:t xml:space="preserve"> dat u ontvangt samen met het ontvangstbewijs.</w:t>
      </w:r>
      <w:r w:rsidRPr="009B21B5">
        <w:rPr>
          <w:rFonts w:eastAsia="Times New Roman" w:cstheme="minorHAnsi"/>
          <w:color w:val="00B0F0"/>
          <w:sz w:val="24"/>
          <w:szCs w:val="24"/>
          <w:lang w:val="nl-BE"/>
        </w:rPr>
        <w:br/>
      </w:r>
      <w:r w:rsidRPr="009B21B5">
        <w:rPr>
          <w:rFonts w:cstheme="minorHAnsi"/>
          <w:color w:val="00B0F0"/>
          <w:lang w:val="nl-BE"/>
        </w:rPr>
        <w:t xml:space="preserve">De gegevens die aan </w:t>
      </w:r>
      <w:proofErr w:type="spellStart"/>
      <w:r w:rsidRPr="009B21B5">
        <w:rPr>
          <w:rFonts w:cstheme="minorHAnsi"/>
          <w:color w:val="00B0F0"/>
          <w:lang w:val="nl-BE"/>
        </w:rPr>
        <w:t>Oqali</w:t>
      </w:r>
      <w:proofErr w:type="spellEnd"/>
      <w:r w:rsidRPr="009B21B5">
        <w:rPr>
          <w:rFonts w:cstheme="minorHAnsi"/>
          <w:color w:val="00B0F0"/>
          <w:lang w:val="nl-BE"/>
        </w:rPr>
        <w:t xml:space="preserve"> moeten worden bezorgd, betreffen uitsluitend de producten die op de markt worden gebracht in Frankrijk. Het bestand moet worden verstuurd binnen 1 maand na de verschijning op de verpakking of online.</w:t>
      </w:r>
      <w:r w:rsidRPr="009B21B5">
        <w:rPr>
          <w:rFonts w:cstheme="minorHAnsi"/>
          <w:color w:val="00B0F0"/>
          <w:lang w:val="nl-BE"/>
        </w:rPr>
        <w:br/>
        <w:t xml:space="preserve">Santé </w:t>
      </w:r>
      <w:proofErr w:type="spellStart"/>
      <w:r w:rsidRPr="009B21B5">
        <w:rPr>
          <w:rFonts w:cstheme="minorHAnsi"/>
          <w:color w:val="00B0F0"/>
          <w:lang w:val="nl-BE"/>
        </w:rPr>
        <w:t>publique</w:t>
      </w:r>
      <w:proofErr w:type="spellEnd"/>
      <w:r w:rsidRPr="009B21B5">
        <w:rPr>
          <w:rFonts w:cstheme="minorHAnsi"/>
          <w:color w:val="00B0F0"/>
          <w:lang w:val="nl-BE"/>
        </w:rPr>
        <w:t xml:space="preserve"> France staat niet in voor de controle van uw berekeningen van de </w:t>
      </w:r>
      <w:proofErr w:type="spellStart"/>
      <w:r w:rsidRPr="009B21B5">
        <w:rPr>
          <w:rFonts w:cstheme="minorHAnsi"/>
          <w:color w:val="00B0F0"/>
          <w:lang w:val="nl-BE"/>
        </w:rPr>
        <w:t>Nutri</w:t>
      </w:r>
      <w:proofErr w:type="spellEnd"/>
      <w:r w:rsidRPr="009B21B5">
        <w:rPr>
          <w:rFonts w:cstheme="minorHAnsi"/>
          <w:color w:val="00B0F0"/>
          <w:lang w:val="nl-BE"/>
        </w:rPr>
        <w:t>-Score. In overeenstemming met artikel 8 van de FIC-verordening zijn de handelaars immers verantwoordelijk voor de vermeldingen die op hun verpakkingen worden aangebracht.</w:t>
      </w:r>
    </w:p>
    <w:p w14:paraId="2C320FF9" w14:textId="4A366113" w:rsidR="00736373" w:rsidRPr="009B21B5" w:rsidRDefault="00736373" w:rsidP="00F36B59">
      <w:pPr>
        <w:pStyle w:val="Paragraphedeliste"/>
        <w:numPr>
          <w:ilvl w:val="0"/>
          <w:numId w:val="65"/>
        </w:numPr>
        <w:rPr>
          <w:color w:val="00B0F0"/>
          <w:lang w:val="nl-BE"/>
        </w:rPr>
      </w:pPr>
      <w:r w:rsidRPr="009B21B5">
        <w:rPr>
          <w:color w:val="00B0F0"/>
          <w:lang w:val="nl-BE"/>
        </w:rPr>
        <w:t xml:space="preserve">Voor merken die exclusief in Zwitserland worden </w:t>
      </w:r>
      <w:proofErr w:type="spellStart"/>
      <w:r w:rsidRPr="009B21B5">
        <w:rPr>
          <w:color w:val="00B0F0"/>
          <w:lang w:val="nl-BE"/>
        </w:rPr>
        <w:t>vermarkt</w:t>
      </w:r>
      <w:proofErr w:type="spellEnd"/>
      <w:r w:rsidRPr="009B21B5">
        <w:rPr>
          <w:color w:val="00B0F0"/>
          <w:lang w:val="nl-BE"/>
        </w:rPr>
        <w:t>:</w:t>
      </w:r>
    </w:p>
    <w:p w14:paraId="224A6F9F" w14:textId="77777777" w:rsidR="00F36B59" w:rsidRPr="009B21B5" w:rsidRDefault="00F36B59" w:rsidP="00F36B59">
      <w:pPr>
        <w:pStyle w:val="Paragraphedeliste"/>
        <w:spacing w:before="120" w:after="120" w:line="264" w:lineRule="auto"/>
        <w:ind w:left="1068"/>
        <w:jc w:val="both"/>
        <w:rPr>
          <w:rStyle w:val="Lienhypertexte"/>
          <w:color w:val="00B0F0"/>
          <w:lang w:val="nl-BE"/>
        </w:rPr>
      </w:pPr>
      <w:r w:rsidRPr="000F4DA1">
        <w:rPr>
          <w:color w:val="00B0F0"/>
          <w:lang w:val="en-US"/>
        </w:rPr>
        <w:fldChar w:fldCharType="begin"/>
      </w:r>
      <w:r w:rsidRPr="000F4DA1">
        <w:rPr>
          <w:color w:val="00B0F0"/>
          <w:lang w:val="nl"/>
        </w:rPr>
        <w:instrText xml:space="preserve"> HYPERLINK "https://www.blv.admin.ch/blv/de/home/lebensmittel-und-ernaehrung/ernaehrung/nutri-score/nutri-score-lebensmittelproduzenten.html" </w:instrText>
      </w:r>
      <w:r w:rsidRPr="000F4DA1">
        <w:rPr>
          <w:color w:val="00B0F0"/>
          <w:lang w:val="en-US"/>
        </w:rPr>
        <w:fldChar w:fldCharType="separate"/>
      </w:r>
      <w:r w:rsidRPr="000F4DA1">
        <w:rPr>
          <w:rStyle w:val="Lienhypertexte"/>
          <w:color w:val="00B0F0"/>
          <w:lang w:val="nl"/>
        </w:rPr>
        <w:t>Lebensmittelproduzenten (admin.ch)</w:t>
      </w:r>
    </w:p>
    <w:p w14:paraId="603D5443" w14:textId="1CA8FD4F" w:rsidR="00FC33C6" w:rsidRPr="009B21B5" w:rsidRDefault="00F36B59" w:rsidP="00F36B59">
      <w:pPr>
        <w:pStyle w:val="Paragraphedeliste"/>
        <w:ind w:left="1068"/>
        <w:rPr>
          <w:color w:val="00B0F0"/>
          <w:lang w:val="nl-BE"/>
        </w:rPr>
      </w:pPr>
      <w:r w:rsidRPr="000F4DA1">
        <w:rPr>
          <w:color w:val="00B0F0"/>
          <w:lang w:val="en-US"/>
        </w:rPr>
        <w:fldChar w:fldCharType="end"/>
      </w:r>
    </w:p>
    <w:p w14:paraId="2BD66F86" w14:textId="77777777" w:rsidR="00FC33C6" w:rsidRPr="009B21B5" w:rsidRDefault="00FC33C6" w:rsidP="00AD727F">
      <w:pPr>
        <w:pStyle w:val="Titre2"/>
        <w:spacing w:line="264" w:lineRule="auto"/>
        <w:contextualSpacing w:val="0"/>
        <w:rPr>
          <w:color w:val="00B0F0"/>
          <w:lang w:val="nl-BE"/>
        </w:rPr>
      </w:pPr>
      <w:bookmarkStart w:id="50" w:name="_Toc486439638"/>
      <w:bookmarkStart w:id="51" w:name="_Toc83375102"/>
      <w:r w:rsidRPr="009B21B5">
        <w:rPr>
          <w:color w:val="00B0F0"/>
          <w:lang w:val="nl-BE"/>
        </w:rPr>
        <w:lastRenderedPageBreak/>
        <w:t xml:space="preserve">Hoe de documenten ontvangen voor toepassing van de </w:t>
      </w:r>
      <w:proofErr w:type="spellStart"/>
      <w:r w:rsidRPr="009B21B5">
        <w:rPr>
          <w:color w:val="00B0F0"/>
          <w:lang w:val="nl-BE"/>
        </w:rPr>
        <w:t>Nutri</w:t>
      </w:r>
      <w:proofErr w:type="spellEnd"/>
      <w:r w:rsidRPr="009B21B5">
        <w:rPr>
          <w:color w:val="00B0F0"/>
          <w:lang w:val="nl-BE"/>
        </w:rPr>
        <w:t>-Score?</w:t>
      </w:r>
      <w:bookmarkEnd w:id="50"/>
      <w:bookmarkEnd w:id="51"/>
    </w:p>
    <w:p w14:paraId="5C8131B5" w14:textId="3DD36703" w:rsidR="00FC33C6" w:rsidRPr="009B21B5" w:rsidRDefault="00736373" w:rsidP="00AD727F">
      <w:pPr>
        <w:pStyle w:val="Textebrut"/>
        <w:spacing w:before="120" w:after="120" w:line="264" w:lineRule="auto"/>
        <w:rPr>
          <w:color w:val="00B0F0"/>
          <w:lang w:val="nl-BE"/>
        </w:rPr>
      </w:pPr>
      <w:r w:rsidRPr="009B21B5">
        <w:rPr>
          <w:color w:val="00B0F0"/>
          <w:lang w:val="nl-BE"/>
        </w:rPr>
        <w:t>Zoals hierboven uitgelegd (vraag HOE HET RECHT VERKRIJGEN OM DE NUTRI-SCORE TE GEBRUIKEN? (REGISTRATIEPROCEDURE)), moet de handelaar zich eerst inschrijven op een van de websites om over die documenten te kunnen beschikken.</w:t>
      </w:r>
    </w:p>
    <w:p w14:paraId="635CD846" w14:textId="77777777" w:rsidR="00FC33C6" w:rsidRPr="009B21B5" w:rsidRDefault="00727CAD" w:rsidP="00AD727F">
      <w:pPr>
        <w:spacing w:before="120" w:after="120" w:line="264" w:lineRule="auto"/>
        <w:jc w:val="both"/>
        <w:rPr>
          <w:lang w:val="nl-BE"/>
        </w:rPr>
      </w:pPr>
      <w:r w:rsidRPr="009B21B5">
        <w:rPr>
          <w:lang w:val="nl-BE"/>
        </w:rPr>
        <w:t xml:space="preserve">Hij zal dan wat gegevens moeten invullen, zoals zijn bedrijfsgegevens (SIRET-nummer, intracommunautair btw-nummer ...) en informatie over de productsegmenten waarvoor hij graag de </w:t>
      </w:r>
      <w:proofErr w:type="spellStart"/>
      <w:r w:rsidRPr="009B21B5">
        <w:rPr>
          <w:lang w:val="nl-BE"/>
        </w:rPr>
        <w:t>Nutri</w:t>
      </w:r>
      <w:proofErr w:type="spellEnd"/>
      <w:r w:rsidRPr="009B21B5">
        <w:rPr>
          <w:lang w:val="nl-BE"/>
        </w:rPr>
        <w:t>-Score wil vermelden.</w:t>
      </w:r>
    </w:p>
    <w:p w14:paraId="7BE1E85E" w14:textId="77777777" w:rsidR="00FC33C6" w:rsidRPr="009B21B5" w:rsidRDefault="00FC33C6" w:rsidP="00AD727F">
      <w:pPr>
        <w:spacing w:before="120" w:after="120" w:line="264" w:lineRule="auto"/>
        <w:jc w:val="both"/>
        <w:rPr>
          <w:lang w:val="nl-BE"/>
        </w:rPr>
      </w:pPr>
      <w:r w:rsidRPr="009B21B5">
        <w:rPr>
          <w:lang w:val="nl-BE"/>
        </w:rPr>
        <w:t>Zodra alle verplichte gegevens zijn bezorgd, moet hij zijn dossier indienen ('</w:t>
      </w:r>
      <w:proofErr w:type="spellStart"/>
      <w:r w:rsidRPr="009B21B5">
        <w:rPr>
          <w:lang w:val="nl-BE"/>
        </w:rPr>
        <w:t>soumettre</w:t>
      </w:r>
      <w:proofErr w:type="spellEnd"/>
      <w:r w:rsidRPr="009B21B5">
        <w:rPr>
          <w:lang w:val="nl-BE"/>
        </w:rPr>
        <w:t xml:space="preserve"> </w:t>
      </w:r>
      <w:proofErr w:type="spellStart"/>
      <w:r w:rsidRPr="009B21B5">
        <w:rPr>
          <w:lang w:val="nl-BE"/>
        </w:rPr>
        <w:t>votre</w:t>
      </w:r>
      <w:proofErr w:type="spellEnd"/>
      <w:r w:rsidRPr="009B21B5">
        <w:rPr>
          <w:lang w:val="nl-BE"/>
        </w:rPr>
        <w:t xml:space="preserve"> dossier'), om een e-mail te ontvangen met een link naar de documenten die nodig zijn om de </w:t>
      </w:r>
      <w:proofErr w:type="spellStart"/>
      <w:r w:rsidRPr="009B21B5">
        <w:rPr>
          <w:lang w:val="nl-BE"/>
        </w:rPr>
        <w:t>Nutri</w:t>
      </w:r>
      <w:proofErr w:type="spellEnd"/>
      <w:r w:rsidRPr="009B21B5">
        <w:rPr>
          <w:lang w:val="nl-BE"/>
        </w:rPr>
        <w:t>-Score toe te passen (in .zip-formaat).</w:t>
      </w:r>
    </w:p>
    <w:p w14:paraId="249C506B" w14:textId="77777777" w:rsidR="009D0DAE" w:rsidRPr="009B21B5" w:rsidRDefault="009D0DAE" w:rsidP="00AD727F">
      <w:pPr>
        <w:spacing w:before="120" w:after="120" w:line="264" w:lineRule="auto"/>
        <w:jc w:val="both"/>
        <w:rPr>
          <w:lang w:val="nl-BE"/>
        </w:rPr>
      </w:pPr>
    </w:p>
    <w:p w14:paraId="1BC5CC80" w14:textId="77777777" w:rsidR="009D0DAE" w:rsidRPr="009B21B5" w:rsidRDefault="009D0DAE" w:rsidP="00AD727F">
      <w:pPr>
        <w:pStyle w:val="Titre2"/>
        <w:spacing w:line="264" w:lineRule="auto"/>
        <w:contextualSpacing w:val="0"/>
        <w:rPr>
          <w:lang w:val="nl-BE"/>
        </w:rPr>
      </w:pPr>
      <w:bookmarkStart w:id="52" w:name="_Toc486439640"/>
      <w:bookmarkStart w:id="53" w:name="_Toc83375103"/>
      <w:r w:rsidRPr="009B21B5">
        <w:rPr>
          <w:lang w:val="nl-BE"/>
        </w:rPr>
        <w:t xml:space="preserve">Hoe gemakkelijk de scores van de </w:t>
      </w:r>
      <w:proofErr w:type="spellStart"/>
      <w:r w:rsidRPr="009B21B5">
        <w:rPr>
          <w:lang w:val="nl-BE"/>
        </w:rPr>
        <w:t>Nutri</w:t>
      </w:r>
      <w:proofErr w:type="spellEnd"/>
      <w:r w:rsidRPr="009B21B5">
        <w:rPr>
          <w:lang w:val="nl-BE"/>
        </w:rPr>
        <w:t>-Score berekenen?</w:t>
      </w:r>
      <w:bookmarkEnd w:id="52"/>
      <w:bookmarkEnd w:id="53"/>
    </w:p>
    <w:p w14:paraId="0E4303C0" w14:textId="77777777" w:rsidR="009D0DAE" w:rsidRPr="009B21B5" w:rsidRDefault="00FD2AF1" w:rsidP="00AD727F">
      <w:pPr>
        <w:spacing w:before="120" w:after="120" w:line="264" w:lineRule="auto"/>
        <w:jc w:val="both"/>
        <w:rPr>
          <w:rStyle w:val="Lienhypertexte"/>
          <w:lang w:val="nl-BE"/>
        </w:rPr>
      </w:pPr>
      <w:r w:rsidRPr="009B21B5">
        <w:rPr>
          <w:rFonts w:cstheme="minorHAnsi"/>
          <w:lang w:val="nl-BE"/>
        </w:rPr>
        <w:t xml:space="preserve">Een rekenblad (Excel) voor professionals die zich willen aansluiten bij het </w:t>
      </w:r>
      <w:proofErr w:type="spellStart"/>
      <w:r w:rsidRPr="009B21B5">
        <w:rPr>
          <w:rFonts w:cstheme="minorHAnsi"/>
          <w:lang w:val="nl-BE"/>
        </w:rPr>
        <w:t>Nutri</w:t>
      </w:r>
      <w:proofErr w:type="spellEnd"/>
      <w:r w:rsidRPr="009B21B5">
        <w:rPr>
          <w:rFonts w:cstheme="minorHAnsi"/>
          <w:lang w:val="nl-BE"/>
        </w:rPr>
        <w:t>-Score-systeem, kan worden gedownload op de website www.nutriscore.be van de FOD Volksgezondheid.</w:t>
      </w:r>
    </w:p>
    <w:p w14:paraId="3BF38789" w14:textId="77777777" w:rsidR="009D0DAE" w:rsidRPr="009B21B5" w:rsidRDefault="00EA66AA" w:rsidP="00AD727F">
      <w:pPr>
        <w:spacing w:before="120" w:after="120" w:line="264" w:lineRule="auto"/>
        <w:jc w:val="both"/>
        <w:rPr>
          <w:rFonts w:cstheme="minorHAnsi"/>
          <w:lang w:val="nl-BE"/>
        </w:rPr>
      </w:pPr>
      <w:r w:rsidRPr="009B21B5">
        <w:rPr>
          <w:rFonts w:cstheme="minorHAnsi"/>
          <w:lang w:val="nl-BE"/>
        </w:rPr>
        <w:t xml:space="preserve">Daarnaast moeten de softwarefabrikanten die software aanbieden om de </w:t>
      </w:r>
      <w:proofErr w:type="spellStart"/>
      <w:r w:rsidRPr="009B21B5">
        <w:rPr>
          <w:rFonts w:cstheme="minorHAnsi"/>
          <w:lang w:val="nl-BE"/>
        </w:rPr>
        <w:t>Nutri</w:t>
      </w:r>
      <w:proofErr w:type="spellEnd"/>
      <w:r w:rsidRPr="009B21B5">
        <w:rPr>
          <w:rFonts w:cstheme="minorHAnsi"/>
          <w:lang w:val="nl-BE"/>
        </w:rPr>
        <w:t xml:space="preserve">-Score te berekenen zich houden aan alle berekeningsmodaliteiten opgenomen in het </w:t>
      </w:r>
      <w:proofErr w:type="spellStart"/>
      <w:r w:rsidRPr="009B21B5">
        <w:rPr>
          <w:rFonts w:cstheme="minorHAnsi"/>
          <w:lang w:val="nl-BE"/>
        </w:rPr>
        <w:t>Nutri</w:t>
      </w:r>
      <w:proofErr w:type="spellEnd"/>
      <w:r w:rsidRPr="009B21B5">
        <w:rPr>
          <w:rFonts w:cstheme="minorHAnsi"/>
          <w:lang w:val="nl-BE"/>
        </w:rPr>
        <w:t xml:space="preserve">-Score-gebruiksreglement en een gebruikslicentie van Santé </w:t>
      </w:r>
      <w:proofErr w:type="spellStart"/>
      <w:r w:rsidRPr="009B21B5">
        <w:rPr>
          <w:rFonts w:cstheme="minorHAnsi"/>
          <w:lang w:val="nl-BE"/>
        </w:rPr>
        <w:t>publique</w:t>
      </w:r>
      <w:proofErr w:type="spellEnd"/>
      <w:r w:rsidRPr="009B21B5">
        <w:rPr>
          <w:rFonts w:cstheme="minorHAnsi"/>
          <w:lang w:val="nl-BE"/>
        </w:rPr>
        <w:t xml:space="preserve"> France (het Franse ministerie van Volksgezondheid) toegekend krijgen. </w:t>
      </w:r>
    </w:p>
    <w:p w14:paraId="08A361BF" w14:textId="77777777" w:rsidR="009D0DAE" w:rsidRPr="009B21B5" w:rsidRDefault="009D0DAE" w:rsidP="00AD727F">
      <w:pPr>
        <w:pStyle w:val="titre10"/>
        <w:numPr>
          <w:ilvl w:val="0"/>
          <w:numId w:val="0"/>
        </w:numPr>
        <w:spacing w:before="120" w:after="120" w:line="264" w:lineRule="auto"/>
        <w:contextualSpacing w:val="0"/>
        <w:rPr>
          <w:lang w:val="nl-BE"/>
        </w:rPr>
      </w:pPr>
      <w:r w:rsidRPr="009B21B5">
        <w:rPr>
          <w:lang w:val="nl-BE"/>
        </w:rPr>
        <w:t>Voor meer informatie over dit voedingsinformatiesysteem is het altijd interessant om het advies van de Franse hogere gezondheidsraad (</w:t>
      </w:r>
      <w:proofErr w:type="spellStart"/>
      <w:r w:rsidRPr="009B21B5">
        <w:rPr>
          <w:lang w:val="nl-BE"/>
        </w:rPr>
        <w:t>Haut</w:t>
      </w:r>
      <w:proofErr w:type="spellEnd"/>
      <w:r w:rsidRPr="009B21B5">
        <w:rPr>
          <w:lang w:val="nl-BE"/>
        </w:rPr>
        <w:t xml:space="preserve"> </w:t>
      </w:r>
      <w:proofErr w:type="spellStart"/>
      <w:r w:rsidRPr="009B21B5">
        <w:rPr>
          <w:lang w:val="nl-BE"/>
        </w:rPr>
        <w:t>Conseil</w:t>
      </w:r>
      <w:proofErr w:type="spellEnd"/>
      <w:r w:rsidRPr="009B21B5">
        <w:rPr>
          <w:lang w:val="nl-BE"/>
        </w:rPr>
        <w:t xml:space="preserve"> de la santé </w:t>
      </w:r>
      <w:proofErr w:type="spellStart"/>
      <w:r w:rsidRPr="009B21B5">
        <w:rPr>
          <w:lang w:val="nl-BE"/>
        </w:rPr>
        <w:t>publique</w:t>
      </w:r>
      <w:proofErr w:type="spellEnd"/>
      <w:r w:rsidRPr="009B21B5">
        <w:rPr>
          <w:lang w:val="nl-BE"/>
        </w:rPr>
        <w:t xml:space="preserve"> of HCSP) te raadplegen: http://www.hcsp.fr/explore.cgi/avisrapportsdomaine?clefr=519.</w:t>
      </w:r>
    </w:p>
    <w:p w14:paraId="7EE9A118" w14:textId="77777777" w:rsidR="00FC33C6" w:rsidRPr="009B21B5" w:rsidRDefault="00FC33C6" w:rsidP="00AD727F">
      <w:pPr>
        <w:pStyle w:val="titre10"/>
        <w:numPr>
          <w:ilvl w:val="0"/>
          <w:numId w:val="0"/>
        </w:numPr>
        <w:spacing w:before="120" w:after="120" w:line="264" w:lineRule="auto"/>
        <w:ind w:left="720" w:hanging="360"/>
        <w:contextualSpacing w:val="0"/>
        <w:rPr>
          <w:b/>
          <w:lang w:val="nl-BE"/>
        </w:rPr>
      </w:pPr>
    </w:p>
    <w:p w14:paraId="63D60536" w14:textId="77777777" w:rsidR="00FC33C6" w:rsidRPr="009B21B5" w:rsidRDefault="00727CAD" w:rsidP="00AD727F">
      <w:pPr>
        <w:pStyle w:val="Titre2"/>
        <w:spacing w:line="264" w:lineRule="auto"/>
        <w:contextualSpacing w:val="0"/>
        <w:rPr>
          <w:color w:val="00B0F0"/>
          <w:lang w:val="nl-BE"/>
        </w:rPr>
      </w:pPr>
      <w:bookmarkStart w:id="54" w:name="_Toc486439639"/>
      <w:bookmarkStart w:id="55" w:name="_Toc83375104"/>
      <w:r w:rsidRPr="009B21B5">
        <w:rPr>
          <w:color w:val="00B0F0"/>
          <w:lang w:val="nl-BE"/>
        </w:rPr>
        <w:t>Is het mogelijk om eerst een testfase te houden alvorens in te stappen?</w:t>
      </w:r>
      <w:bookmarkEnd w:id="54"/>
      <w:bookmarkEnd w:id="55"/>
    </w:p>
    <w:p w14:paraId="2492CD3F" w14:textId="0FC03282" w:rsidR="00727CAD" w:rsidRPr="009B21B5" w:rsidRDefault="00FC33C6" w:rsidP="00AD727F">
      <w:pPr>
        <w:pStyle w:val="titre10"/>
        <w:numPr>
          <w:ilvl w:val="0"/>
          <w:numId w:val="0"/>
        </w:numPr>
        <w:spacing w:before="120" w:after="120" w:line="264" w:lineRule="auto"/>
        <w:contextualSpacing w:val="0"/>
        <w:rPr>
          <w:color w:val="00B0F0"/>
          <w:lang w:val="nl-BE"/>
        </w:rPr>
      </w:pPr>
      <w:r w:rsidRPr="009B21B5">
        <w:rPr>
          <w:color w:val="00B0F0"/>
          <w:lang w:val="nl-BE"/>
        </w:rPr>
        <w:t xml:space="preserve">Om de nodige documenten voor het gebruik van het logo te verkrijgen moet u zich registreren op een van de volgende websites: </w:t>
      </w:r>
    </w:p>
    <w:p w14:paraId="0DEBDF3E" w14:textId="3957691F" w:rsidR="00736373" w:rsidRPr="009B21B5" w:rsidRDefault="00736373" w:rsidP="00803A0C">
      <w:pPr>
        <w:pStyle w:val="Paragraphedeliste"/>
        <w:numPr>
          <w:ilvl w:val="0"/>
          <w:numId w:val="63"/>
        </w:numPr>
        <w:spacing w:before="100" w:beforeAutospacing="1" w:after="100" w:afterAutospacing="1" w:line="240" w:lineRule="auto"/>
        <w:contextualSpacing w:val="0"/>
        <w:rPr>
          <w:rFonts w:cstheme="minorHAnsi"/>
          <w:color w:val="00B0F0"/>
          <w:lang w:val="nl-BE" w:eastAsia="fr-FR"/>
        </w:rPr>
      </w:pPr>
      <w:r w:rsidRPr="009B21B5">
        <w:rPr>
          <w:rFonts w:cstheme="minorHAnsi"/>
          <w:color w:val="00B0F0"/>
          <w:lang w:val="nl-BE"/>
        </w:rPr>
        <w:t xml:space="preserve">Voor merken die </w:t>
      </w:r>
      <w:r w:rsidRPr="009B21B5">
        <w:rPr>
          <w:rFonts w:cstheme="minorHAnsi"/>
          <w:b/>
          <w:color w:val="00B0F0"/>
          <w:lang w:val="nl-BE"/>
        </w:rPr>
        <w:t>exclusief op het Franse grondgebied</w:t>
      </w:r>
      <w:r w:rsidRPr="009B21B5">
        <w:rPr>
          <w:rFonts w:cstheme="minorHAnsi"/>
          <w:color w:val="00B0F0"/>
          <w:lang w:val="nl-BE"/>
        </w:rPr>
        <w:t xml:space="preserve"> worden </w:t>
      </w:r>
      <w:proofErr w:type="spellStart"/>
      <w:r w:rsidRPr="009B21B5">
        <w:rPr>
          <w:rFonts w:cstheme="minorHAnsi"/>
          <w:color w:val="00B0F0"/>
          <w:lang w:val="nl-BE"/>
        </w:rPr>
        <w:t>vermarkt</w:t>
      </w:r>
      <w:proofErr w:type="spellEnd"/>
      <w:r w:rsidRPr="009B21B5">
        <w:rPr>
          <w:rFonts w:cstheme="minorHAnsi"/>
          <w:color w:val="00B0F0"/>
          <w:lang w:val="nl-BE"/>
        </w:rPr>
        <w:t>: elke persoon die in aanmerking komt en het handelsmerk '</w:t>
      </w:r>
      <w:proofErr w:type="spellStart"/>
      <w:r w:rsidRPr="009B21B5">
        <w:rPr>
          <w:rFonts w:cstheme="minorHAnsi"/>
          <w:color w:val="00B0F0"/>
          <w:lang w:val="nl-BE"/>
        </w:rPr>
        <w:t>Nutri</w:t>
      </w:r>
      <w:proofErr w:type="spellEnd"/>
      <w:r w:rsidRPr="009B21B5">
        <w:rPr>
          <w:rFonts w:cstheme="minorHAnsi"/>
          <w:color w:val="00B0F0"/>
          <w:lang w:val="nl-BE"/>
        </w:rPr>
        <w:t xml:space="preserve">-Score' wil gebruiken, moet die intentie meedelen aan het Franse ministerie van volksgezondheid, door zich te registreren op de website: </w:t>
      </w:r>
      <w:hyperlink r:id="rId12" w:history="1">
        <w:r w:rsidR="00803A0C" w:rsidRPr="009B21B5">
          <w:rPr>
            <w:rStyle w:val="Lienhypertexte"/>
            <w:rFonts w:cstheme="minorHAnsi"/>
            <w:color w:val="00B0F0"/>
            <w:lang w:val="nl-BE"/>
          </w:rPr>
          <w:t>https://www.demarches-simplifiees.fr/commencer/nutri-score_enregistrement_france</w:t>
        </w:r>
      </w:hyperlink>
      <w:r w:rsidR="00803A0C" w:rsidRPr="009B21B5">
        <w:rPr>
          <w:rFonts w:cstheme="minorHAnsi"/>
          <w:color w:val="00B0F0"/>
          <w:lang w:val="nl-BE"/>
        </w:rPr>
        <w:br/>
      </w:r>
    </w:p>
    <w:p w14:paraId="23436978" w14:textId="0A1062E6" w:rsidR="00803A0C" w:rsidRPr="009B21B5" w:rsidRDefault="00736373" w:rsidP="00803A0C">
      <w:pPr>
        <w:pStyle w:val="Paragraphedeliste"/>
        <w:numPr>
          <w:ilvl w:val="0"/>
          <w:numId w:val="63"/>
        </w:numPr>
        <w:spacing w:before="100" w:beforeAutospacing="1" w:after="100" w:afterAutospacing="1" w:line="240" w:lineRule="auto"/>
        <w:contextualSpacing w:val="0"/>
        <w:rPr>
          <w:rFonts w:eastAsia="Times New Roman" w:cstheme="minorHAnsi"/>
          <w:color w:val="00B0F0"/>
          <w:sz w:val="24"/>
          <w:szCs w:val="24"/>
          <w:lang w:val="nl-BE"/>
        </w:rPr>
      </w:pPr>
      <w:r w:rsidRPr="009B21B5">
        <w:rPr>
          <w:rFonts w:cstheme="minorHAnsi"/>
          <w:color w:val="00B0F0"/>
          <w:lang w:val="nl-BE"/>
        </w:rPr>
        <w:t xml:space="preserve">Voor merken die in </w:t>
      </w:r>
      <w:r w:rsidRPr="009B21B5">
        <w:rPr>
          <w:rFonts w:cstheme="minorHAnsi"/>
          <w:b/>
          <w:color w:val="00B0F0"/>
          <w:lang w:val="nl-BE"/>
        </w:rPr>
        <w:t>diverse landen</w:t>
      </w:r>
      <w:r w:rsidRPr="009B21B5">
        <w:rPr>
          <w:rFonts w:cstheme="minorHAnsi"/>
          <w:color w:val="00B0F0"/>
          <w:lang w:val="nl-BE"/>
        </w:rPr>
        <w:t xml:space="preserve"> (eventueel incl. Frankrijk) worden </w:t>
      </w:r>
      <w:proofErr w:type="spellStart"/>
      <w:r w:rsidRPr="009B21B5">
        <w:rPr>
          <w:rFonts w:cstheme="minorHAnsi"/>
          <w:color w:val="00B0F0"/>
          <w:lang w:val="nl-BE"/>
        </w:rPr>
        <w:t>vermarkt</w:t>
      </w:r>
      <w:proofErr w:type="spellEnd"/>
      <w:r w:rsidRPr="009B21B5">
        <w:rPr>
          <w:rFonts w:cstheme="minorHAnsi"/>
          <w:color w:val="00B0F0"/>
          <w:lang w:val="nl-BE"/>
        </w:rPr>
        <w:t xml:space="preserve"> of in een </w:t>
      </w:r>
      <w:r w:rsidRPr="009B21B5">
        <w:rPr>
          <w:rFonts w:cstheme="minorHAnsi"/>
          <w:b/>
          <w:color w:val="00B0F0"/>
          <w:lang w:val="nl-BE"/>
        </w:rPr>
        <w:t>land waar de regulerende instantie geen eigen registratieprocedure heeft ingericht</w:t>
      </w:r>
      <w:r w:rsidRPr="009B21B5">
        <w:rPr>
          <w:rFonts w:cstheme="minorHAnsi"/>
          <w:color w:val="00B0F0"/>
          <w:lang w:val="nl-BE"/>
        </w:rPr>
        <w:t xml:space="preserve"> (Duitsland, België en Luxemburg), moeten de handelaars zich registreren op de website: </w:t>
      </w:r>
      <w:r w:rsidRPr="009B21B5">
        <w:rPr>
          <w:rFonts w:cstheme="minorHAnsi"/>
          <w:color w:val="00B0F0"/>
          <w:lang w:val="nl-BE"/>
        </w:rPr>
        <w:br/>
      </w:r>
      <w:hyperlink r:id="rId13" w:history="1">
        <w:r w:rsidR="00803A0C" w:rsidRPr="009B21B5">
          <w:rPr>
            <w:rStyle w:val="Lienhypertexte"/>
            <w:rFonts w:cstheme="minorHAnsi"/>
            <w:color w:val="00B0F0"/>
            <w:lang w:val="nl-BE"/>
          </w:rPr>
          <w:t>https://www.demarches-simplifiees.fr/commencer/ns_international_registration_procedure</w:t>
        </w:r>
      </w:hyperlink>
      <w:r w:rsidR="00803A0C" w:rsidRPr="009B21B5">
        <w:rPr>
          <w:rFonts w:cstheme="minorHAnsi"/>
          <w:color w:val="00B0F0"/>
          <w:lang w:val="nl-BE"/>
        </w:rPr>
        <w:br/>
      </w:r>
    </w:p>
    <w:p w14:paraId="47C1A34D" w14:textId="799291A2" w:rsidR="00736373" w:rsidRPr="009B21B5" w:rsidRDefault="00736373" w:rsidP="00803A0C">
      <w:pPr>
        <w:pStyle w:val="Paragraphedeliste"/>
        <w:numPr>
          <w:ilvl w:val="0"/>
          <w:numId w:val="63"/>
        </w:numPr>
        <w:rPr>
          <w:color w:val="00B0F0"/>
          <w:lang w:val="nl-BE"/>
        </w:rPr>
      </w:pPr>
      <w:r w:rsidRPr="009B21B5">
        <w:rPr>
          <w:color w:val="00B0F0"/>
          <w:lang w:val="nl-BE"/>
        </w:rPr>
        <w:t xml:space="preserve">Voor merken die </w:t>
      </w:r>
      <w:r w:rsidRPr="009B21B5">
        <w:rPr>
          <w:b/>
          <w:color w:val="00B0F0"/>
          <w:lang w:val="nl-BE"/>
        </w:rPr>
        <w:t>exclusief in Zwitserland</w:t>
      </w:r>
      <w:r w:rsidRPr="009B21B5">
        <w:rPr>
          <w:color w:val="00B0F0"/>
          <w:lang w:val="nl-BE"/>
        </w:rPr>
        <w:t xml:space="preserve"> worden </w:t>
      </w:r>
      <w:proofErr w:type="spellStart"/>
      <w:r w:rsidRPr="009B21B5">
        <w:rPr>
          <w:color w:val="00B0F0"/>
          <w:lang w:val="nl-BE"/>
        </w:rPr>
        <w:t>vermarkt</w:t>
      </w:r>
      <w:proofErr w:type="spellEnd"/>
      <w:r w:rsidRPr="009B21B5">
        <w:rPr>
          <w:color w:val="00B0F0"/>
          <w:lang w:val="nl-BE"/>
        </w:rPr>
        <w:t xml:space="preserve">: </w:t>
      </w:r>
    </w:p>
    <w:p w14:paraId="2506EB49" w14:textId="77777777" w:rsidR="00F36B59" w:rsidRPr="009B21B5" w:rsidRDefault="00F36B59" w:rsidP="00F36B59">
      <w:pPr>
        <w:pStyle w:val="Paragraphedeliste"/>
        <w:spacing w:before="120" w:after="120" w:line="264" w:lineRule="auto"/>
        <w:ind w:left="1068"/>
        <w:jc w:val="both"/>
        <w:rPr>
          <w:rStyle w:val="Lienhypertexte"/>
          <w:color w:val="00B0F0"/>
          <w:lang w:val="nl-BE"/>
        </w:rPr>
      </w:pPr>
      <w:r w:rsidRPr="000F4DA1">
        <w:rPr>
          <w:color w:val="00B0F0"/>
          <w:lang w:val="en-US"/>
        </w:rPr>
        <w:fldChar w:fldCharType="begin"/>
      </w:r>
      <w:r w:rsidRPr="000F4DA1">
        <w:rPr>
          <w:color w:val="00B0F0"/>
          <w:lang w:val="nl"/>
        </w:rPr>
        <w:instrText xml:space="preserve"> HYPERLINK "https://www.blv.admin.ch/blv/de/home/lebensmittel-und-ernaehrung/ernaehrung/nutri-score/nutri-score-lebensmittelproduzenten.html" </w:instrText>
      </w:r>
      <w:r w:rsidRPr="000F4DA1">
        <w:rPr>
          <w:color w:val="00B0F0"/>
          <w:lang w:val="en-US"/>
        </w:rPr>
        <w:fldChar w:fldCharType="separate"/>
      </w:r>
      <w:r w:rsidRPr="000F4DA1">
        <w:rPr>
          <w:rStyle w:val="Lienhypertexte"/>
          <w:color w:val="00B0F0"/>
          <w:lang w:val="nl"/>
        </w:rPr>
        <w:t>Lebensmittelproduzenten (admin.ch)</w:t>
      </w:r>
    </w:p>
    <w:p w14:paraId="3439952A" w14:textId="157D16DB" w:rsidR="00F36B59" w:rsidRPr="009B21B5" w:rsidRDefault="00F36B59" w:rsidP="00F36B59">
      <w:pPr>
        <w:rPr>
          <w:color w:val="0070C0"/>
          <w:lang w:val="nl-BE"/>
        </w:rPr>
      </w:pPr>
      <w:r w:rsidRPr="000F4DA1">
        <w:rPr>
          <w:color w:val="00B0F0"/>
          <w:lang w:val="en-US"/>
        </w:rPr>
        <w:fldChar w:fldCharType="end"/>
      </w:r>
    </w:p>
    <w:p w14:paraId="2ED8C18E" w14:textId="77777777" w:rsidR="00EA66AA" w:rsidRPr="009B21B5" w:rsidRDefault="00EA66AA" w:rsidP="00AD727F">
      <w:pPr>
        <w:pStyle w:val="titre10"/>
        <w:numPr>
          <w:ilvl w:val="0"/>
          <w:numId w:val="0"/>
        </w:numPr>
        <w:spacing w:before="120" w:after="120" w:line="264" w:lineRule="auto"/>
        <w:contextualSpacing w:val="0"/>
        <w:jc w:val="both"/>
        <w:rPr>
          <w:lang w:val="nl-BE"/>
        </w:rPr>
      </w:pPr>
      <w:r w:rsidRPr="009B21B5">
        <w:rPr>
          <w:lang w:val="nl-BE"/>
        </w:rPr>
        <w:t xml:space="preserve">Handelaars hebben 24 maanden de tijd om het logo aan te brengen op alle voedingsmiddelencategorieën die ze op de markt brengen onder hun eigen merknamen. Ze mogen er dus voor kiezen om het logo in eerste instantie enkel te vermelden op producten die online worden verkocht. Maar het uiteindelijke doel - en ook om in de regel te zijn voor het gebruik van dit collectieve handelsmerk - is natuurlijk om de </w:t>
      </w:r>
      <w:proofErr w:type="spellStart"/>
      <w:r w:rsidRPr="009B21B5">
        <w:rPr>
          <w:lang w:val="nl-BE"/>
        </w:rPr>
        <w:t>Nutri</w:t>
      </w:r>
      <w:proofErr w:type="spellEnd"/>
      <w:r w:rsidRPr="009B21B5">
        <w:rPr>
          <w:lang w:val="nl-BE"/>
        </w:rPr>
        <w:t>-</w:t>
      </w:r>
      <w:r w:rsidRPr="009B21B5">
        <w:rPr>
          <w:lang w:val="nl-BE"/>
        </w:rPr>
        <w:lastRenderedPageBreak/>
        <w:t xml:space="preserve">Score aan te brengen op de verpakkingen van alle producten van eenzelfde merk, en op alle verkoopdragers-, -wijzen of -ruimtes. </w:t>
      </w:r>
    </w:p>
    <w:p w14:paraId="4C862BFE" w14:textId="77777777" w:rsidR="00EA66AA" w:rsidRPr="009B21B5" w:rsidRDefault="00EA66AA" w:rsidP="00AD727F">
      <w:pPr>
        <w:spacing w:before="120" w:after="120" w:line="264" w:lineRule="auto"/>
        <w:jc w:val="both"/>
        <w:rPr>
          <w:b/>
          <w:u w:val="single"/>
          <w:lang w:val="nl-BE"/>
        </w:rPr>
      </w:pPr>
    </w:p>
    <w:p w14:paraId="52528D15" w14:textId="77777777" w:rsidR="009D0DAE" w:rsidRPr="009B21B5" w:rsidRDefault="009D0DAE" w:rsidP="00AD727F">
      <w:pPr>
        <w:pStyle w:val="Titre2"/>
        <w:spacing w:line="264" w:lineRule="auto"/>
        <w:contextualSpacing w:val="0"/>
        <w:rPr>
          <w:lang w:val="nl-BE"/>
        </w:rPr>
      </w:pPr>
      <w:bookmarkStart w:id="56" w:name="_Toc83375105"/>
      <w:r w:rsidRPr="009B21B5">
        <w:rPr>
          <w:lang w:val="nl-BE"/>
        </w:rPr>
        <w:t xml:space="preserve">Moet een handelaar de </w:t>
      </w:r>
      <w:proofErr w:type="spellStart"/>
      <w:r w:rsidRPr="009B21B5">
        <w:rPr>
          <w:lang w:val="nl-BE"/>
        </w:rPr>
        <w:t>Nutri</w:t>
      </w:r>
      <w:proofErr w:type="spellEnd"/>
      <w:r w:rsidRPr="009B21B5">
        <w:rPr>
          <w:lang w:val="nl-BE"/>
        </w:rPr>
        <w:t>-Score vermelden op al zijn merken en op alle producten van eenzelfde merk?</w:t>
      </w:r>
      <w:bookmarkEnd w:id="56"/>
    </w:p>
    <w:p w14:paraId="43FB485A" w14:textId="77777777" w:rsidR="009D0DAE" w:rsidRPr="009B21B5" w:rsidRDefault="009D0DAE" w:rsidP="00AD727F">
      <w:pPr>
        <w:spacing w:before="120" w:after="120" w:line="264" w:lineRule="auto"/>
        <w:jc w:val="both"/>
        <w:rPr>
          <w:rFonts w:cstheme="minorHAnsi"/>
          <w:lang w:val="nl-BE"/>
        </w:rPr>
      </w:pPr>
      <w:r w:rsidRPr="009B21B5">
        <w:rPr>
          <w:rFonts w:cstheme="minorHAnsi"/>
          <w:lang w:val="nl-BE"/>
        </w:rPr>
        <w:t>Het Belgisch koninklijk besluit betreffende het</w:t>
      </w:r>
      <w:r w:rsidRPr="009B21B5">
        <w:rPr>
          <w:rStyle w:val="lev"/>
          <w:b w:val="0"/>
          <w:lang w:val="nl-BE"/>
        </w:rPr>
        <w:t xml:space="preserve"> gebruik van het '</w:t>
      </w:r>
      <w:proofErr w:type="spellStart"/>
      <w:r w:rsidRPr="009B21B5">
        <w:rPr>
          <w:rStyle w:val="lev"/>
          <w:b w:val="0"/>
          <w:lang w:val="nl-BE"/>
        </w:rPr>
        <w:t>Nutri</w:t>
      </w:r>
      <w:proofErr w:type="spellEnd"/>
      <w:r w:rsidRPr="009B21B5">
        <w:rPr>
          <w:rStyle w:val="lev"/>
          <w:b w:val="0"/>
          <w:lang w:val="nl-BE"/>
        </w:rPr>
        <w:t>-Score'-logo</w:t>
      </w:r>
      <w:r w:rsidRPr="009B21B5">
        <w:rPr>
          <w:rFonts w:cstheme="minorHAnsi"/>
          <w:lang w:val="nl-BE"/>
        </w:rPr>
        <w:t xml:space="preserve"> bepaalt het volgende: "Wanneer de exploitanten van levensmiddelenbedrijven zich ertoe verbinden om </w:t>
      </w:r>
      <w:proofErr w:type="spellStart"/>
      <w:r w:rsidRPr="009B21B5">
        <w:rPr>
          <w:rFonts w:cstheme="minorHAnsi"/>
          <w:lang w:val="nl-BE"/>
        </w:rPr>
        <w:t>Nutri</w:t>
      </w:r>
      <w:proofErr w:type="spellEnd"/>
      <w:r w:rsidRPr="009B21B5">
        <w:rPr>
          <w:rFonts w:cstheme="minorHAnsi"/>
          <w:lang w:val="nl-BE"/>
        </w:rPr>
        <w:t>-Score te gebruiken voor één of meerdere van hun eigen handelsmerken, moet deze verbintenis betrekking hebben op het geheel van de voedingsmiddelen die ze op de Belgische markt brengen onder het of de betrokken handelsmerken".</w:t>
      </w:r>
    </w:p>
    <w:p w14:paraId="1A1389DA" w14:textId="77777777" w:rsidR="009D0DAE" w:rsidRPr="009B21B5" w:rsidRDefault="009D0DAE" w:rsidP="00AD727F">
      <w:pPr>
        <w:spacing w:before="120" w:after="120" w:line="264" w:lineRule="auto"/>
        <w:jc w:val="both"/>
        <w:rPr>
          <w:rFonts w:cstheme="minorHAnsi"/>
          <w:lang w:val="nl-BE"/>
        </w:rPr>
      </w:pPr>
      <w:r w:rsidRPr="009B21B5">
        <w:rPr>
          <w:rFonts w:cstheme="minorHAnsi"/>
          <w:lang w:val="nl-BE"/>
        </w:rPr>
        <w:t xml:space="preserve">Dat wil dus zeggen dat een industriebedrijf dat meerdere merken bezit, ervoor kan opteren om de </w:t>
      </w:r>
      <w:proofErr w:type="spellStart"/>
      <w:r w:rsidRPr="009B21B5">
        <w:rPr>
          <w:rFonts w:cstheme="minorHAnsi"/>
          <w:lang w:val="nl-BE"/>
        </w:rPr>
        <w:t>Nutri</w:t>
      </w:r>
      <w:proofErr w:type="spellEnd"/>
      <w:r w:rsidRPr="009B21B5">
        <w:rPr>
          <w:rFonts w:cstheme="minorHAnsi"/>
          <w:lang w:val="nl-BE"/>
        </w:rPr>
        <w:t>-Score enkel te vermelden op een of op meerdere van zijn merken, maar zodra het de score vermeldt voor een bepaald merk, moet het dat doen voor alle voedingsmiddelencategorieën van dat merk.</w:t>
      </w:r>
    </w:p>
    <w:p w14:paraId="7A9C2BE9" w14:textId="2FCF80BE" w:rsidR="004C226A" w:rsidRPr="009B21B5" w:rsidRDefault="004C226A" w:rsidP="00AD727F">
      <w:pPr>
        <w:spacing w:before="120" w:after="120" w:line="264" w:lineRule="auto"/>
        <w:jc w:val="both"/>
        <w:rPr>
          <w:rFonts w:cstheme="minorHAnsi"/>
          <w:lang w:val="nl-BE"/>
        </w:rPr>
      </w:pPr>
      <w:r w:rsidRPr="009B21B5">
        <w:rPr>
          <w:rFonts w:cstheme="minorHAnsi"/>
          <w:lang w:val="nl-BE"/>
        </w:rPr>
        <w:t xml:space="preserve">Als bepaalde, of zelfs alle, producten van dat merk niet onder de FIC-verordening vallen, is de handelaar echter niet verplicht om de </w:t>
      </w:r>
      <w:proofErr w:type="spellStart"/>
      <w:r w:rsidRPr="009B21B5">
        <w:rPr>
          <w:rFonts w:cstheme="minorHAnsi"/>
          <w:lang w:val="nl-BE"/>
        </w:rPr>
        <w:t>Nutri</w:t>
      </w:r>
      <w:proofErr w:type="spellEnd"/>
      <w:r w:rsidRPr="009B21B5">
        <w:rPr>
          <w:rFonts w:cstheme="minorHAnsi"/>
          <w:lang w:val="nl-BE"/>
        </w:rPr>
        <w:t xml:space="preserve">-Score op alle producten van dat merk aan te brengen. </w:t>
      </w:r>
    </w:p>
    <w:p w14:paraId="544D80EE" w14:textId="77777777" w:rsidR="00BC40BF" w:rsidRPr="009B21B5" w:rsidRDefault="00BC40BF" w:rsidP="00AD727F">
      <w:pPr>
        <w:pStyle w:val="titre10"/>
        <w:numPr>
          <w:ilvl w:val="0"/>
          <w:numId w:val="0"/>
        </w:numPr>
        <w:spacing w:before="120" w:after="120" w:line="264" w:lineRule="auto"/>
        <w:contextualSpacing w:val="0"/>
        <w:jc w:val="both"/>
        <w:rPr>
          <w:b/>
          <w:lang w:val="nl-BE"/>
        </w:rPr>
      </w:pPr>
    </w:p>
    <w:p w14:paraId="3C580AE5" w14:textId="77777777" w:rsidR="0084319F" w:rsidRPr="009B21B5" w:rsidRDefault="0084319F" w:rsidP="0084319F">
      <w:pPr>
        <w:pStyle w:val="Titre2"/>
        <w:spacing w:line="264" w:lineRule="auto"/>
        <w:contextualSpacing w:val="0"/>
        <w:rPr>
          <w:lang w:val="nl-BE"/>
        </w:rPr>
      </w:pPr>
      <w:bookmarkStart w:id="57" w:name="_Toc83375106"/>
      <w:r w:rsidRPr="009B21B5">
        <w:rPr>
          <w:lang w:val="nl-BE"/>
        </w:rPr>
        <w:t xml:space="preserve">Tot waar reiken de verplichtingen voor een merk waarop men een </w:t>
      </w:r>
      <w:proofErr w:type="spellStart"/>
      <w:r w:rsidRPr="009B21B5">
        <w:rPr>
          <w:lang w:val="nl-BE"/>
        </w:rPr>
        <w:t>Nutri</w:t>
      </w:r>
      <w:proofErr w:type="spellEnd"/>
      <w:r w:rsidRPr="009B21B5">
        <w:rPr>
          <w:lang w:val="nl-BE"/>
        </w:rPr>
        <w:t>-Score wil aanbrengen?</w:t>
      </w:r>
      <w:bookmarkEnd w:id="57"/>
    </w:p>
    <w:p w14:paraId="18A6C444" w14:textId="77777777" w:rsidR="0084319F" w:rsidRPr="009B21B5" w:rsidRDefault="0084319F" w:rsidP="00837945">
      <w:pPr>
        <w:jc w:val="both"/>
        <w:rPr>
          <w:lang w:val="nl-BE"/>
        </w:rPr>
      </w:pPr>
      <w:r w:rsidRPr="009B21B5">
        <w:rPr>
          <w:b/>
          <w:bCs/>
          <w:lang w:val="nl-BE"/>
        </w:rPr>
        <w:t>Het merk</w:t>
      </w:r>
      <w:r w:rsidRPr="009B21B5">
        <w:rPr>
          <w:lang w:val="nl-BE"/>
        </w:rPr>
        <w:t xml:space="preserve"> is een distinctief kenmerk dat de consument in staat stelt om het product of de dienst van een onderneming te </w:t>
      </w:r>
      <w:r w:rsidRPr="009B21B5">
        <w:rPr>
          <w:u w:val="single"/>
          <w:lang w:val="nl-BE"/>
        </w:rPr>
        <w:t>onderscheiden van een product of een dienst van een concurrerend bedrijf</w:t>
      </w:r>
      <w:r w:rsidRPr="009B21B5">
        <w:rPr>
          <w:lang w:val="nl-BE"/>
        </w:rPr>
        <w:t>. Het merk kan vorm krijgen door een eigennaam, een woord, een uitdrukking of een visueel symbool. Het vormt een referentiepunt voor de consument en eventueel een 'garantie'.</w:t>
      </w:r>
    </w:p>
    <w:p w14:paraId="50C42CB5" w14:textId="77777777" w:rsidR="0084319F" w:rsidRPr="009B21B5" w:rsidRDefault="0084319F" w:rsidP="00837945">
      <w:pPr>
        <w:jc w:val="both"/>
        <w:rPr>
          <w:lang w:val="nl-BE"/>
        </w:rPr>
      </w:pPr>
      <w:r w:rsidRPr="009B21B5">
        <w:rPr>
          <w:lang w:val="nl-BE"/>
        </w:rPr>
        <w:t xml:space="preserve">Als er </w:t>
      </w:r>
      <w:r w:rsidRPr="009B21B5">
        <w:rPr>
          <w:b/>
          <w:bCs/>
          <w:lang w:val="nl-BE"/>
        </w:rPr>
        <w:t>verschillende merken</w:t>
      </w:r>
      <w:r w:rsidRPr="009B21B5">
        <w:rPr>
          <w:lang w:val="nl-BE"/>
        </w:rPr>
        <w:t xml:space="preserve"> zijn, kan de producent of de verdeler ervoor </w:t>
      </w:r>
      <w:r w:rsidRPr="009B21B5">
        <w:rPr>
          <w:b/>
          <w:bCs/>
          <w:lang w:val="nl-BE"/>
        </w:rPr>
        <w:t>kiezen om een of meerdere van zijn merken te registreren</w:t>
      </w:r>
      <w:r w:rsidRPr="009B21B5">
        <w:rPr>
          <w:lang w:val="nl-BE"/>
        </w:rPr>
        <w:t xml:space="preserve">. In geval van een </w:t>
      </w:r>
      <w:r w:rsidRPr="009B21B5">
        <w:rPr>
          <w:b/>
          <w:bCs/>
          <w:lang w:val="nl-BE"/>
        </w:rPr>
        <w:t>merkextensie, een uitbreiding van het gamma of een uitbreiding van het cliënteel</w:t>
      </w:r>
      <w:r w:rsidRPr="009B21B5">
        <w:rPr>
          <w:lang w:val="nl-BE"/>
        </w:rPr>
        <w:t xml:space="preserve">, moet de producent of de verdeler de </w:t>
      </w:r>
      <w:proofErr w:type="spellStart"/>
      <w:r w:rsidRPr="009B21B5">
        <w:rPr>
          <w:lang w:val="nl-BE"/>
        </w:rPr>
        <w:t>Nutri</w:t>
      </w:r>
      <w:proofErr w:type="spellEnd"/>
      <w:r w:rsidRPr="009B21B5">
        <w:rPr>
          <w:lang w:val="nl-BE"/>
        </w:rPr>
        <w:t>-Score echter aanbrengen op het moedermerk én op de eventuele dochtermerken daarvan.</w:t>
      </w:r>
    </w:p>
    <w:p w14:paraId="10F40AF3" w14:textId="77777777" w:rsidR="0084319F" w:rsidRPr="0057550B" w:rsidRDefault="0084319F" w:rsidP="0007381E">
      <w:pPr>
        <w:spacing w:after="0"/>
      </w:pPr>
      <w:proofErr w:type="spellStart"/>
      <w:r w:rsidRPr="0057550B">
        <w:t>Definities</w:t>
      </w:r>
      <w:proofErr w:type="spellEnd"/>
      <w:r w:rsidRPr="0057550B">
        <w:t>:</w:t>
      </w:r>
    </w:p>
    <w:p w14:paraId="7D54D508" w14:textId="77777777" w:rsidR="0084319F" w:rsidRPr="009B21B5" w:rsidRDefault="0084319F" w:rsidP="0007381E">
      <w:pPr>
        <w:pStyle w:val="Paragraphedeliste"/>
        <w:numPr>
          <w:ilvl w:val="0"/>
          <w:numId w:val="55"/>
        </w:numPr>
        <w:rPr>
          <w:lang w:val="nl-BE"/>
        </w:rPr>
      </w:pPr>
      <w:r w:rsidRPr="009B21B5">
        <w:rPr>
          <w:b/>
          <w:bCs/>
          <w:u w:val="single"/>
          <w:lang w:val="nl-BE" w:eastAsia="nl"/>
        </w:rPr>
        <w:t>merkextensie</w:t>
      </w:r>
      <w:r w:rsidRPr="009B21B5">
        <w:rPr>
          <w:lang w:val="nl-BE" w:eastAsia="nl"/>
        </w:rPr>
        <w:t>: het gebruik van een bestaand merk om een product te lanceren in een andere markt</w:t>
      </w:r>
    </w:p>
    <w:p w14:paraId="3A7D7C0F" w14:textId="77777777" w:rsidR="0084319F" w:rsidRPr="009B21B5" w:rsidRDefault="0084319F" w:rsidP="0007381E">
      <w:pPr>
        <w:pStyle w:val="Paragraphedeliste"/>
        <w:numPr>
          <w:ilvl w:val="0"/>
          <w:numId w:val="55"/>
        </w:numPr>
        <w:rPr>
          <w:lang w:val="nl-BE"/>
        </w:rPr>
      </w:pPr>
      <w:r w:rsidRPr="009B21B5">
        <w:rPr>
          <w:b/>
          <w:bCs/>
          <w:u w:val="single"/>
          <w:lang w:val="nl-BE"/>
        </w:rPr>
        <w:t>uitbreiding van het gamma</w:t>
      </w:r>
      <w:r w:rsidRPr="009B21B5">
        <w:rPr>
          <w:lang w:val="nl-BE"/>
        </w:rPr>
        <w:t>: productuitbreiding met een product binnen dezelfde categorie of een product dat aan gelijkaardige noden voldoet, en dat door eenzelfde merk of een producent binnen dezelfde markt wordt aangeboden</w:t>
      </w:r>
    </w:p>
    <w:p w14:paraId="7B0D1181" w14:textId="77777777" w:rsidR="0084319F" w:rsidRPr="009B21B5" w:rsidRDefault="0084319F" w:rsidP="0007381E">
      <w:pPr>
        <w:pStyle w:val="Paragraphedeliste"/>
        <w:numPr>
          <w:ilvl w:val="0"/>
          <w:numId w:val="55"/>
        </w:numPr>
        <w:rPr>
          <w:lang w:val="nl-BE"/>
        </w:rPr>
      </w:pPr>
      <w:r w:rsidRPr="009B21B5">
        <w:rPr>
          <w:b/>
          <w:bCs/>
          <w:u w:val="single"/>
          <w:lang w:val="nl-BE"/>
        </w:rPr>
        <w:t>uitbreiding van het cliënteel</w:t>
      </w:r>
      <w:r w:rsidRPr="009B21B5">
        <w:rPr>
          <w:b/>
          <w:bCs/>
          <w:lang w:val="nl-BE"/>
        </w:rPr>
        <w:t>:</w:t>
      </w:r>
      <w:r w:rsidRPr="009B21B5">
        <w:rPr>
          <w:lang w:val="nl-BE"/>
        </w:rPr>
        <w:t xml:space="preserve"> een uitbreidingsstrategie onder de naam van eenzelfde merk (bv. een gamma voor professionelen uitbreiden naar het grote publiek)</w:t>
      </w:r>
    </w:p>
    <w:p w14:paraId="3F657BB2" w14:textId="77777777" w:rsidR="0084319F" w:rsidRPr="009B21B5" w:rsidRDefault="0084319F" w:rsidP="0007381E">
      <w:pPr>
        <w:pStyle w:val="Paragraphedeliste"/>
        <w:numPr>
          <w:ilvl w:val="0"/>
          <w:numId w:val="55"/>
        </w:numPr>
        <w:rPr>
          <w:lang w:val="nl-BE"/>
        </w:rPr>
      </w:pPr>
      <w:r w:rsidRPr="009B21B5">
        <w:rPr>
          <w:b/>
          <w:bCs/>
          <w:u w:val="single"/>
          <w:lang w:val="nl-BE"/>
        </w:rPr>
        <w:t>moeder-/dochtermerk</w:t>
      </w:r>
      <w:r w:rsidRPr="009B21B5">
        <w:rPr>
          <w:b/>
          <w:bCs/>
          <w:lang w:val="nl-BE"/>
        </w:rPr>
        <w:t xml:space="preserve">: </w:t>
      </w:r>
      <w:r w:rsidRPr="009B21B5">
        <w:rPr>
          <w:lang w:val="nl-BE"/>
        </w:rPr>
        <w:t>een dochtermerk is een merk van een product(lijn) dat gebruikt wordt ter aanvulling van een moedermerk dat als waarborg dient.</w:t>
      </w:r>
    </w:p>
    <w:p w14:paraId="5AF67114" w14:textId="72834757" w:rsidR="00F64AC4" w:rsidRPr="009B21B5" w:rsidRDefault="007273BC" w:rsidP="00F64AC4">
      <w:pPr>
        <w:pStyle w:val="Titre2"/>
        <w:spacing w:line="264" w:lineRule="auto"/>
        <w:contextualSpacing w:val="0"/>
        <w:rPr>
          <w:color w:val="auto"/>
          <w:lang w:val="nl-BE"/>
        </w:rPr>
      </w:pPr>
      <w:bookmarkStart w:id="58" w:name="_Toc83375107"/>
      <w:r w:rsidRPr="009B21B5">
        <w:rPr>
          <w:color w:val="auto"/>
          <w:lang w:val="nl-BE"/>
        </w:rPr>
        <w:t>Vallen co-branding producten onder de verplichtingen voor het merk?</w:t>
      </w:r>
      <w:bookmarkEnd w:id="58"/>
    </w:p>
    <w:p w14:paraId="73D29B3F" w14:textId="47C38125" w:rsidR="00F64AC4" w:rsidRPr="009B21B5" w:rsidRDefault="007273BC" w:rsidP="00FF6730">
      <w:pPr>
        <w:jc w:val="both"/>
        <w:rPr>
          <w:lang w:val="nl-BE"/>
        </w:rPr>
      </w:pPr>
      <w:r w:rsidRPr="009B21B5">
        <w:rPr>
          <w:lang w:val="nl-BE"/>
        </w:rPr>
        <w:t>Onder co-branding verstaan we een overeenkomst tussen twee merken om de twee merken op één product aan te brengen.</w:t>
      </w:r>
    </w:p>
    <w:p w14:paraId="4A44AD91" w14:textId="053CE58F" w:rsidR="007273BC" w:rsidRPr="009B21B5" w:rsidRDefault="007273BC" w:rsidP="00FF6730">
      <w:pPr>
        <w:jc w:val="both"/>
        <w:rPr>
          <w:lang w:val="nl-BE"/>
        </w:rPr>
      </w:pPr>
      <w:r w:rsidRPr="009B21B5">
        <w:rPr>
          <w:lang w:val="nl-BE"/>
        </w:rPr>
        <w:lastRenderedPageBreak/>
        <w:t xml:space="preserve">Om de </w:t>
      </w:r>
      <w:proofErr w:type="spellStart"/>
      <w:r w:rsidRPr="009B21B5">
        <w:rPr>
          <w:lang w:val="nl-BE"/>
        </w:rPr>
        <w:t>Nutri</w:t>
      </w:r>
      <w:proofErr w:type="spellEnd"/>
      <w:r w:rsidRPr="009B21B5">
        <w:rPr>
          <w:lang w:val="nl-BE"/>
        </w:rPr>
        <w:t>-Score te gebruiken op co-branding producten moeten het volgende in aanmerking worden genomen:</w:t>
      </w:r>
    </w:p>
    <w:p w14:paraId="730D3E23" w14:textId="48567591" w:rsidR="007273BC" w:rsidRPr="009B21B5" w:rsidRDefault="007273BC" w:rsidP="00FF6730">
      <w:pPr>
        <w:pStyle w:val="Paragraphedeliste"/>
        <w:numPr>
          <w:ilvl w:val="0"/>
          <w:numId w:val="59"/>
        </w:numPr>
        <w:jc w:val="both"/>
        <w:rPr>
          <w:lang w:val="nl-BE"/>
        </w:rPr>
      </w:pPr>
      <w:r w:rsidRPr="009B21B5">
        <w:rPr>
          <w:lang w:val="nl-BE"/>
        </w:rPr>
        <w:t xml:space="preserve">De twee merken hebben zich niet aangesloten: het is onmogelijk om de </w:t>
      </w:r>
      <w:proofErr w:type="spellStart"/>
      <w:r w:rsidRPr="009B21B5">
        <w:rPr>
          <w:lang w:val="nl-BE"/>
        </w:rPr>
        <w:t>Nutri</w:t>
      </w:r>
      <w:proofErr w:type="spellEnd"/>
      <w:r w:rsidRPr="009B21B5">
        <w:rPr>
          <w:lang w:val="nl-BE"/>
        </w:rPr>
        <w:t>-Score te gebruiken</w:t>
      </w:r>
    </w:p>
    <w:p w14:paraId="06AD7B0E" w14:textId="3D9B736A" w:rsidR="007273BC" w:rsidRPr="009B21B5" w:rsidRDefault="00FF6730" w:rsidP="00FF6730">
      <w:pPr>
        <w:pStyle w:val="Paragraphedeliste"/>
        <w:numPr>
          <w:ilvl w:val="0"/>
          <w:numId w:val="59"/>
        </w:numPr>
        <w:jc w:val="both"/>
        <w:rPr>
          <w:lang w:val="nl-BE"/>
        </w:rPr>
      </w:pPr>
      <w:r w:rsidRPr="009B21B5">
        <w:rPr>
          <w:lang w:val="nl-BE"/>
        </w:rPr>
        <w:t xml:space="preserve">Slechts een merk van de twee is aangesloten: het is mogelijk om de </w:t>
      </w:r>
      <w:proofErr w:type="spellStart"/>
      <w:r w:rsidRPr="009B21B5">
        <w:rPr>
          <w:lang w:val="nl-BE"/>
        </w:rPr>
        <w:t>Nutri</w:t>
      </w:r>
      <w:proofErr w:type="spellEnd"/>
      <w:r w:rsidRPr="009B21B5">
        <w:rPr>
          <w:lang w:val="nl-BE"/>
        </w:rPr>
        <w:t>-Score te gebruiken op het co-branding product maar het is niet verplicht;</w:t>
      </w:r>
    </w:p>
    <w:p w14:paraId="0FA79017" w14:textId="285EB918" w:rsidR="00FF6730" w:rsidRPr="009B21B5" w:rsidRDefault="00FF6730" w:rsidP="00FF6730">
      <w:pPr>
        <w:pStyle w:val="Paragraphedeliste"/>
        <w:numPr>
          <w:ilvl w:val="1"/>
          <w:numId w:val="59"/>
        </w:numPr>
        <w:jc w:val="both"/>
        <w:rPr>
          <w:lang w:val="nl-BE"/>
        </w:rPr>
      </w:pPr>
      <w:r w:rsidRPr="009B21B5">
        <w:rPr>
          <w:lang w:val="nl-BE"/>
        </w:rPr>
        <w:t xml:space="preserve">De eigenaar van het niet-aangesloten merk moet ermee instemmen dat de </w:t>
      </w:r>
      <w:proofErr w:type="spellStart"/>
      <w:r w:rsidRPr="009B21B5">
        <w:rPr>
          <w:lang w:val="nl-BE"/>
        </w:rPr>
        <w:t>Nutri</w:t>
      </w:r>
      <w:proofErr w:type="spellEnd"/>
      <w:r w:rsidRPr="009B21B5">
        <w:rPr>
          <w:lang w:val="nl-BE"/>
        </w:rPr>
        <w:t>-Score wordt gebruikt voor het product in kwestie. In dat geval vereist dit gebruik geen aansluiting van het niet-aangesloten merk.</w:t>
      </w:r>
    </w:p>
    <w:p w14:paraId="54EF92BA" w14:textId="5EBDF26F" w:rsidR="00FF6730" w:rsidRPr="009B21B5" w:rsidRDefault="00FF6730" w:rsidP="00FF6730">
      <w:pPr>
        <w:pStyle w:val="Paragraphedeliste"/>
        <w:numPr>
          <w:ilvl w:val="1"/>
          <w:numId w:val="59"/>
        </w:numPr>
        <w:jc w:val="both"/>
        <w:rPr>
          <w:lang w:val="nl-BE"/>
        </w:rPr>
      </w:pPr>
      <w:r w:rsidRPr="009B21B5">
        <w:rPr>
          <w:lang w:val="nl-BE"/>
        </w:rPr>
        <w:t xml:space="preserve">In het geval de eigenaar van het niet-aangesloten merk weigert de </w:t>
      </w:r>
      <w:proofErr w:type="spellStart"/>
      <w:r w:rsidRPr="009B21B5">
        <w:rPr>
          <w:lang w:val="nl-BE"/>
        </w:rPr>
        <w:t>Nutri</w:t>
      </w:r>
      <w:proofErr w:type="spellEnd"/>
      <w:r w:rsidRPr="009B21B5">
        <w:rPr>
          <w:lang w:val="nl-BE"/>
        </w:rPr>
        <w:t>-Score te gebruiken op het co-branding product, wordt het co-branding product vrijgesteld van de verplichting zelfs als het aangesloten merk op de verpakking staat.</w:t>
      </w:r>
    </w:p>
    <w:p w14:paraId="0C3F5041" w14:textId="3B498DE8" w:rsidR="00FF6730" w:rsidRPr="009B21B5" w:rsidRDefault="00FF6730" w:rsidP="00FF6730">
      <w:pPr>
        <w:pStyle w:val="Paragraphedeliste"/>
        <w:numPr>
          <w:ilvl w:val="0"/>
          <w:numId w:val="59"/>
        </w:numPr>
        <w:jc w:val="both"/>
        <w:rPr>
          <w:lang w:val="nl-BE"/>
        </w:rPr>
      </w:pPr>
      <w:r w:rsidRPr="009B21B5">
        <w:rPr>
          <w:lang w:val="nl-BE"/>
        </w:rPr>
        <w:t xml:space="preserve">De twee merken zijn aangesloten: het gebruik van de </w:t>
      </w:r>
      <w:proofErr w:type="spellStart"/>
      <w:r w:rsidRPr="009B21B5">
        <w:rPr>
          <w:lang w:val="nl-BE"/>
        </w:rPr>
        <w:t>Nutri</w:t>
      </w:r>
      <w:proofErr w:type="spellEnd"/>
      <w:r w:rsidRPr="009B21B5">
        <w:rPr>
          <w:lang w:val="nl-BE"/>
        </w:rPr>
        <w:t>-Score is verplicht op het co-branding product.</w:t>
      </w:r>
    </w:p>
    <w:p w14:paraId="77F6F454" w14:textId="5248F9F4" w:rsidR="00F64AC4" w:rsidRPr="009B21B5" w:rsidRDefault="00FF6730" w:rsidP="00F64AC4">
      <w:pPr>
        <w:pStyle w:val="Titre2"/>
        <w:spacing w:line="264" w:lineRule="auto"/>
        <w:contextualSpacing w:val="0"/>
        <w:rPr>
          <w:color w:val="auto"/>
          <w:lang w:val="nl-BE"/>
        </w:rPr>
      </w:pPr>
      <w:bookmarkStart w:id="59" w:name="_Toc83375108"/>
      <w:r w:rsidRPr="009B21B5">
        <w:rPr>
          <w:color w:val="auto"/>
          <w:lang w:val="nl-BE"/>
        </w:rPr>
        <w:t xml:space="preserve">Wat zijn de regels voor het gebruik van de </w:t>
      </w:r>
      <w:proofErr w:type="spellStart"/>
      <w:r w:rsidRPr="009B21B5">
        <w:rPr>
          <w:color w:val="auto"/>
          <w:lang w:val="nl-BE"/>
        </w:rPr>
        <w:t>Nutri</w:t>
      </w:r>
      <w:proofErr w:type="spellEnd"/>
      <w:r w:rsidRPr="009B21B5">
        <w:rPr>
          <w:color w:val="auto"/>
          <w:lang w:val="nl-BE"/>
        </w:rPr>
        <w:t>-Score voor joint ventures?</w:t>
      </w:r>
      <w:bookmarkEnd w:id="59"/>
    </w:p>
    <w:p w14:paraId="3B5CF384" w14:textId="1E33045D" w:rsidR="00F64AC4" w:rsidRPr="009B21B5" w:rsidRDefault="00FF6730" w:rsidP="00476717">
      <w:pPr>
        <w:jc w:val="both"/>
        <w:rPr>
          <w:lang w:val="nl-BE"/>
        </w:rPr>
      </w:pPr>
      <w:r w:rsidRPr="009B21B5">
        <w:rPr>
          <w:lang w:val="nl-BE"/>
        </w:rPr>
        <w:t>Onder joint venture verstaan we een commerciële entiteit opgericht door twee of meer partijen die wordt gekenmerkt door een gedeeld eigendom en bestuur.</w:t>
      </w:r>
    </w:p>
    <w:p w14:paraId="0DA518BD" w14:textId="7BEE8966" w:rsidR="00FF6730" w:rsidRPr="009B21B5" w:rsidRDefault="00FF6730" w:rsidP="00476717">
      <w:pPr>
        <w:jc w:val="both"/>
        <w:rPr>
          <w:lang w:val="nl-BE"/>
        </w:rPr>
      </w:pPr>
      <w:r w:rsidRPr="009B21B5">
        <w:rPr>
          <w:lang w:val="nl-BE"/>
        </w:rPr>
        <w:t xml:space="preserve">Om de </w:t>
      </w:r>
      <w:proofErr w:type="spellStart"/>
      <w:r w:rsidRPr="009B21B5">
        <w:rPr>
          <w:lang w:val="nl-BE"/>
        </w:rPr>
        <w:t>Nutri</w:t>
      </w:r>
      <w:proofErr w:type="spellEnd"/>
      <w:r w:rsidRPr="009B21B5">
        <w:rPr>
          <w:lang w:val="nl-BE"/>
        </w:rPr>
        <w:t xml:space="preserve">-Score te gebruiken wordt een joint venture beschouwd als onafhankelijk en apart ten opzichte van de entiteiten die aan de basis liggen van de joint venture. Bijgevolg kan een joint venture de </w:t>
      </w:r>
      <w:proofErr w:type="spellStart"/>
      <w:r w:rsidRPr="009B21B5">
        <w:rPr>
          <w:lang w:val="nl-BE"/>
        </w:rPr>
        <w:t>Nutri</w:t>
      </w:r>
      <w:proofErr w:type="spellEnd"/>
      <w:r w:rsidRPr="009B21B5">
        <w:rPr>
          <w:lang w:val="nl-BE"/>
        </w:rPr>
        <w:t>-Score op zijn merken aanbrengen op zijn verantwoordelijkheid zonder dat dit de registratie vereist van de merken van de entiteiten die aan de basis liggen van de joint venture.</w:t>
      </w:r>
    </w:p>
    <w:p w14:paraId="719AB05A" w14:textId="77777777" w:rsidR="00F64AC4" w:rsidRPr="009B21B5" w:rsidRDefault="00F64AC4" w:rsidP="00F64AC4">
      <w:pPr>
        <w:rPr>
          <w:lang w:val="nl-BE"/>
        </w:rPr>
      </w:pPr>
    </w:p>
    <w:p w14:paraId="334742FE" w14:textId="77777777" w:rsidR="0084319F" w:rsidRPr="009B21B5" w:rsidRDefault="0084319F" w:rsidP="00AD727F">
      <w:pPr>
        <w:pStyle w:val="titre10"/>
        <w:numPr>
          <w:ilvl w:val="0"/>
          <w:numId w:val="0"/>
        </w:numPr>
        <w:spacing w:before="120" w:after="120" w:line="264" w:lineRule="auto"/>
        <w:contextualSpacing w:val="0"/>
        <w:jc w:val="both"/>
        <w:rPr>
          <w:b/>
          <w:lang w:val="nl-BE"/>
        </w:rPr>
      </w:pPr>
    </w:p>
    <w:p w14:paraId="4FE1D041" w14:textId="77777777" w:rsidR="00BC40BF" w:rsidRPr="009B21B5" w:rsidRDefault="00BC40BF" w:rsidP="00AD727F">
      <w:pPr>
        <w:pStyle w:val="Titre2"/>
        <w:spacing w:line="264" w:lineRule="auto"/>
        <w:contextualSpacing w:val="0"/>
        <w:rPr>
          <w:lang w:val="nl-BE"/>
        </w:rPr>
      </w:pPr>
      <w:bookmarkStart w:id="60" w:name="_Toc83375109"/>
      <w:r w:rsidRPr="009B21B5">
        <w:rPr>
          <w:lang w:val="nl-BE"/>
        </w:rPr>
        <w:t xml:space="preserve">Moet de </w:t>
      </w:r>
      <w:proofErr w:type="spellStart"/>
      <w:r w:rsidRPr="009B21B5">
        <w:rPr>
          <w:lang w:val="nl-BE"/>
        </w:rPr>
        <w:t>Nutri</w:t>
      </w:r>
      <w:proofErr w:type="spellEnd"/>
      <w:r w:rsidRPr="009B21B5">
        <w:rPr>
          <w:lang w:val="nl-BE"/>
        </w:rPr>
        <w:t>-Score ook worden aangebracht op producten voor de grote cateraars?</w:t>
      </w:r>
      <w:bookmarkEnd w:id="60"/>
    </w:p>
    <w:p w14:paraId="24FF407B" w14:textId="77777777" w:rsidR="00BC40BF" w:rsidRPr="009B21B5" w:rsidRDefault="00BC40BF" w:rsidP="00AD727F">
      <w:pPr>
        <w:pStyle w:val="titre10"/>
        <w:numPr>
          <w:ilvl w:val="0"/>
          <w:numId w:val="0"/>
        </w:numPr>
        <w:spacing w:before="120" w:after="120" w:line="264" w:lineRule="auto"/>
        <w:contextualSpacing w:val="0"/>
        <w:jc w:val="both"/>
        <w:rPr>
          <w:rFonts w:cstheme="minorHAnsi"/>
          <w:lang w:val="nl-BE"/>
        </w:rPr>
      </w:pPr>
      <w:r w:rsidRPr="009B21B5">
        <w:rPr>
          <w:rFonts w:cstheme="minorHAnsi"/>
          <w:lang w:val="nl-BE"/>
        </w:rPr>
        <w:t xml:space="preserve">Industriebedrijven verbinden zich ertoe om de score te vermelden op alle assortimenten die ze onder eenzelfde merk afzetten, ongeacht de eindbestemming van het product. De FIC-verordening geldt immers ook voor producten bestemd voor de grote cateraars (horeca, kantines ...) Kortom, indien de operator ook producten verkoopt bestemd voor grote cateraars onder de merknaam 'Alfa', dan moeten ze een </w:t>
      </w:r>
      <w:proofErr w:type="spellStart"/>
      <w:r w:rsidRPr="009B21B5">
        <w:rPr>
          <w:rFonts w:cstheme="minorHAnsi"/>
          <w:lang w:val="nl-BE"/>
        </w:rPr>
        <w:t>Nutri</w:t>
      </w:r>
      <w:proofErr w:type="spellEnd"/>
      <w:r w:rsidRPr="009B21B5">
        <w:rPr>
          <w:rFonts w:cstheme="minorHAnsi"/>
          <w:lang w:val="nl-BE"/>
        </w:rPr>
        <w:t>-Score dragen.</w:t>
      </w:r>
    </w:p>
    <w:p w14:paraId="6F59739D" w14:textId="77777777" w:rsidR="00BC40BF" w:rsidRPr="009B21B5" w:rsidRDefault="00BC40BF" w:rsidP="00AD727F">
      <w:pPr>
        <w:pStyle w:val="titre10"/>
        <w:numPr>
          <w:ilvl w:val="0"/>
          <w:numId w:val="0"/>
        </w:numPr>
        <w:spacing w:before="120" w:after="120" w:line="264" w:lineRule="auto"/>
        <w:contextualSpacing w:val="0"/>
        <w:jc w:val="both"/>
        <w:rPr>
          <w:rFonts w:cstheme="minorHAnsi"/>
          <w:lang w:val="nl-BE"/>
        </w:rPr>
      </w:pPr>
      <w:r w:rsidRPr="009B21B5">
        <w:rPr>
          <w:rFonts w:cstheme="minorHAnsi"/>
          <w:lang w:val="nl-BE"/>
        </w:rPr>
        <w:t xml:space="preserve">Indien de merknaam verschilt (andere naam dan 'Alfa'), dan is het bedrijf niet verplicht om de </w:t>
      </w:r>
      <w:proofErr w:type="spellStart"/>
      <w:r w:rsidRPr="009B21B5">
        <w:rPr>
          <w:rFonts w:cstheme="minorHAnsi"/>
          <w:lang w:val="nl-BE"/>
        </w:rPr>
        <w:t>Nutri</w:t>
      </w:r>
      <w:proofErr w:type="spellEnd"/>
      <w:r w:rsidRPr="009B21B5">
        <w:rPr>
          <w:rFonts w:cstheme="minorHAnsi"/>
          <w:lang w:val="nl-BE"/>
        </w:rPr>
        <w:t xml:space="preserve">-Score te vermelden indien het product specifiek bestemd is voor horecadoeleinden. </w:t>
      </w:r>
    </w:p>
    <w:p w14:paraId="55B5526F" w14:textId="77777777" w:rsidR="004C415E" w:rsidRPr="009B21B5" w:rsidRDefault="004C415E" w:rsidP="00897EEF">
      <w:pPr>
        <w:jc w:val="both"/>
        <w:rPr>
          <w:lang w:val="nl-BE"/>
        </w:rPr>
      </w:pPr>
      <w:r w:rsidRPr="009B21B5">
        <w:rPr>
          <w:lang w:val="nl-BE"/>
        </w:rPr>
        <w:t xml:space="preserve">Die regel geldt zodra de producten zichtbaar zijn voor de consumenten. Als de producten bestemd zijn voor professionals, is het mogelijk om de </w:t>
      </w:r>
      <w:proofErr w:type="spellStart"/>
      <w:r w:rsidRPr="009B21B5">
        <w:rPr>
          <w:lang w:val="nl-BE"/>
        </w:rPr>
        <w:t>Nutri</w:t>
      </w:r>
      <w:proofErr w:type="spellEnd"/>
      <w:r w:rsidRPr="009B21B5">
        <w:rPr>
          <w:lang w:val="nl-BE"/>
        </w:rPr>
        <w:t xml:space="preserve">-Score niet aan te brengen, zelfs als het gaat om een merk dat aangesloten is bij het </w:t>
      </w:r>
      <w:proofErr w:type="spellStart"/>
      <w:r w:rsidRPr="009B21B5">
        <w:rPr>
          <w:lang w:val="nl-BE"/>
        </w:rPr>
        <w:t>Nutri</w:t>
      </w:r>
      <w:proofErr w:type="spellEnd"/>
      <w:r w:rsidRPr="009B21B5">
        <w:rPr>
          <w:lang w:val="nl-BE"/>
        </w:rPr>
        <w:t>-Score-systeem.</w:t>
      </w:r>
    </w:p>
    <w:p w14:paraId="282844AB" w14:textId="77777777" w:rsidR="00BC40BF" w:rsidRPr="009B21B5" w:rsidRDefault="00BC40BF" w:rsidP="00AD727F">
      <w:pPr>
        <w:pStyle w:val="titre10"/>
        <w:numPr>
          <w:ilvl w:val="0"/>
          <w:numId w:val="0"/>
        </w:numPr>
        <w:spacing w:before="120" w:after="120" w:line="264" w:lineRule="auto"/>
        <w:contextualSpacing w:val="0"/>
        <w:jc w:val="both"/>
        <w:rPr>
          <w:rFonts w:cstheme="minorHAnsi"/>
          <w:lang w:val="nl-BE"/>
        </w:rPr>
      </w:pPr>
    </w:p>
    <w:p w14:paraId="2BDF0D85" w14:textId="77777777" w:rsidR="003F6408" w:rsidRPr="009B21B5" w:rsidRDefault="003F6408" w:rsidP="00AD727F">
      <w:pPr>
        <w:pStyle w:val="Titre2"/>
        <w:spacing w:line="264" w:lineRule="auto"/>
        <w:contextualSpacing w:val="0"/>
        <w:rPr>
          <w:lang w:val="nl-BE"/>
        </w:rPr>
      </w:pPr>
      <w:bookmarkStart w:id="61" w:name="_Toc83375110"/>
      <w:r w:rsidRPr="009B21B5">
        <w:rPr>
          <w:lang w:val="nl-BE"/>
        </w:rPr>
        <w:t xml:space="preserve">Welke specifieke regels gelden voor de toepassing van de </w:t>
      </w:r>
      <w:proofErr w:type="spellStart"/>
      <w:r w:rsidRPr="009B21B5">
        <w:rPr>
          <w:lang w:val="nl-BE"/>
        </w:rPr>
        <w:t>Nutri</w:t>
      </w:r>
      <w:proofErr w:type="spellEnd"/>
      <w:r w:rsidRPr="009B21B5">
        <w:rPr>
          <w:lang w:val="nl-BE"/>
        </w:rPr>
        <w:t>-Score in de overzeese gebieden van Frankrijk?</w:t>
      </w:r>
      <w:bookmarkEnd w:id="61"/>
    </w:p>
    <w:p w14:paraId="2716600A" w14:textId="77777777" w:rsidR="003F6408" w:rsidRPr="009B21B5" w:rsidRDefault="003F6408" w:rsidP="00AD727F">
      <w:pPr>
        <w:pStyle w:val="titre10"/>
        <w:numPr>
          <w:ilvl w:val="0"/>
          <w:numId w:val="0"/>
        </w:numPr>
        <w:spacing w:before="120" w:after="120" w:line="264" w:lineRule="auto"/>
        <w:contextualSpacing w:val="0"/>
        <w:jc w:val="both"/>
        <w:rPr>
          <w:rFonts w:cstheme="minorHAnsi"/>
          <w:lang w:val="nl-BE"/>
        </w:rPr>
      </w:pPr>
      <w:r w:rsidRPr="009B21B5">
        <w:rPr>
          <w:rFonts w:cstheme="minorHAnsi"/>
          <w:lang w:val="nl-BE"/>
        </w:rPr>
        <w:t xml:space="preserve">Het Franse besluit inzake de </w:t>
      </w:r>
      <w:proofErr w:type="spellStart"/>
      <w:r w:rsidRPr="009B21B5">
        <w:rPr>
          <w:rFonts w:cstheme="minorHAnsi"/>
          <w:lang w:val="nl-BE"/>
        </w:rPr>
        <w:t>Nutri</w:t>
      </w:r>
      <w:proofErr w:type="spellEnd"/>
      <w:r w:rsidRPr="009B21B5">
        <w:rPr>
          <w:rFonts w:cstheme="minorHAnsi"/>
          <w:lang w:val="nl-BE"/>
        </w:rPr>
        <w:t xml:space="preserve">-Score is rechtstreeks van toepassing in de overzeese departementen Martinique, Guadeloupe, Réunion, Frans-Guyana en Mayotte en enkel in de overzeese gemeenschappen Sint-Maarten, Saint-Barthélemy en Saint-Pierre-et-Miquelon, aangezien dit overzeese gebieden zijn waar </w:t>
      </w:r>
      <w:r w:rsidRPr="009B21B5">
        <w:rPr>
          <w:rFonts w:cstheme="minorHAnsi"/>
          <w:lang w:val="nl-BE"/>
        </w:rPr>
        <w:lastRenderedPageBreak/>
        <w:t>het gezondheidsrecht rechtstreeks van toepassing is. Het is echter niet van toepassing in de overzeese gemeenschappen Wallis-et-Fortuna, Nieuw-Caledonië en Frans-Polynesië.</w:t>
      </w:r>
    </w:p>
    <w:p w14:paraId="206F265E" w14:textId="77777777" w:rsidR="00E75C07" w:rsidRPr="009B21B5" w:rsidRDefault="00E75C07" w:rsidP="00AD727F">
      <w:pPr>
        <w:pStyle w:val="titre10"/>
        <w:numPr>
          <w:ilvl w:val="0"/>
          <w:numId w:val="0"/>
        </w:numPr>
        <w:spacing w:before="120" w:after="120" w:line="264" w:lineRule="auto"/>
        <w:contextualSpacing w:val="0"/>
        <w:jc w:val="both"/>
        <w:rPr>
          <w:rFonts w:cstheme="minorHAnsi"/>
          <w:lang w:val="nl-BE"/>
        </w:rPr>
      </w:pPr>
    </w:p>
    <w:p w14:paraId="631FA99B" w14:textId="77777777" w:rsidR="009D0DAE" w:rsidRPr="009B21B5" w:rsidRDefault="009D0DAE" w:rsidP="00AD727F">
      <w:pPr>
        <w:pStyle w:val="Titre2"/>
        <w:spacing w:line="264" w:lineRule="auto"/>
        <w:contextualSpacing w:val="0"/>
        <w:rPr>
          <w:color w:val="0070C0"/>
          <w:lang w:val="nl-BE"/>
        </w:rPr>
      </w:pPr>
      <w:bookmarkStart w:id="62" w:name="_Toc83375111"/>
      <w:r w:rsidRPr="009B21B5">
        <w:rPr>
          <w:color w:val="0070C0"/>
          <w:lang w:val="nl-BE"/>
        </w:rPr>
        <w:t xml:space="preserve">Geldt het </w:t>
      </w:r>
      <w:proofErr w:type="spellStart"/>
      <w:r w:rsidRPr="009B21B5">
        <w:rPr>
          <w:color w:val="0070C0"/>
          <w:lang w:val="nl-BE"/>
        </w:rPr>
        <w:t>Nutri</w:t>
      </w:r>
      <w:proofErr w:type="spellEnd"/>
      <w:r w:rsidRPr="009B21B5">
        <w:rPr>
          <w:color w:val="0070C0"/>
          <w:lang w:val="nl-BE"/>
        </w:rPr>
        <w:t>-Score-systeem ook buiten het Franse grondgebied?</w:t>
      </w:r>
      <w:bookmarkEnd w:id="62"/>
    </w:p>
    <w:p w14:paraId="50BA87C2" w14:textId="77777777" w:rsidR="009D0DAE" w:rsidRPr="009B21B5" w:rsidRDefault="009D0DAE" w:rsidP="00AD727F">
      <w:pPr>
        <w:spacing w:before="120" w:after="120" w:line="264" w:lineRule="auto"/>
        <w:jc w:val="both"/>
        <w:rPr>
          <w:rFonts w:cstheme="minorHAnsi"/>
          <w:lang w:val="nl-BE"/>
        </w:rPr>
      </w:pPr>
      <w:r w:rsidRPr="009B21B5">
        <w:rPr>
          <w:rFonts w:cstheme="minorHAnsi"/>
          <w:lang w:val="nl-BE"/>
        </w:rPr>
        <w:t>De vrijwillige verbintenis van fabrikanten en handelaars om deze aanbevolen aanvullende presentatievorm te gebruiken heeft betrekking op alle voedingsmiddelencategorieën die ze onder hun eigen merken op de Franse markt brengen. Het bovenvermelde Frans besluit nr. 2016-980 en het besluit van 31 oktober 2017 tot vastlegging van de extra presentatievorm voor de voedingswaardevermelding zoals aanbevolen door de Staat (in toepassing van artikelen L. 3232-8 en R. 3232-7 van het wetboek volksgezondheid) maken immers deel uit van de Franse regelgeving.</w:t>
      </w:r>
    </w:p>
    <w:p w14:paraId="1EF6FF43" w14:textId="77777777" w:rsidR="009D0DAE" w:rsidRPr="009B21B5" w:rsidRDefault="009D0DAE" w:rsidP="00AD727F">
      <w:pPr>
        <w:spacing w:before="120" w:after="120" w:line="264" w:lineRule="auto"/>
        <w:jc w:val="both"/>
        <w:rPr>
          <w:rFonts w:cstheme="minorHAnsi"/>
          <w:lang w:val="nl-BE"/>
        </w:rPr>
      </w:pPr>
      <w:r w:rsidRPr="009B21B5">
        <w:rPr>
          <w:rFonts w:cstheme="minorHAnsi"/>
          <w:lang w:val="nl-BE"/>
        </w:rPr>
        <w:t xml:space="preserve">Het komt erop neer dat er geen enkele verplichting bestaat om het </w:t>
      </w:r>
      <w:proofErr w:type="spellStart"/>
      <w:r w:rsidRPr="009B21B5">
        <w:rPr>
          <w:rFonts w:cstheme="minorHAnsi"/>
          <w:lang w:val="nl-BE"/>
        </w:rPr>
        <w:t>Nutri</w:t>
      </w:r>
      <w:proofErr w:type="spellEnd"/>
      <w:r w:rsidRPr="009B21B5">
        <w:rPr>
          <w:rFonts w:cstheme="minorHAnsi"/>
          <w:lang w:val="nl-BE"/>
        </w:rPr>
        <w:t>-Score-logo aan te brengen op producten die buiten Frankrijk worden uitgevoerd.</w:t>
      </w:r>
    </w:p>
    <w:p w14:paraId="04AB6265" w14:textId="77777777" w:rsidR="008968B8" w:rsidRPr="009B21B5" w:rsidRDefault="00EA66AA" w:rsidP="00AD727F">
      <w:pPr>
        <w:spacing w:before="120" w:after="120" w:line="264" w:lineRule="auto"/>
        <w:jc w:val="both"/>
        <w:rPr>
          <w:rFonts w:cstheme="minorHAnsi"/>
          <w:color w:val="00B0F0"/>
          <w:lang w:val="nl-BE"/>
        </w:rPr>
      </w:pPr>
      <w:r w:rsidRPr="009B21B5">
        <w:rPr>
          <w:rFonts w:cstheme="minorHAnsi"/>
          <w:lang w:val="nl-BE"/>
        </w:rPr>
        <w:t xml:space="preserve">Handelaren die de </w:t>
      </w:r>
      <w:proofErr w:type="spellStart"/>
      <w:r w:rsidRPr="009B21B5">
        <w:rPr>
          <w:rFonts w:cstheme="minorHAnsi"/>
          <w:lang w:val="nl-BE"/>
        </w:rPr>
        <w:t>Nutri</w:t>
      </w:r>
      <w:proofErr w:type="spellEnd"/>
      <w:r w:rsidRPr="009B21B5">
        <w:rPr>
          <w:rFonts w:cstheme="minorHAnsi"/>
          <w:lang w:val="nl-BE"/>
        </w:rPr>
        <w:t>-Score toch willen vermelden op producten die ze afzetten in een of meerdere andere EU-</w:t>
      </w:r>
      <w:r w:rsidR="009D0DAE" w:rsidRPr="009B21B5">
        <w:rPr>
          <w:rFonts w:cstheme="minorHAnsi"/>
          <w:color w:val="00B0F0"/>
          <w:lang w:val="nl-BE"/>
        </w:rPr>
        <w:t>lidstaten, mogen dat toen op voorwaarde dat ze het gebruiksreglement naleven.</w:t>
      </w:r>
    </w:p>
    <w:p w14:paraId="3DEA60E2" w14:textId="2D1B54C9" w:rsidR="008968B8" w:rsidRPr="009B21B5" w:rsidRDefault="008968B8" w:rsidP="00665E59">
      <w:pPr>
        <w:jc w:val="both"/>
        <w:rPr>
          <w:rFonts w:cstheme="minorHAnsi"/>
          <w:color w:val="00B0F0"/>
          <w:lang w:val="nl-BE"/>
        </w:rPr>
      </w:pPr>
      <w:r w:rsidRPr="009B21B5">
        <w:rPr>
          <w:rFonts w:cstheme="minorHAnsi"/>
          <w:color w:val="00B0F0"/>
          <w:lang w:val="nl-BE"/>
        </w:rPr>
        <w:t xml:space="preserve">Het merk </w:t>
      </w:r>
      <w:proofErr w:type="spellStart"/>
      <w:r w:rsidRPr="009B21B5">
        <w:rPr>
          <w:rFonts w:cstheme="minorHAnsi"/>
          <w:color w:val="00B0F0"/>
          <w:lang w:val="nl-BE"/>
        </w:rPr>
        <w:t>Nutri</w:t>
      </w:r>
      <w:proofErr w:type="spellEnd"/>
      <w:r w:rsidRPr="009B21B5">
        <w:rPr>
          <w:rFonts w:cstheme="minorHAnsi"/>
          <w:color w:val="00B0F0"/>
          <w:lang w:val="nl-BE"/>
        </w:rPr>
        <w:t>-Score werd bovendien gedeponeerd bij het WIPO (Wereldorganisatie voor de Intellectuele Eigendom) voor de volgende landen: Australië, Benin, Brazilië, Burkina Faso, Canada, Centraal-Afrikaanse Republiek, Comoren, Congo, Equatoriaal-Guinea, Gabon, Guinee, Guinee-Bissau, Ivoorkust, Kameroen, Mali, Marokko, Mauritanië, Mexico, Niger, Oekraïne, Senegal, Togo, Tsjaad, Turkije, Verenigde Staten, Zwitserland.</w:t>
      </w:r>
    </w:p>
    <w:p w14:paraId="63938DAC" w14:textId="77777777" w:rsidR="008968B8" w:rsidRPr="009B21B5" w:rsidRDefault="008968B8" w:rsidP="00665E59">
      <w:pPr>
        <w:jc w:val="both"/>
        <w:rPr>
          <w:rFonts w:cstheme="minorHAnsi"/>
          <w:lang w:val="nl-BE"/>
        </w:rPr>
      </w:pPr>
      <w:r w:rsidRPr="009B21B5">
        <w:rPr>
          <w:rFonts w:cstheme="minorHAnsi"/>
          <w:lang w:val="nl-BE"/>
        </w:rPr>
        <w:t>Voor elk gebruik buiten de Europese Unie moet de handelaar zich ervan vergewissen dat het logo niet indruist tegen de nationale wetgeving.</w:t>
      </w:r>
    </w:p>
    <w:p w14:paraId="2EAEFBF1" w14:textId="65010CF3" w:rsidR="009D0DAE" w:rsidRPr="009B21B5" w:rsidRDefault="008968B8" w:rsidP="00406E09">
      <w:pPr>
        <w:spacing w:before="120" w:after="120" w:line="264" w:lineRule="auto"/>
        <w:jc w:val="both"/>
        <w:rPr>
          <w:rFonts w:cstheme="minorHAnsi"/>
          <w:lang w:val="nl-BE"/>
        </w:rPr>
      </w:pPr>
      <w:r w:rsidRPr="009B21B5">
        <w:rPr>
          <w:rFonts w:cstheme="minorHAnsi"/>
          <w:lang w:val="nl-BE"/>
        </w:rPr>
        <w:t xml:space="preserve">Voor elk gebruik in een of meerdere landen waar de </w:t>
      </w:r>
      <w:proofErr w:type="spellStart"/>
      <w:r w:rsidRPr="009B21B5">
        <w:rPr>
          <w:rFonts w:cstheme="minorHAnsi"/>
          <w:lang w:val="nl-BE"/>
        </w:rPr>
        <w:t>Nutri</w:t>
      </w:r>
      <w:proofErr w:type="spellEnd"/>
      <w:r w:rsidRPr="009B21B5">
        <w:rPr>
          <w:rFonts w:cstheme="minorHAnsi"/>
          <w:lang w:val="nl-BE"/>
        </w:rPr>
        <w:t xml:space="preserve">-Score niet werd gedeponeerd bij het WIPO (Wereldorganisatie voor de Intellectuele Eigendom), moet de handelaar Santé </w:t>
      </w:r>
      <w:proofErr w:type="spellStart"/>
      <w:r w:rsidRPr="009B21B5">
        <w:rPr>
          <w:rFonts w:cstheme="minorHAnsi"/>
          <w:lang w:val="nl-BE"/>
        </w:rPr>
        <w:t>publique</w:t>
      </w:r>
      <w:proofErr w:type="spellEnd"/>
      <w:r w:rsidRPr="009B21B5">
        <w:rPr>
          <w:rFonts w:cstheme="minorHAnsi"/>
          <w:lang w:val="nl-BE"/>
        </w:rPr>
        <w:t xml:space="preserve"> France op de hoogte brengen zodat een eventuele deponering kan worden overwogen. </w:t>
      </w:r>
    </w:p>
    <w:p w14:paraId="0A041B14" w14:textId="77777777" w:rsidR="00644EBB" w:rsidRPr="009B21B5" w:rsidRDefault="00644EBB" w:rsidP="00AD727F">
      <w:pPr>
        <w:spacing w:before="120" w:after="120" w:line="264" w:lineRule="auto"/>
        <w:jc w:val="both"/>
        <w:rPr>
          <w:rFonts w:cstheme="minorHAnsi"/>
          <w:lang w:val="nl-BE"/>
        </w:rPr>
      </w:pPr>
    </w:p>
    <w:p w14:paraId="5A8F8F87" w14:textId="77777777" w:rsidR="009D0DAE" w:rsidRPr="009B21B5" w:rsidRDefault="002959C6" w:rsidP="00AD727F">
      <w:pPr>
        <w:pStyle w:val="Titre2"/>
        <w:spacing w:line="264" w:lineRule="auto"/>
        <w:contextualSpacing w:val="0"/>
        <w:rPr>
          <w:color w:val="00B0F0"/>
          <w:lang w:val="nl-BE"/>
        </w:rPr>
      </w:pPr>
      <w:bookmarkStart w:id="63" w:name="_Toc83375112"/>
      <w:r w:rsidRPr="009B21B5">
        <w:rPr>
          <w:color w:val="00B0F0"/>
          <w:lang w:val="nl-BE"/>
        </w:rPr>
        <w:t xml:space="preserve">Mag een mandataris instaan voor de registratieformaliteiten van het </w:t>
      </w:r>
      <w:proofErr w:type="spellStart"/>
      <w:r w:rsidRPr="009B21B5">
        <w:rPr>
          <w:color w:val="00B0F0"/>
          <w:lang w:val="nl-BE"/>
        </w:rPr>
        <w:t>Nutri</w:t>
      </w:r>
      <w:proofErr w:type="spellEnd"/>
      <w:r w:rsidRPr="009B21B5">
        <w:rPr>
          <w:color w:val="00B0F0"/>
          <w:lang w:val="nl-BE"/>
        </w:rPr>
        <w:t>-Score-systeem?</w:t>
      </w:r>
      <w:bookmarkEnd w:id="63"/>
    </w:p>
    <w:p w14:paraId="50820FE6" w14:textId="6184B814" w:rsidR="009D0DAE" w:rsidRPr="009B21B5" w:rsidRDefault="009D0DAE" w:rsidP="00AD727F">
      <w:pPr>
        <w:spacing w:before="120" w:after="120" w:line="264" w:lineRule="auto"/>
        <w:jc w:val="both"/>
        <w:rPr>
          <w:color w:val="00B0F0"/>
          <w:lang w:val="nl-BE"/>
        </w:rPr>
      </w:pPr>
      <w:r w:rsidRPr="009B21B5">
        <w:rPr>
          <w:color w:val="00B0F0"/>
          <w:lang w:val="nl-BE"/>
        </w:rPr>
        <w:t>Elke persoon die in aanmerking komt en het handelsmerk '</w:t>
      </w:r>
      <w:proofErr w:type="spellStart"/>
      <w:r w:rsidRPr="009B21B5">
        <w:rPr>
          <w:color w:val="00B0F0"/>
          <w:lang w:val="nl-BE"/>
        </w:rPr>
        <w:t>Nutri</w:t>
      </w:r>
      <w:proofErr w:type="spellEnd"/>
      <w:r w:rsidRPr="009B21B5">
        <w:rPr>
          <w:color w:val="00B0F0"/>
          <w:lang w:val="nl-BE"/>
        </w:rPr>
        <w:t xml:space="preserve">-Score' wil gebruiken, moet die intentie meedelen aan het Franse ministerie van volksgezondheid of de regulerende instantie van het land in kwestie, door zich te registreren op een van de volgende websites: </w:t>
      </w:r>
    </w:p>
    <w:p w14:paraId="61522C3F" w14:textId="77777777" w:rsidR="00F36B59" w:rsidRPr="009B21B5" w:rsidRDefault="00F36B59" w:rsidP="00F36B59">
      <w:pPr>
        <w:pStyle w:val="Paragraphedeliste"/>
        <w:numPr>
          <w:ilvl w:val="0"/>
          <w:numId w:val="63"/>
        </w:numPr>
        <w:spacing w:before="100" w:beforeAutospacing="1" w:after="100" w:afterAutospacing="1" w:line="240" w:lineRule="auto"/>
        <w:contextualSpacing w:val="0"/>
        <w:rPr>
          <w:rFonts w:cstheme="minorHAnsi"/>
          <w:color w:val="00B0F0"/>
          <w:lang w:val="nl-BE" w:eastAsia="fr-FR"/>
        </w:rPr>
      </w:pPr>
      <w:r w:rsidRPr="009B21B5">
        <w:rPr>
          <w:rFonts w:cstheme="minorHAnsi"/>
          <w:color w:val="00B0F0"/>
          <w:lang w:val="nl-BE"/>
        </w:rPr>
        <w:t xml:space="preserve">Voor merken die </w:t>
      </w:r>
      <w:r w:rsidRPr="009B21B5">
        <w:rPr>
          <w:rFonts w:cstheme="minorHAnsi"/>
          <w:b/>
          <w:color w:val="00B0F0"/>
          <w:lang w:val="nl-BE"/>
        </w:rPr>
        <w:t>exclusief op het Franse grondgebied</w:t>
      </w:r>
      <w:r w:rsidRPr="009B21B5">
        <w:rPr>
          <w:rFonts w:cstheme="minorHAnsi"/>
          <w:color w:val="00B0F0"/>
          <w:lang w:val="nl-BE"/>
        </w:rPr>
        <w:t xml:space="preserve"> worden </w:t>
      </w:r>
      <w:proofErr w:type="spellStart"/>
      <w:r w:rsidRPr="009B21B5">
        <w:rPr>
          <w:rFonts w:cstheme="minorHAnsi"/>
          <w:color w:val="00B0F0"/>
          <w:lang w:val="nl-BE"/>
        </w:rPr>
        <w:t>vermarkt</w:t>
      </w:r>
      <w:proofErr w:type="spellEnd"/>
      <w:r w:rsidRPr="009B21B5">
        <w:rPr>
          <w:rFonts w:cstheme="minorHAnsi"/>
          <w:color w:val="00B0F0"/>
          <w:lang w:val="nl-BE"/>
        </w:rPr>
        <w:t>: elke persoon die in aanmerking komt en het handelsmerk '</w:t>
      </w:r>
      <w:proofErr w:type="spellStart"/>
      <w:r w:rsidRPr="009B21B5">
        <w:rPr>
          <w:rFonts w:cstheme="minorHAnsi"/>
          <w:color w:val="00B0F0"/>
          <w:lang w:val="nl-BE"/>
        </w:rPr>
        <w:t>Nutri</w:t>
      </w:r>
      <w:proofErr w:type="spellEnd"/>
      <w:r w:rsidRPr="009B21B5">
        <w:rPr>
          <w:rFonts w:cstheme="minorHAnsi"/>
          <w:color w:val="00B0F0"/>
          <w:lang w:val="nl-BE"/>
        </w:rPr>
        <w:t xml:space="preserve">-Score' wil gebruiken, moet die intentie meedelen aan het Franse ministerie van volksgezondheid, door zich te registreren op de website: </w:t>
      </w:r>
      <w:hyperlink r:id="rId14" w:history="1">
        <w:r w:rsidRPr="009B21B5">
          <w:rPr>
            <w:rStyle w:val="Lienhypertexte"/>
            <w:rFonts w:cstheme="minorHAnsi"/>
            <w:color w:val="00B0F0"/>
            <w:lang w:val="nl-BE"/>
          </w:rPr>
          <w:t>https://www.demarches-simplifiees.fr/commencer/nutri-score_enregistrement_france</w:t>
        </w:r>
      </w:hyperlink>
      <w:r w:rsidRPr="009B21B5">
        <w:rPr>
          <w:rFonts w:cstheme="minorHAnsi"/>
          <w:color w:val="00B0F0"/>
          <w:lang w:val="nl-BE"/>
        </w:rPr>
        <w:br/>
      </w:r>
    </w:p>
    <w:p w14:paraId="28784FCB" w14:textId="0D211B7E" w:rsidR="00F36B59" w:rsidRPr="009B21B5" w:rsidRDefault="00F36B59" w:rsidP="00F36B59">
      <w:pPr>
        <w:pStyle w:val="Paragraphedeliste"/>
        <w:numPr>
          <w:ilvl w:val="0"/>
          <w:numId w:val="63"/>
        </w:numPr>
        <w:spacing w:before="100" w:beforeAutospacing="1" w:after="100" w:afterAutospacing="1" w:line="240" w:lineRule="auto"/>
        <w:contextualSpacing w:val="0"/>
        <w:rPr>
          <w:rFonts w:eastAsia="Times New Roman" w:cstheme="minorHAnsi"/>
          <w:color w:val="00B0F0"/>
          <w:sz w:val="24"/>
          <w:szCs w:val="24"/>
          <w:lang w:val="nl-BE"/>
        </w:rPr>
      </w:pPr>
      <w:r w:rsidRPr="009B21B5">
        <w:rPr>
          <w:rFonts w:cstheme="minorHAnsi"/>
          <w:color w:val="00B0F0"/>
          <w:lang w:val="nl-BE"/>
        </w:rPr>
        <w:t xml:space="preserve">Voor merken die in </w:t>
      </w:r>
      <w:r w:rsidRPr="009B21B5">
        <w:rPr>
          <w:rFonts w:cstheme="minorHAnsi"/>
          <w:b/>
          <w:color w:val="00B0F0"/>
          <w:lang w:val="nl-BE"/>
        </w:rPr>
        <w:t>diverse landen</w:t>
      </w:r>
      <w:r w:rsidRPr="009B21B5">
        <w:rPr>
          <w:rFonts w:cstheme="minorHAnsi"/>
          <w:color w:val="00B0F0"/>
          <w:lang w:val="nl-BE"/>
        </w:rPr>
        <w:t xml:space="preserve"> (eventueel incl. Frankrijk) worden </w:t>
      </w:r>
      <w:proofErr w:type="spellStart"/>
      <w:r w:rsidRPr="009B21B5">
        <w:rPr>
          <w:rFonts w:cstheme="minorHAnsi"/>
          <w:color w:val="00B0F0"/>
          <w:lang w:val="nl-BE"/>
        </w:rPr>
        <w:t>vermarkt</w:t>
      </w:r>
      <w:proofErr w:type="spellEnd"/>
      <w:r w:rsidRPr="009B21B5">
        <w:rPr>
          <w:rFonts w:cstheme="minorHAnsi"/>
          <w:color w:val="00B0F0"/>
          <w:lang w:val="nl-BE"/>
        </w:rPr>
        <w:t xml:space="preserve"> of in een </w:t>
      </w:r>
      <w:r w:rsidRPr="009B21B5">
        <w:rPr>
          <w:rFonts w:cstheme="minorHAnsi"/>
          <w:b/>
          <w:color w:val="00B0F0"/>
          <w:lang w:val="nl-BE"/>
        </w:rPr>
        <w:t>land waar de regulerende instantie geen eigen registratieprocedure heeft ingericht</w:t>
      </w:r>
      <w:r w:rsidRPr="009B21B5">
        <w:rPr>
          <w:rFonts w:cstheme="minorHAnsi"/>
          <w:color w:val="00B0F0"/>
          <w:lang w:val="nl-BE"/>
        </w:rPr>
        <w:t xml:space="preserve"> (Duitsland, België en Luxemburg), moeten de handelaars zich registreren op de website: </w:t>
      </w:r>
      <w:r w:rsidRPr="009B21B5">
        <w:rPr>
          <w:rFonts w:cstheme="minorHAnsi"/>
          <w:color w:val="00B0F0"/>
          <w:lang w:val="nl-BE"/>
        </w:rPr>
        <w:br/>
      </w:r>
      <w:hyperlink r:id="rId15" w:history="1">
        <w:r w:rsidRPr="009B21B5">
          <w:rPr>
            <w:rStyle w:val="Lienhypertexte"/>
            <w:rFonts w:cstheme="minorHAnsi"/>
            <w:color w:val="00B0F0"/>
            <w:lang w:val="nl-BE"/>
          </w:rPr>
          <w:t>https://www.demarches-simplifiees.fr/commencer/ns_international_registration_procedure</w:t>
        </w:r>
      </w:hyperlink>
      <w:r w:rsidRPr="009B21B5">
        <w:rPr>
          <w:rFonts w:cstheme="minorHAnsi"/>
          <w:color w:val="00B0F0"/>
          <w:lang w:val="nl-BE"/>
        </w:rPr>
        <w:br/>
      </w:r>
    </w:p>
    <w:p w14:paraId="2A99EF98" w14:textId="5A87D0C6" w:rsidR="00F36B59" w:rsidRPr="009B21B5" w:rsidRDefault="00F36B59" w:rsidP="00F36B59">
      <w:pPr>
        <w:pStyle w:val="Paragraphedeliste"/>
        <w:numPr>
          <w:ilvl w:val="0"/>
          <w:numId w:val="63"/>
        </w:numPr>
        <w:rPr>
          <w:color w:val="00B0F0"/>
          <w:lang w:val="nl-BE"/>
        </w:rPr>
      </w:pPr>
      <w:r w:rsidRPr="009B21B5">
        <w:rPr>
          <w:color w:val="00B0F0"/>
          <w:lang w:val="nl-BE"/>
        </w:rPr>
        <w:t xml:space="preserve">Voor merken die </w:t>
      </w:r>
      <w:r w:rsidRPr="009B21B5">
        <w:rPr>
          <w:b/>
          <w:color w:val="00B0F0"/>
          <w:lang w:val="nl-BE"/>
        </w:rPr>
        <w:t>exclusief in Zwitserland</w:t>
      </w:r>
      <w:r w:rsidRPr="009B21B5">
        <w:rPr>
          <w:color w:val="00B0F0"/>
          <w:lang w:val="nl-BE"/>
        </w:rPr>
        <w:t xml:space="preserve"> worden </w:t>
      </w:r>
      <w:proofErr w:type="spellStart"/>
      <w:r w:rsidRPr="009B21B5">
        <w:rPr>
          <w:color w:val="00B0F0"/>
          <w:lang w:val="nl-BE"/>
        </w:rPr>
        <w:t>vermarkt</w:t>
      </w:r>
      <w:proofErr w:type="spellEnd"/>
      <w:r w:rsidRPr="009B21B5">
        <w:rPr>
          <w:color w:val="00B0F0"/>
          <w:lang w:val="nl-BE"/>
        </w:rPr>
        <w:t xml:space="preserve">: </w:t>
      </w:r>
    </w:p>
    <w:p w14:paraId="6E8973AE" w14:textId="77777777" w:rsidR="00F36B59" w:rsidRPr="009B21B5" w:rsidRDefault="00F36B59" w:rsidP="00F36B59">
      <w:pPr>
        <w:pStyle w:val="Paragraphedeliste"/>
        <w:spacing w:before="120" w:after="120" w:line="264" w:lineRule="auto"/>
        <w:ind w:left="1068"/>
        <w:jc w:val="both"/>
        <w:rPr>
          <w:rStyle w:val="Lienhypertexte"/>
          <w:lang w:val="nl-BE"/>
        </w:rPr>
      </w:pPr>
      <w:r>
        <w:rPr>
          <w:color w:val="0070C0"/>
          <w:lang w:val="en-US"/>
        </w:rPr>
        <w:lastRenderedPageBreak/>
        <w:fldChar w:fldCharType="begin"/>
      </w:r>
      <w:r w:rsidRPr="000F4DA1">
        <w:rPr>
          <w:color w:val="0070C0"/>
          <w:lang w:val="nl"/>
        </w:rPr>
        <w:instrText xml:space="preserve"> HYPERLINK "https://www.blv.admin.ch/blv/de/home/lebensmittel-und-ernaehrung/ernaehrung/nutri-score/nutri-score-lebensmittelproduzenten.html" </w:instrText>
      </w:r>
      <w:r>
        <w:rPr>
          <w:color w:val="0070C0"/>
          <w:lang w:val="en-US"/>
        </w:rPr>
        <w:fldChar w:fldCharType="separate"/>
      </w:r>
      <w:r w:rsidRPr="000F4DA1">
        <w:rPr>
          <w:rStyle w:val="Lienhypertexte"/>
          <w:lang w:val="nl"/>
        </w:rPr>
        <w:t>Lebensmittelproduzenten (admin.ch)</w:t>
      </w:r>
    </w:p>
    <w:p w14:paraId="6ECAD99E" w14:textId="2A27D5C5" w:rsidR="009D0DAE" w:rsidRPr="009B21B5" w:rsidRDefault="00F36B59" w:rsidP="00F36B59">
      <w:pPr>
        <w:spacing w:before="120" w:after="120" w:line="264" w:lineRule="auto"/>
        <w:jc w:val="both"/>
        <w:rPr>
          <w:lang w:val="nl-BE"/>
        </w:rPr>
      </w:pPr>
      <w:r>
        <w:rPr>
          <w:lang w:val="en-US"/>
        </w:rPr>
        <w:fldChar w:fldCharType="end"/>
      </w:r>
      <w:r w:rsidR="009D0DAE" w:rsidRPr="009B21B5">
        <w:rPr>
          <w:lang w:val="nl-BE"/>
        </w:rPr>
        <w:t xml:space="preserve">Een naar behoren gemachtigd mandataris kan perfect instaan voor de registratieformaliteiten van diens volmachtgever. Het Franse ministerie van volksgezondheid heeft geen inspraak in de verwerkings- en organisatiemodaliteiten van de merkenportefeuille van een fabrikant of verdeler die de </w:t>
      </w:r>
      <w:proofErr w:type="spellStart"/>
      <w:r w:rsidR="009D0DAE" w:rsidRPr="009B21B5">
        <w:rPr>
          <w:lang w:val="nl-BE"/>
        </w:rPr>
        <w:t>Nutri</w:t>
      </w:r>
      <w:proofErr w:type="spellEnd"/>
      <w:r w:rsidR="009D0DAE" w:rsidRPr="009B21B5">
        <w:rPr>
          <w:lang w:val="nl-BE"/>
        </w:rPr>
        <w:t xml:space="preserve">-Score wenst te gebruiken. </w:t>
      </w:r>
    </w:p>
    <w:p w14:paraId="770B78B5" w14:textId="77777777" w:rsidR="009D0DAE" w:rsidRPr="009B21B5" w:rsidRDefault="009D0DAE" w:rsidP="00AD727F">
      <w:pPr>
        <w:spacing w:before="120" w:after="120" w:line="264" w:lineRule="auto"/>
        <w:jc w:val="both"/>
        <w:rPr>
          <w:lang w:val="nl-BE"/>
        </w:rPr>
      </w:pPr>
      <w:r w:rsidRPr="009B21B5">
        <w:rPr>
          <w:lang w:val="nl-BE"/>
        </w:rPr>
        <w:t>Het is dus perfect mogelijk een mandataris in te zetten, als de exploitant dat wenst. Die mag evenwel maar net zo veel registratieaanvragen invullen als dat hij volmachten bezit.</w:t>
      </w:r>
    </w:p>
    <w:p w14:paraId="0E22B0C4" w14:textId="77777777" w:rsidR="009D0DAE" w:rsidRPr="009B21B5" w:rsidRDefault="009D0DAE" w:rsidP="00AD727F">
      <w:pPr>
        <w:spacing w:before="120" w:after="120" w:line="264" w:lineRule="auto"/>
        <w:jc w:val="both"/>
        <w:rPr>
          <w:rFonts w:cstheme="minorHAnsi"/>
          <w:lang w:val="nl-BE"/>
        </w:rPr>
      </w:pPr>
    </w:p>
    <w:p w14:paraId="63E4102A" w14:textId="77777777" w:rsidR="00007E78" w:rsidRPr="009B21B5" w:rsidRDefault="001E0B77" w:rsidP="00AD727F">
      <w:pPr>
        <w:pStyle w:val="Titre2"/>
        <w:spacing w:line="264" w:lineRule="auto"/>
        <w:contextualSpacing w:val="0"/>
        <w:rPr>
          <w:lang w:val="nl-BE"/>
        </w:rPr>
      </w:pPr>
      <w:bookmarkStart w:id="64" w:name="_Toc83375113"/>
      <w:r w:rsidRPr="009B21B5">
        <w:rPr>
          <w:lang w:val="nl-BE"/>
        </w:rPr>
        <w:t xml:space="preserve">Waarom zijn er straffen vastgelegd in het gebruiksreglement voor de </w:t>
      </w:r>
      <w:proofErr w:type="spellStart"/>
      <w:r w:rsidRPr="009B21B5">
        <w:rPr>
          <w:lang w:val="nl-BE"/>
        </w:rPr>
        <w:t>Nutri</w:t>
      </w:r>
      <w:proofErr w:type="spellEnd"/>
      <w:r w:rsidRPr="009B21B5">
        <w:rPr>
          <w:lang w:val="nl-BE"/>
        </w:rPr>
        <w:t>-Score?</w:t>
      </w:r>
      <w:bookmarkEnd w:id="64"/>
    </w:p>
    <w:p w14:paraId="3F4D079B" w14:textId="77777777" w:rsidR="00E81109" w:rsidRPr="009B21B5" w:rsidRDefault="00007E78" w:rsidP="00AD727F">
      <w:pPr>
        <w:spacing w:before="120" w:after="120" w:line="264" w:lineRule="auto"/>
        <w:jc w:val="both"/>
        <w:rPr>
          <w:lang w:val="nl-BE"/>
        </w:rPr>
      </w:pPr>
      <w:r w:rsidRPr="009B21B5">
        <w:rPr>
          <w:lang w:val="nl-BE"/>
        </w:rPr>
        <w:t>Aangezien het hier gaat om de straffen waar het gebruiksreglement naar verwijst, moeten we erop wijzen dat dat reglement betrekking heeft op de bescherming van het collectieve handelsmerk '</w:t>
      </w:r>
      <w:proofErr w:type="spellStart"/>
      <w:r w:rsidRPr="009B21B5">
        <w:rPr>
          <w:lang w:val="nl-BE"/>
        </w:rPr>
        <w:t>Nutri</w:t>
      </w:r>
      <w:proofErr w:type="spellEnd"/>
      <w:r w:rsidRPr="009B21B5">
        <w:rPr>
          <w:lang w:val="nl-BE"/>
        </w:rPr>
        <w:t>-Score'. Bijgevolg gaat het om een bescherming geënt op het intellectuele en op het industriële eigendomsrecht (aangezien het merk is gedeponeerd bij het INPI en het EUIPO).</w:t>
      </w:r>
    </w:p>
    <w:p w14:paraId="092991D0" w14:textId="77777777" w:rsidR="00045B69" w:rsidRPr="009B21B5" w:rsidRDefault="00007E78" w:rsidP="00AD727F">
      <w:pPr>
        <w:spacing w:before="120" w:after="120" w:line="264" w:lineRule="auto"/>
        <w:jc w:val="both"/>
        <w:rPr>
          <w:lang w:val="nl-BE"/>
        </w:rPr>
      </w:pPr>
      <w:r w:rsidRPr="009B21B5">
        <w:rPr>
          <w:lang w:val="nl-BE"/>
        </w:rPr>
        <w:t>Net zoals bij elke andere merknaam is dit gebruiksreglement bedoeld om industriële producten te beschermen en het gebruik van het collectieve handelsmerk '</w:t>
      </w:r>
      <w:proofErr w:type="spellStart"/>
      <w:r w:rsidRPr="009B21B5">
        <w:rPr>
          <w:lang w:val="nl-BE"/>
        </w:rPr>
        <w:t>Nutri</w:t>
      </w:r>
      <w:proofErr w:type="spellEnd"/>
      <w:r w:rsidRPr="009B21B5">
        <w:rPr>
          <w:lang w:val="nl-BE"/>
        </w:rPr>
        <w:t xml:space="preserve">-Score' tussen exploitanten te doen naleven, om zo onrechtmatig gedrag, fraude en/of elke oneerlijke concurrentie tegen te gaan. Zo gelden de straffen enkel indien de exploitanten de </w:t>
      </w:r>
      <w:proofErr w:type="spellStart"/>
      <w:r w:rsidRPr="009B21B5">
        <w:rPr>
          <w:lang w:val="nl-BE"/>
        </w:rPr>
        <w:t>Nutri</w:t>
      </w:r>
      <w:proofErr w:type="spellEnd"/>
      <w:r w:rsidRPr="009B21B5">
        <w:rPr>
          <w:lang w:val="nl-BE"/>
        </w:rPr>
        <w:t>-Score foutief gebruiken, bijvoorbeeld door een foute score te vermelden, wat een bedrieglijke praktijk zou zijn.</w:t>
      </w:r>
    </w:p>
    <w:p w14:paraId="1ACB9D80" w14:textId="77777777" w:rsidR="009D0DAE" w:rsidRPr="009B21B5" w:rsidRDefault="009D0DAE" w:rsidP="00AD727F">
      <w:pPr>
        <w:spacing w:before="120" w:after="120" w:line="264" w:lineRule="auto"/>
        <w:jc w:val="both"/>
        <w:rPr>
          <w:rFonts w:cstheme="minorHAnsi"/>
          <w:lang w:val="nl-BE"/>
        </w:rPr>
      </w:pPr>
    </w:p>
    <w:p w14:paraId="1065EF2D" w14:textId="77777777" w:rsidR="009D0DAE" w:rsidRPr="009B21B5" w:rsidRDefault="009D0DAE" w:rsidP="00AD727F">
      <w:pPr>
        <w:pStyle w:val="Titre2"/>
        <w:spacing w:line="264" w:lineRule="auto"/>
        <w:contextualSpacing w:val="0"/>
        <w:rPr>
          <w:lang w:val="nl-BE"/>
        </w:rPr>
      </w:pPr>
      <w:bookmarkStart w:id="65" w:name="_Toc486439641"/>
      <w:bookmarkStart w:id="66" w:name="_Toc83375114"/>
      <w:r w:rsidRPr="009B21B5">
        <w:rPr>
          <w:lang w:val="nl-BE"/>
        </w:rPr>
        <w:t xml:space="preserve">Hoe stoppen met het gebruik van de </w:t>
      </w:r>
      <w:proofErr w:type="spellStart"/>
      <w:r w:rsidRPr="009B21B5">
        <w:rPr>
          <w:lang w:val="nl-BE"/>
        </w:rPr>
        <w:t>Nutri</w:t>
      </w:r>
      <w:proofErr w:type="spellEnd"/>
      <w:r w:rsidRPr="009B21B5">
        <w:rPr>
          <w:lang w:val="nl-BE"/>
        </w:rPr>
        <w:t>-Score?</w:t>
      </w:r>
      <w:bookmarkEnd w:id="65"/>
      <w:bookmarkEnd w:id="66"/>
    </w:p>
    <w:p w14:paraId="31954340" w14:textId="77777777" w:rsidR="009D0DAE" w:rsidRPr="009B21B5" w:rsidRDefault="009D0DAE" w:rsidP="00AD727F">
      <w:pPr>
        <w:pStyle w:val="titre10"/>
        <w:numPr>
          <w:ilvl w:val="0"/>
          <w:numId w:val="0"/>
        </w:numPr>
        <w:spacing w:before="120" w:after="120" w:line="264" w:lineRule="auto"/>
        <w:contextualSpacing w:val="0"/>
        <w:jc w:val="both"/>
        <w:rPr>
          <w:lang w:val="nl-BE"/>
        </w:rPr>
      </w:pPr>
      <w:r w:rsidRPr="009B21B5">
        <w:rPr>
          <w:lang w:val="nl-BE"/>
        </w:rPr>
        <w:t xml:space="preserve">Na registratie heeft de exploitant 24 maanden de tijd om het </w:t>
      </w:r>
      <w:proofErr w:type="spellStart"/>
      <w:r w:rsidRPr="009B21B5">
        <w:rPr>
          <w:lang w:val="nl-BE"/>
        </w:rPr>
        <w:t>Nutri</w:t>
      </w:r>
      <w:proofErr w:type="spellEnd"/>
      <w:r w:rsidRPr="009B21B5">
        <w:rPr>
          <w:lang w:val="nl-BE"/>
        </w:rPr>
        <w:t>-Score-logo aan te brengen op alle productcategorieën die hij aanbiedt op de markt.</w:t>
      </w:r>
    </w:p>
    <w:p w14:paraId="4641C70A" w14:textId="77777777" w:rsidR="009D0DAE" w:rsidRPr="009B21B5" w:rsidRDefault="009D0DAE" w:rsidP="00AD727F">
      <w:pPr>
        <w:pStyle w:val="titre10"/>
        <w:numPr>
          <w:ilvl w:val="0"/>
          <w:numId w:val="0"/>
        </w:numPr>
        <w:spacing w:before="120" w:after="120" w:line="264" w:lineRule="auto"/>
        <w:contextualSpacing w:val="0"/>
        <w:jc w:val="both"/>
        <w:rPr>
          <w:lang w:val="nl-BE"/>
        </w:rPr>
      </w:pPr>
      <w:r w:rsidRPr="009B21B5">
        <w:rPr>
          <w:lang w:val="nl-BE"/>
        </w:rPr>
        <w:t xml:space="preserve">De exploitant kan op elk moment het gebruik van de </w:t>
      </w:r>
      <w:proofErr w:type="spellStart"/>
      <w:r w:rsidRPr="009B21B5">
        <w:rPr>
          <w:lang w:val="nl-BE"/>
        </w:rPr>
        <w:t>Nutri</w:t>
      </w:r>
      <w:proofErr w:type="spellEnd"/>
      <w:r w:rsidRPr="009B21B5">
        <w:rPr>
          <w:lang w:val="nl-BE"/>
        </w:rPr>
        <w:t>-Score stopzetten voor één of voor alle merken, op voorwaarde dat die stopzetting gemeld wordt aan het Franse ministerie voor volksgezondheid.</w:t>
      </w:r>
    </w:p>
    <w:p w14:paraId="647DADD6" w14:textId="77777777" w:rsidR="00012E2C" w:rsidRPr="009B21B5" w:rsidRDefault="00012E2C" w:rsidP="00AD727F">
      <w:pPr>
        <w:spacing w:before="120" w:after="120" w:line="264" w:lineRule="auto"/>
        <w:jc w:val="both"/>
        <w:rPr>
          <w:rFonts w:cstheme="minorHAnsi"/>
          <w:lang w:val="nl-BE"/>
        </w:rPr>
      </w:pPr>
    </w:p>
    <w:p w14:paraId="4482D777" w14:textId="77D88741" w:rsidR="00A007C7" w:rsidRPr="009B21B5" w:rsidRDefault="00B2102C" w:rsidP="00AD727F">
      <w:pPr>
        <w:pStyle w:val="Titre2"/>
        <w:spacing w:line="264" w:lineRule="auto"/>
        <w:contextualSpacing w:val="0"/>
        <w:rPr>
          <w:color w:val="00B0F0"/>
          <w:lang w:val="nl-BE"/>
        </w:rPr>
      </w:pPr>
      <w:bookmarkStart w:id="67" w:name="_Toc83375115"/>
      <w:r w:rsidRPr="009B21B5">
        <w:rPr>
          <w:color w:val="00B0F0"/>
          <w:lang w:val="nl-BE"/>
        </w:rPr>
        <w:t xml:space="preserve">Hoe de vertaling krijgen van het gebruiksreglement van de </w:t>
      </w:r>
      <w:proofErr w:type="spellStart"/>
      <w:r w:rsidRPr="009B21B5">
        <w:rPr>
          <w:color w:val="00B0F0"/>
          <w:lang w:val="nl-BE"/>
        </w:rPr>
        <w:t>Nutri</w:t>
      </w:r>
      <w:proofErr w:type="spellEnd"/>
      <w:r w:rsidRPr="009B21B5">
        <w:rPr>
          <w:color w:val="00B0F0"/>
          <w:lang w:val="nl-BE"/>
        </w:rPr>
        <w:t>-Score?</w:t>
      </w:r>
      <w:bookmarkEnd w:id="67"/>
    </w:p>
    <w:p w14:paraId="32C585D8" w14:textId="3CDB85DE" w:rsidR="005F3183" w:rsidRPr="009B21B5" w:rsidRDefault="005F3183" w:rsidP="005F3183">
      <w:pPr>
        <w:spacing w:before="120" w:after="120" w:line="264" w:lineRule="auto"/>
        <w:jc w:val="both"/>
        <w:rPr>
          <w:color w:val="00B0F0"/>
          <w:lang w:val="nl-BE"/>
        </w:rPr>
      </w:pPr>
      <w:r w:rsidRPr="009B21B5">
        <w:rPr>
          <w:color w:val="00B0F0"/>
          <w:lang w:val="nl-BE"/>
        </w:rPr>
        <w:t xml:space="preserve">Er zijn officieuze vertalingen beschikbaar van het gebruiksreglement in diverse talen. De Franse of Engelse versie van het gebruiksreglement op de website van het Franse ministerie voor volksgezondheid (Santé </w:t>
      </w:r>
      <w:proofErr w:type="spellStart"/>
      <w:r w:rsidRPr="009B21B5">
        <w:rPr>
          <w:color w:val="00B0F0"/>
          <w:lang w:val="nl-BE"/>
        </w:rPr>
        <w:t>publique</w:t>
      </w:r>
      <w:proofErr w:type="spellEnd"/>
      <w:r w:rsidRPr="009B21B5">
        <w:rPr>
          <w:color w:val="00B0F0"/>
          <w:lang w:val="nl-BE"/>
        </w:rPr>
        <w:t xml:space="preserve"> France) is rechtsgeldig. Versies in andere talen kunnen worden gedownload van de respectieve websites van de nationale overheden:</w:t>
      </w:r>
    </w:p>
    <w:p w14:paraId="5EAC7D51" w14:textId="77777777" w:rsidR="005F3183" w:rsidRPr="009B21B5" w:rsidRDefault="005F3183" w:rsidP="005F3183">
      <w:pPr>
        <w:pStyle w:val="Paragraphedeliste"/>
        <w:numPr>
          <w:ilvl w:val="0"/>
          <w:numId w:val="67"/>
        </w:numPr>
        <w:spacing w:before="120" w:after="120" w:line="264" w:lineRule="auto"/>
        <w:rPr>
          <w:color w:val="00B0F0"/>
          <w:lang w:val="nl-BE"/>
        </w:rPr>
      </w:pPr>
      <w:r w:rsidRPr="009B21B5">
        <w:rPr>
          <w:color w:val="00B0F0"/>
          <w:lang w:val="nl-BE"/>
        </w:rPr>
        <w:t xml:space="preserve">Frankrijk: </w:t>
      </w:r>
      <w:hyperlink r:id="rId16" w:history="1">
        <w:r w:rsidRPr="009B21B5">
          <w:rPr>
            <w:rStyle w:val="Lienhypertexte"/>
            <w:color w:val="00B0F0"/>
            <w:lang w:val="nl-BE"/>
          </w:rPr>
          <w:t>https://www.santepubliquefrance.fr/determinants-de-sante/nutrition-et-activite-physique/articles/nutri-score</w:t>
        </w:r>
      </w:hyperlink>
    </w:p>
    <w:p w14:paraId="1A508211" w14:textId="4B9A3918" w:rsidR="005F3183" w:rsidRPr="009B21B5" w:rsidRDefault="005F3183" w:rsidP="005F3183">
      <w:pPr>
        <w:pStyle w:val="Paragraphedeliste"/>
        <w:numPr>
          <w:ilvl w:val="0"/>
          <w:numId w:val="66"/>
        </w:numPr>
        <w:spacing w:before="120" w:after="120" w:line="264" w:lineRule="auto"/>
        <w:rPr>
          <w:color w:val="00B0F0"/>
          <w:lang w:val="nl-BE"/>
        </w:rPr>
      </w:pPr>
      <w:r w:rsidRPr="009B21B5">
        <w:rPr>
          <w:color w:val="00B0F0"/>
          <w:lang w:val="nl-BE"/>
        </w:rPr>
        <w:t xml:space="preserve">Duitsland: </w:t>
      </w:r>
      <w:hyperlink r:id="rId17" w:history="1">
        <w:r w:rsidRPr="009B21B5">
          <w:rPr>
            <w:rStyle w:val="Lienhypertexte"/>
            <w:color w:val="00B0F0"/>
            <w:lang w:val="nl-BE"/>
          </w:rPr>
          <w:t>https://www.bmel.de/SharedDocs/Downloads/DE/_Ernaehrung/Lebensmittel-Kennzeichnung/markensatzung.pdf?__blob=publicationFile&amp;v=3</w:t>
        </w:r>
      </w:hyperlink>
    </w:p>
    <w:p w14:paraId="0BFBA042" w14:textId="77777777" w:rsidR="005F3183" w:rsidRPr="000F4DA1" w:rsidRDefault="005F3183" w:rsidP="00F36B59">
      <w:pPr>
        <w:pStyle w:val="Paragraphedeliste"/>
        <w:numPr>
          <w:ilvl w:val="0"/>
          <w:numId w:val="66"/>
        </w:numPr>
        <w:spacing w:before="120" w:after="120" w:line="264" w:lineRule="auto"/>
        <w:rPr>
          <w:color w:val="00B0F0"/>
        </w:rPr>
      </w:pPr>
      <w:proofErr w:type="spellStart"/>
      <w:r w:rsidRPr="000F4DA1">
        <w:rPr>
          <w:color w:val="00B0F0"/>
        </w:rPr>
        <w:t>België</w:t>
      </w:r>
      <w:proofErr w:type="spellEnd"/>
      <w:r w:rsidRPr="000F4DA1">
        <w:rPr>
          <w:color w:val="00B0F0"/>
        </w:rPr>
        <w:t xml:space="preserve">: </w:t>
      </w:r>
      <w:hyperlink r:id="rId18" w:history="1">
        <w:r w:rsidRPr="000F4DA1">
          <w:rPr>
            <w:rStyle w:val="Lienhypertexte"/>
            <w:color w:val="00B0F0"/>
          </w:rPr>
          <w:t>nutriscore.be</w:t>
        </w:r>
      </w:hyperlink>
    </w:p>
    <w:p w14:paraId="6485E392" w14:textId="0B3EB01D" w:rsidR="005F3183" w:rsidRPr="009B21B5" w:rsidRDefault="005F3183" w:rsidP="00F36B59">
      <w:pPr>
        <w:pStyle w:val="Paragraphedeliste"/>
        <w:numPr>
          <w:ilvl w:val="0"/>
          <w:numId w:val="66"/>
        </w:numPr>
        <w:spacing w:before="120" w:after="120" w:line="264" w:lineRule="auto"/>
        <w:rPr>
          <w:color w:val="00B0F0"/>
          <w:lang w:val="de-DE"/>
        </w:rPr>
      </w:pPr>
      <w:proofErr w:type="spellStart"/>
      <w:r w:rsidRPr="009B21B5">
        <w:rPr>
          <w:color w:val="00B0F0"/>
          <w:lang w:val="de-DE"/>
        </w:rPr>
        <w:t>Zwitserland</w:t>
      </w:r>
      <w:proofErr w:type="spellEnd"/>
      <w:r w:rsidRPr="009B21B5">
        <w:rPr>
          <w:color w:val="00B0F0"/>
          <w:lang w:val="de-DE"/>
        </w:rPr>
        <w:t xml:space="preserve">: </w:t>
      </w:r>
      <w:hyperlink r:id="rId19" w:history="1">
        <w:r w:rsidRPr="009B21B5">
          <w:rPr>
            <w:rStyle w:val="Lienhypertexte"/>
            <w:color w:val="00B0F0"/>
            <w:lang w:val="de-DE"/>
          </w:rPr>
          <w:t>https://www.blv.admin.ch/blv/de/home/lebensmittel-und-ernaehrung/ernaehrung/nutri-score/nutri-score-lebensmittelproduzenten.html</w:t>
        </w:r>
      </w:hyperlink>
    </w:p>
    <w:p w14:paraId="7EF6FA36" w14:textId="49FD01DC" w:rsidR="005F3183" w:rsidRPr="000F4DA1" w:rsidRDefault="005F3183" w:rsidP="00F36B59">
      <w:pPr>
        <w:pStyle w:val="Paragraphedeliste"/>
        <w:numPr>
          <w:ilvl w:val="0"/>
          <w:numId w:val="66"/>
        </w:numPr>
        <w:spacing w:before="120" w:after="120" w:line="264" w:lineRule="auto"/>
        <w:rPr>
          <w:lang w:val="de-DE"/>
        </w:rPr>
      </w:pPr>
      <w:r w:rsidRPr="000F4DA1">
        <w:rPr>
          <w:color w:val="00B0F0"/>
          <w:lang w:val="de-DE"/>
        </w:rPr>
        <w:t xml:space="preserve">Luxemburg: </w:t>
      </w:r>
      <w:hyperlink r:id="rId20" w:history="1">
        <w:r w:rsidRPr="000F4DA1">
          <w:rPr>
            <w:rStyle w:val="Lienhypertexte"/>
            <w:color w:val="00B0F0"/>
            <w:lang w:val="de-DE"/>
          </w:rPr>
          <w:t>https://mpc.gouvernement.lu/fr/le-ministere/consodur/consommateurs.html</w:t>
        </w:r>
      </w:hyperlink>
    </w:p>
    <w:p w14:paraId="4D1E234F" w14:textId="40917F9F" w:rsidR="00644EBB" w:rsidRPr="000F4DA1" w:rsidRDefault="005F3183" w:rsidP="00F36B59">
      <w:pPr>
        <w:pStyle w:val="Paragraphedeliste"/>
        <w:rPr>
          <w:rFonts w:cstheme="minorHAnsi"/>
          <w:lang w:val="de-DE"/>
        </w:rPr>
      </w:pPr>
      <w:r w:rsidRPr="000F4DA1">
        <w:rPr>
          <w:rStyle w:val="Lienhypertexte"/>
          <w:lang w:val="de-DE"/>
        </w:rPr>
        <w:br/>
      </w:r>
    </w:p>
    <w:p w14:paraId="183D6D9C" w14:textId="654E0B34" w:rsidR="004E4A9A" w:rsidRPr="009B21B5" w:rsidRDefault="004E4A9A" w:rsidP="00AD727F">
      <w:pPr>
        <w:pStyle w:val="Titre2"/>
        <w:spacing w:line="264" w:lineRule="auto"/>
        <w:contextualSpacing w:val="0"/>
        <w:rPr>
          <w:lang w:val="nl-BE"/>
        </w:rPr>
      </w:pPr>
      <w:bookmarkStart w:id="68" w:name="_Toc83375116"/>
      <w:r w:rsidRPr="009B21B5">
        <w:rPr>
          <w:lang w:val="nl-BE"/>
        </w:rPr>
        <w:lastRenderedPageBreak/>
        <w:t xml:space="preserve">Is het mogelijk om het gebruiksreglement van de </w:t>
      </w:r>
      <w:proofErr w:type="spellStart"/>
      <w:r w:rsidRPr="009B21B5">
        <w:rPr>
          <w:lang w:val="nl-BE"/>
        </w:rPr>
        <w:t>Nutri</w:t>
      </w:r>
      <w:proofErr w:type="spellEnd"/>
      <w:r w:rsidRPr="009B21B5">
        <w:rPr>
          <w:lang w:val="nl-BE"/>
        </w:rPr>
        <w:t>-Score aan te passen?</w:t>
      </w:r>
      <w:bookmarkEnd w:id="68"/>
    </w:p>
    <w:p w14:paraId="07A2C055" w14:textId="77777777" w:rsidR="00A007C7" w:rsidRPr="009B21B5" w:rsidRDefault="00A007C7" w:rsidP="00AD727F">
      <w:pPr>
        <w:spacing w:before="120" w:after="120" w:line="264" w:lineRule="auto"/>
        <w:jc w:val="both"/>
        <w:rPr>
          <w:rFonts w:cstheme="minorHAnsi"/>
          <w:lang w:val="nl-BE"/>
        </w:rPr>
      </w:pPr>
      <w:r w:rsidRPr="009B21B5">
        <w:rPr>
          <w:rFonts w:cstheme="minorHAnsi"/>
          <w:lang w:val="nl-BE"/>
        </w:rPr>
        <w:t xml:space="preserve">Het gebruiksreglement kan niet eenzijdig worden gewijzigd via een aanhangsel: alle voorwaarden moeten dus worden nageleefd indien men het </w:t>
      </w:r>
      <w:proofErr w:type="spellStart"/>
      <w:r w:rsidRPr="009B21B5">
        <w:rPr>
          <w:rFonts w:cstheme="minorHAnsi"/>
          <w:lang w:val="nl-BE"/>
        </w:rPr>
        <w:t>Nutri</w:t>
      </w:r>
      <w:proofErr w:type="spellEnd"/>
      <w:r w:rsidRPr="009B21B5">
        <w:rPr>
          <w:rFonts w:cstheme="minorHAnsi"/>
          <w:lang w:val="nl-BE"/>
        </w:rPr>
        <w:t xml:space="preserve">-Score-systeem wil gebruiken. </w:t>
      </w:r>
    </w:p>
    <w:p w14:paraId="09B93B5F" w14:textId="77777777" w:rsidR="00A74569" w:rsidRPr="009B21B5" w:rsidRDefault="00A74569" w:rsidP="00AD727F">
      <w:pPr>
        <w:spacing w:before="120" w:after="120" w:line="264" w:lineRule="auto"/>
        <w:jc w:val="both"/>
        <w:rPr>
          <w:rFonts w:cstheme="minorHAnsi"/>
          <w:lang w:val="nl-BE"/>
        </w:rPr>
      </w:pPr>
      <w:r w:rsidRPr="009B21B5">
        <w:rPr>
          <w:rFonts w:cstheme="minorHAnsi"/>
          <w:lang w:val="nl-BE"/>
        </w:rPr>
        <w:t xml:space="preserve">Artikel 9 van het gebruiksreglement bepaalt de voorwaarden voor eventuele wijzigingen. </w:t>
      </w:r>
    </w:p>
    <w:p w14:paraId="222771B9" w14:textId="77777777" w:rsidR="00680B3A" w:rsidRPr="009B21B5" w:rsidRDefault="00680B3A" w:rsidP="00AD727F">
      <w:pPr>
        <w:spacing w:before="120" w:after="120" w:line="264" w:lineRule="auto"/>
        <w:jc w:val="both"/>
        <w:rPr>
          <w:rFonts w:cstheme="minorHAnsi"/>
          <w:lang w:val="nl-BE"/>
        </w:rPr>
      </w:pPr>
    </w:p>
    <w:p w14:paraId="5E428140" w14:textId="77777777" w:rsidR="00A007C7" w:rsidRPr="009B21B5" w:rsidRDefault="00A007C7" w:rsidP="00AD727F">
      <w:pPr>
        <w:pStyle w:val="Titre2"/>
        <w:spacing w:line="264" w:lineRule="auto"/>
        <w:contextualSpacing w:val="0"/>
        <w:rPr>
          <w:lang w:val="nl-BE"/>
        </w:rPr>
      </w:pPr>
      <w:bookmarkStart w:id="69" w:name="_Toc83375117"/>
      <w:r w:rsidRPr="009B21B5">
        <w:rPr>
          <w:lang w:val="nl-BE"/>
        </w:rPr>
        <w:t xml:space="preserve">Is het mogelijk om het grafisch charter van de </w:t>
      </w:r>
      <w:proofErr w:type="spellStart"/>
      <w:r w:rsidRPr="009B21B5">
        <w:rPr>
          <w:lang w:val="nl-BE"/>
        </w:rPr>
        <w:t>Nutri</w:t>
      </w:r>
      <w:proofErr w:type="spellEnd"/>
      <w:r w:rsidRPr="009B21B5">
        <w:rPr>
          <w:lang w:val="nl-BE"/>
        </w:rPr>
        <w:t>-Score te wijzigen?</w:t>
      </w:r>
      <w:bookmarkEnd w:id="69"/>
    </w:p>
    <w:p w14:paraId="3865532F" w14:textId="77777777" w:rsidR="00A007C7" w:rsidRPr="009B21B5" w:rsidRDefault="00A007C7" w:rsidP="00AD727F">
      <w:pPr>
        <w:spacing w:before="120" w:after="120" w:line="264" w:lineRule="auto"/>
        <w:jc w:val="both"/>
        <w:rPr>
          <w:lang w:val="nl-BE"/>
        </w:rPr>
      </w:pPr>
      <w:r w:rsidRPr="009B21B5">
        <w:rPr>
          <w:lang w:val="nl-BE"/>
        </w:rPr>
        <w:t xml:space="preserve">Aangezien het grafisch charter integraal deel uitmaakt van het gebruiksreglement waar het is bijgevoegd, kan het niet eenzijdig gewijzigd worden. </w:t>
      </w:r>
    </w:p>
    <w:p w14:paraId="40F3BB47" w14:textId="77777777" w:rsidR="003108FD" w:rsidRPr="009B21B5" w:rsidRDefault="003108FD" w:rsidP="00AD727F">
      <w:pPr>
        <w:spacing w:before="120" w:after="120" w:line="264" w:lineRule="auto"/>
        <w:jc w:val="both"/>
        <w:rPr>
          <w:lang w:val="nl-BE"/>
        </w:rPr>
      </w:pPr>
    </w:p>
    <w:p w14:paraId="2235113C" w14:textId="77777777" w:rsidR="009D0DAE" w:rsidRPr="009B21B5" w:rsidRDefault="009D0DAE" w:rsidP="00AD727F">
      <w:pPr>
        <w:pStyle w:val="Titre2"/>
        <w:spacing w:line="264" w:lineRule="auto"/>
        <w:contextualSpacing w:val="0"/>
        <w:rPr>
          <w:lang w:val="nl-BE"/>
        </w:rPr>
      </w:pPr>
      <w:bookmarkStart w:id="70" w:name="_Toc486439643"/>
      <w:bookmarkStart w:id="71" w:name="_Toc83375118"/>
      <w:r w:rsidRPr="009B21B5">
        <w:rPr>
          <w:lang w:val="nl-BE"/>
        </w:rPr>
        <w:t>Bestaan er een grafisch charter voor vermelding van het logo in webshops?</w:t>
      </w:r>
      <w:bookmarkEnd w:id="70"/>
      <w:bookmarkEnd w:id="71"/>
    </w:p>
    <w:p w14:paraId="68E2F87F" w14:textId="77777777" w:rsidR="009D0DAE" w:rsidRPr="009B21B5" w:rsidRDefault="009D0DAE" w:rsidP="00AD727F">
      <w:pPr>
        <w:pStyle w:val="titre10"/>
        <w:numPr>
          <w:ilvl w:val="0"/>
          <w:numId w:val="0"/>
        </w:numPr>
        <w:spacing w:before="120" w:after="120" w:line="264" w:lineRule="auto"/>
        <w:contextualSpacing w:val="0"/>
        <w:jc w:val="both"/>
        <w:rPr>
          <w:lang w:val="nl-BE"/>
        </w:rPr>
      </w:pPr>
      <w:r w:rsidRPr="009B21B5">
        <w:rPr>
          <w:lang w:val="nl-BE"/>
        </w:rPr>
        <w:t>Voor dergelijke gevallen is de grootte van het logo niet gereglementeerd en niet gebonden aan de proportionaliteitsregels voor verpakkingen. Het logo moet wel perfect leesbaar zijn.</w:t>
      </w:r>
    </w:p>
    <w:p w14:paraId="666407D6" w14:textId="77777777" w:rsidR="009D0DAE" w:rsidRPr="009B21B5" w:rsidRDefault="009D0DAE" w:rsidP="00AD727F">
      <w:pPr>
        <w:pStyle w:val="titre10"/>
        <w:numPr>
          <w:ilvl w:val="0"/>
          <w:numId w:val="0"/>
        </w:numPr>
        <w:spacing w:before="120" w:after="120" w:line="264" w:lineRule="auto"/>
        <w:contextualSpacing w:val="0"/>
        <w:jc w:val="both"/>
        <w:rPr>
          <w:lang w:val="nl-BE"/>
        </w:rPr>
      </w:pPr>
      <w:r w:rsidRPr="009B21B5">
        <w:rPr>
          <w:lang w:val="nl-BE"/>
        </w:rPr>
        <w:t>De andere voorwaarden voor gebruik van het logo op webshops zijn dezelfde als deze die gelden voor verkoop van de producten in de winkels.</w:t>
      </w:r>
    </w:p>
    <w:p w14:paraId="4BAF54BC" w14:textId="77777777" w:rsidR="00D37C6A" w:rsidRPr="009B21B5" w:rsidRDefault="00D37C6A" w:rsidP="00AD727F">
      <w:pPr>
        <w:pStyle w:val="titre10"/>
        <w:numPr>
          <w:ilvl w:val="0"/>
          <w:numId w:val="0"/>
        </w:numPr>
        <w:spacing w:before="120" w:after="120" w:line="264" w:lineRule="auto"/>
        <w:contextualSpacing w:val="0"/>
        <w:jc w:val="both"/>
        <w:rPr>
          <w:lang w:val="nl-BE"/>
        </w:rPr>
      </w:pPr>
    </w:p>
    <w:p w14:paraId="0ACFD1CB" w14:textId="437BA0C2" w:rsidR="007C4E71" w:rsidRPr="009B21B5" w:rsidRDefault="007C4E71" w:rsidP="007C4E71">
      <w:pPr>
        <w:pStyle w:val="Titre2"/>
        <w:spacing w:line="264" w:lineRule="auto"/>
        <w:rPr>
          <w:lang w:val="nl-BE"/>
        </w:rPr>
      </w:pPr>
      <w:bookmarkStart w:id="72" w:name="_Toc83375119"/>
      <w:r w:rsidRPr="009B21B5">
        <w:rPr>
          <w:lang w:val="nl-BE"/>
        </w:rPr>
        <w:t xml:space="preserve">Mag een handelaar zich enkel registreren voor het gebruik van het </w:t>
      </w:r>
      <w:proofErr w:type="spellStart"/>
      <w:r w:rsidRPr="009B21B5">
        <w:rPr>
          <w:lang w:val="nl-BE"/>
        </w:rPr>
        <w:t>Nutri</w:t>
      </w:r>
      <w:proofErr w:type="spellEnd"/>
      <w:r w:rsidRPr="009B21B5">
        <w:rPr>
          <w:lang w:val="nl-BE"/>
        </w:rPr>
        <w:t>-Score-logo op zijn digitale media?</w:t>
      </w:r>
      <w:bookmarkEnd w:id="72"/>
    </w:p>
    <w:p w14:paraId="13868045" w14:textId="2D286EC4" w:rsidR="007C4E71" w:rsidRPr="009B21B5" w:rsidRDefault="007C4E71" w:rsidP="007C4E71">
      <w:pPr>
        <w:spacing w:before="120" w:after="120" w:line="264" w:lineRule="auto"/>
        <w:jc w:val="both"/>
        <w:rPr>
          <w:rFonts w:cstheme="minorHAnsi"/>
          <w:lang w:val="nl-BE"/>
        </w:rPr>
      </w:pPr>
      <w:r w:rsidRPr="009B21B5">
        <w:rPr>
          <w:rFonts w:cstheme="minorHAnsi"/>
          <w:lang w:val="nl-BE"/>
        </w:rPr>
        <w:t xml:space="preserve">Het is niet mogelijk om het logo te gebruiken voor digitale formats zolang het betrokken merk niet is aangesloten bij het </w:t>
      </w:r>
      <w:proofErr w:type="spellStart"/>
      <w:r w:rsidRPr="009B21B5">
        <w:rPr>
          <w:rFonts w:cstheme="minorHAnsi"/>
          <w:lang w:val="nl-BE"/>
        </w:rPr>
        <w:t>Nutri</w:t>
      </w:r>
      <w:proofErr w:type="spellEnd"/>
      <w:r w:rsidRPr="009B21B5">
        <w:rPr>
          <w:rFonts w:cstheme="minorHAnsi"/>
          <w:lang w:val="nl-BE"/>
        </w:rPr>
        <w:t>-Score-systeem.</w:t>
      </w:r>
    </w:p>
    <w:p w14:paraId="0DEBBF5F" w14:textId="74EBBDB5" w:rsidR="007C4E71" w:rsidRPr="009B21B5" w:rsidRDefault="007C4E71" w:rsidP="007C4E71">
      <w:pPr>
        <w:spacing w:before="120" w:after="120" w:line="264" w:lineRule="auto"/>
        <w:jc w:val="both"/>
        <w:rPr>
          <w:rFonts w:cstheme="minorHAnsi"/>
          <w:lang w:val="nl-BE"/>
        </w:rPr>
      </w:pPr>
      <w:r w:rsidRPr="009B21B5">
        <w:rPr>
          <w:rFonts w:cstheme="minorHAnsi"/>
          <w:lang w:val="nl-BE"/>
        </w:rPr>
        <w:t xml:space="preserve">In het specifieke geval dat de distributeur het eigen merk heeft aangesloten, is een digitaal gebruik voor de andere verdeelde merken toegelaten (in overeenstemming met artikel 7.2 van het gebruiksreglement). </w:t>
      </w:r>
    </w:p>
    <w:p w14:paraId="10FD7128" w14:textId="77777777" w:rsidR="00D37C6A" w:rsidRPr="009B21B5" w:rsidRDefault="00D37C6A" w:rsidP="007C4E71">
      <w:pPr>
        <w:spacing w:before="120" w:after="120" w:line="264" w:lineRule="auto"/>
        <w:jc w:val="both"/>
        <w:rPr>
          <w:rFonts w:cstheme="minorHAnsi"/>
          <w:color w:val="548DD4" w:themeColor="text2" w:themeTint="99"/>
          <w:lang w:val="nl-BE"/>
        </w:rPr>
      </w:pPr>
    </w:p>
    <w:p w14:paraId="1E49E9F0" w14:textId="77777777" w:rsidR="009D0DAE" w:rsidRPr="009B21B5" w:rsidRDefault="009D0DAE" w:rsidP="00AD727F">
      <w:pPr>
        <w:pStyle w:val="Titre2"/>
        <w:spacing w:line="264" w:lineRule="auto"/>
        <w:contextualSpacing w:val="0"/>
        <w:rPr>
          <w:lang w:val="nl-BE"/>
        </w:rPr>
      </w:pPr>
      <w:bookmarkStart w:id="73" w:name="_Toc486439642"/>
      <w:bookmarkStart w:id="74" w:name="_Toc83375120"/>
      <w:r w:rsidRPr="009B21B5">
        <w:rPr>
          <w:lang w:val="nl-BE"/>
        </w:rPr>
        <w:t>Mag het logo gebruikt worden voor promotiedoeleinden?</w:t>
      </w:r>
      <w:bookmarkEnd w:id="73"/>
      <w:bookmarkEnd w:id="74"/>
    </w:p>
    <w:p w14:paraId="14A062FF" w14:textId="77777777" w:rsidR="00A74569" w:rsidRPr="009B21B5" w:rsidRDefault="00BE7671" w:rsidP="00AD727F">
      <w:pPr>
        <w:pStyle w:val="titre10"/>
        <w:numPr>
          <w:ilvl w:val="0"/>
          <w:numId w:val="0"/>
        </w:numPr>
        <w:spacing w:before="120" w:after="120" w:line="264" w:lineRule="auto"/>
        <w:contextualSpacing w:val="0"/>
        <w:jc w:val="both"/>
        <w:rPr>
          <w:lang w:val="nl-BE"/>
        </w:rPr>
      </w:pPr>
      <w:r w:rsidRPr="009B21B5">
        <w:rPr>
          <w:lang w:val="nl-BE"/>
        </w:rPr>
        <w:t xml:space="preserve">Artikel 6 van het gebruiksreglement legt de bijhorende bepalingen vast. Voor algemene berichten over het </w:t>
      </w:r>
      <w:proofErr w:type="spellStart"/>
      <w:r w:rsidRPr="009B21B5">
        <w:rPr>
          <w:lang w:val="nl-BE"/>
        </w:rPr>
        <w:t>Nutri</w:t>
      </w:r>
      <w:proofErr w:type="spellEnd"/>
      <w:r w:rsidRPr="009B21B5">
        <w:rPr>
          <w:lang w:val="nl-BE"/>
        </w:rPr>
        <w:t>-Score-logo mag de exploitant op zijn communicatiedragers vermelden:</w:t>
      </w:r>
    </w:p>
    <w:p w14:paraId="68029D10" w14:textId="77777777" w:rsidR="00A74569" w:rsidRDefault="00A74569" w:rsidP="00AD727F">
      <w:pPr>
        <w:pStyle w:val="titre10"/>
        <w:spacing w:before="120" w:after="120" w:line="264" w:lineRule="auto"/>
        <w:contextualSpacing w:val="0"/>
        <w:jc w:val="both"/>
      </w:pPr>
      <w:r>
        <w:t>Het neutrale logo,</w:t>
      </w:r>
    </w:p>
    <w:p w14:paraId="47505324" w14:textId="77777777" w:rsidR="00A74569" w:rsidRPr="009B21B5" w:rsidRDefault="00A74569" w:rsidP="00AD727F">
      <w:pPr>
        <w:pStyle w:val="titre10"/>
        <w:spacing w:before="120" w:after="120" w:line="264" w:lineRule="auto"/>
        <w:contextualSpacing w:val="0"/>
        <w:jc w:val="both"/>
        <w:rPr>
          <w:lang w:val="nl-BE"/>
        </w:rPr>
      </w:pPr>
      <w:r w:rsidRPr="009B21B5">
        <w:rPr>
          <w:lang w:val="nl-BE"/>
        </w:rPr>
        <w:t>En/of minstens 3 van de 5 klasse-logo's, zodanig geplaatst dat de consument niet foutief wordt ingelicht over de klassering van de producten, bijvoorbeeld door te laten uitschijnen dat alle producten tot dezelfde klasse zouden behoren.</w:t>
      </w:r>
    </w:p>
    <w:p w14:paraId="6F926E3B" w14:textId="77777777" w:rsidR="00A74569" w:rsidRPr="009B21B5" w:rsidRDefault="00A74569" w:rsidP="00AD727F">
      <w:pPr>
        <w:pStyle w:val="titre10"/>
        <w:numPr>
          <w:ilvl w:val="0"/>
          <w:numId w:val="0"/>
        </w:numPr>
        <w:spacing w:before="120" w:after="120" w:line="264" w:lineRule="auto"/>
        <w:contextualSpacing w:val="0"/>
        <w:jc w:val="both"/>
        <w:rPr>
          <w:lang w:val="nl-BE"/>
        </w:rPr>
      </w:pPr>
      <w:r w:rsidRPr="009B21B5">
        <w:rPr>
          <w:lang w:val="nl-BE"/>
        </w:rPr>
        <w:t>Berichten over een bepaald product moeten verplicht het gepaste klasse-logo gebruiken, in overeenstemming met de bepalingen uit artikel 6.2 van het gebruiksreglement.</w:t>
      </w:r>
    </w:p>
    <w:p w14:paraId="5F9BCBB0" w14:textId="77777777" w:rsidR="00D83197" w:rsidRPr="009B21B5" w:rsidRDefault="00D83197" w:rsidP="00AD727F">
      <w:pPr>
        <w:pStyle w:val="titre10"/>
        <w:numPr>
          <w:ilvl w:val="0"/>
          <w:numId w:val="0"/>
        </w:numPr>
        <w:spacing w:before="120" w:after="120" w:line="264" w:lineRule="auto"/>
        <w:contextualSpacing w:val="0"/>
        <w:jc w:val="both"/>
        <w:rPr>
          <w:lang w:val="nl-BE"/>
        </w:rPr>
      </w:pPr>
    </w:p>
    <w:p w14:paraId="76E1FB52" w14:textId="77777777" w:rsidR="00D83197" w:rsidRPr="009B21B5" w:rsidRDefault="00D83197" w:rsidP="00D83197">
      <w:pPr>
        <w:pStyle w:val="Titre2"/>
        <w:rPr>
          <w:lang w:val="nl-BE"/>
        </w:rPr>
      </w:pPr>
      <w:bookmarkStart w:id="75" w:name="_Toc83375121"/>
      <w:r w:rsidRPr="009B21B5">
        <w:rPr>
          <w:lang w:val="nl-BE"/>
        </w:rPr>
        <w:t xml:space="preserve">Wat zijn de regels voor het gebruik van de </w:t>
      </w:r>
      <w:proofErr w:type="spellStart"/>
      <w:r w:rsidRPr="009B21B5">
        <w:rPr>
          <w:lang w:val="nl-BE"/>
        </w:rPr>
        <w:t>Nutri</w:t>
      </w:r>
      <w:proofErr w:type="spellEnd"/>
      <w:r w:rsidRPr="009B21B5">
        <w:rPr>
          <w:lang w:val="nl-BE"/>
        </w:rPr>
        <w:t>-Score in reclame?</w:t>
      </w:r>
      <w:bookmarkEnd w:id="75"/>
      <w:r w:rsidRPr="009B21B5">
        <w:rPr>
          <w:lang w:val="nl-BE"/>
        </w:rPr>
        <w:t xml:space="preserve"> </w:t>
      </w:r>
    </w:p>
    <w:p w14:paraId="56737791" w14:textId="77777777" w:rsidR="00D83197" w:rsidRPr="009B21B5" w:rsidRDefault="00D83197" w:rsidP="008975E9">
      <w:pPr>
        <w:jc w:val="both"/>
        <w:rPr>
          <w:lang w:val="nl-BE"/>
        </w:rPr>
      </w:pPr>
      <w:r w:rsidRPr="009B21B5">
        <w:rPr>
          <w:lang w:val="nl-BE"/>
        </w:rPr>
        <w:t xml:space="preserve">De regels voor het gebruik van de </w:t>
      </w:r>
      <w:proofErr w:type="spellStart"/>
      <w:r w:rsidRPr="009B21B5">
        <w:rPr>
          <w:lang w:val="nl-BE"/>
        </w:rPr>
        <w:t>Nutri</w:t>
      </w:r>
      <w:proofErr w:type="spellEnd"/>
      <w:r w:rsidRPr="009B21B5">
        <w:rPr>
          <w:lang w:val="nl-BE"/>
        </w:rPr>
        <w:t xml:space="preserve">-Score voor communicatie- en reclamedoeleinden staan in detail beschreven in het grafisch charter. In die gevallen heeft de producent de keuze om alleen het communicatielogo te gebruiken (zonder een van de letters naar voren te brengen) en/of om 3 tot 5 modules van de </w:t>
      </w:r>
      <w:proofErr w:type="spellStart"/>
      <w:r w:rsidRPr="009B21B5">
        <w:rPr>
          <w:lang w:val="nl-BE"/>
        </w:rPr>
        <w:t>Nutri</w:t>
      </w:r>
      <w:proofErr w:type="spellEnd"/>
      <w:r w:rsidRPr="009B21B5">
        <w:rPr>
          <w:lang w:val="nl-BE"/>
        </w:rPr>
        <w:t>-Score, allemaal even groot en in vierkleurendruk, weer te geven.</w:t>
      </w:r>
    </w:p>
    <w:p w14:paraId="26BEDC68" w14:textId="77777777" w:rsidR="00D83197" w:rsidRPr="009B21B5" w:rsidRDefault="00D83197" w:rsidP="008975E9">
      <w:pPr>
        <w:jc w:val="both"/>
        <w:rPr>
          <w:lang w:val="nl-BE"/>
        </w:rPr>
      </w:pPr>
      <w:r w:rsidRPr="009B21B5">
        <w:rPr>
          <w:lang w:val="nl-BE"/>
        </w:rPr>
        <w:lastRenderedPageBreak/>
        <w:t>Als het volledige productengamma van het merk in kwestie echter slechts over één of twee kleuren verdeeld is, is het mogelijk om alleen de kleuren van dat gamma weer te geven.</w:t>
      </w:r>
    </w:p>
    <w:p w14:paraId="031A3663" w14:textId="2BF47585" w:rsidR="00D83197" w:rsidRPr="009B21B5" w:rsidRDefault="00D83197" w:rsidP="008975E9">
      <w:pPr>
        <w:jc w:val="both"/>
        <w:rPr>
          <w:lang w:val="nl-BE"/>
        </w:rPr>
      </w:pPr>
      <w:r w:rsidRPr="009B21B5">
        <w:rPr>
          <w:lang w:val="nl-BE"/>
        </w:rPr>
        <w:t xml:space="preserve">Het </w:t>
      </w:r>
      <w:proofErr w:type="spellStart"/>
      <w:r w:rsidRPr="009B21B5">
        <w:rPr>
          <w:lang w:val="nl-BE"/>
        </w:rPr>
        <w:t>Nutri</w:t>
      </w:r>
      <w:proofErr w:type="spellEnd"/>
      <w:r w:rsidRPr="009B21B5">
        <w:rPr>
          <w:lang w:val="nl-BE"/>
        </w:rPr>
        <w:t xml:space="preserve">-Score-logo hoeft niet gebruikt te worden op catalogussen, flyers, enz. Alleen op verpakkingen moet het verplicht worden aangebracht. In dat verband, als het logo op de voorzijde is aangebracht, mag de handelaar als hij dit wenst een verklarend bericht op de achterzijde van de verpakking toevoegen. De informatie over de </w:t>
      </w:r>
      <w:proofErr w:type="spellStart"/>
      <w:r w:rsidRPr="009B21B5">
        <w:rPr>
          <w:lang w:val="nl-BE"/>
        </w:rPr>
        <w:t>Nutri</w:t>
      </w:r>
      <w:proofErr w:type="spellEnd"/>
      <w:r w:rsidRPr="009B21B5">
        <w:rPr>
          <w:lang w:val="nl-BE"/>
        </w:rPr>
        <w:t xml:space="preserve">-Score in dat bericht mag uitsluitend over de aspecten van de berekening van de score gaan. Het bericht mag geen andere informatie bevatten over bv. additieven of bewaarmiddelen die zou kunnen suggereren dat die componenten opgenomen zijn in de berekening van de </w:t>
      </w:r>
      <w:proofErr w:type="spellStart"/>
      <w:r w:rsidRPr="009B21B5">
        <w:rPr>
          <w:lang w:val="nl-BE"/>
        </w:rPr>
        <w:t>Nutri</w:t>
      </w:r>
      <w:proofErr w:type="spellEnd"/>
      <w:r w:rsidRPr="009B21B5">
        <w:rPr>
          <w:lang w:val="nl-BE"/>
        </w:rPr>
        <w:t>-Score.</w:t>
      </w:r>
      <w:r w:rsidR="00AA0730" w:rsidRPr="009B21B5">
        <w:rPr>
          <w:color w:val="4F81BD" w:themeColor="accent1"/>
          <w:lang w:val="nl-BE"/>
        </w:rPr>
        <w:t xml:space="preserve"> </w:t>
      </w:r>
    </w:p>
    <w:p w14:paraId="1FA514B6" w14:textId="77777777" w:rsidR="00E81109" w:rsidRPr="009B21B5" w:rsidRDefault="00E81109" w:rsidP="00AD727F">
      <w:pPr>
        <w:spacing w:before="120" w:after="120" w:line="264" w:lineRule="auto"/>
        <w:jc w:val="both"/>
        <w:rPr>
          <w:rFonts w:cstheme="minorHAnsi"/>
          <w:lang w:val="nl-BE"/>
        </w:rPr>
      </w:pPr>
    </w:p>
    <w:p w14:paraId="1B184C0F" w14:textId="77777777" w:rsidR="00E81109" w:rsidRPr="009B21B5" w:rsidRDefault="001E0B77" w:rsidP="00AD727F">
      <w:pPr>
        <w:pStyle w:val="Titre2"/>
        <w:spacing w:line="264" w:lineRule="auto"/>
        <w:contextualSpacing w:val="0"/>
        <w:rPr>
          <w:lang w:val="nl-BE"/>
        </w:rPr>
      </w:pPr>
      <w:bookmarkStart w:id="76" w:name="_Toc83375122"/>
      <w:r w:rsidRPr="009B21B5">
        <w:rPr>
          <w:lang w:val="nl-BE"/>
        </w:rPr>
        <w:t xml:space="preserve">Hoe de </w:t>
      </w:r>
      <w:proofErr w:type="spellStart"/>
      <w:r w:rsidRPr="009B21B5">
        <w:rPr>
          <w:lang w:val="nl-BE"/>
        </w:rPr>
        <w:t>Nutri</w:t>
      </w:r>
      <w:proofErr w:type="spellEnd"/>
      <w:r w:rsidRPr="009B21B5">
        <w:rPr>
          <w:lang w:val="nl-BE"/>
        </w:rPr>
        <w:t>-Score-logo's ontvangen voor een pedagogische, wetenschappelijke of journalistieke presentatie?</w:t>
      </w:r>
      <w:bookmarkEnd w:id="76"/>
    </w:p>
    <w:p w14:paraId="0E2A9FF0" w14:textId="77777777" w:rsidR="00E81109" w:rsidRPr="009B21B5" w:rsidRDefault="00E81109" w:rsidP="00AD727F">
      <w:pPr>
        <w:spacing w:before="120" w:after="120" w:line="264" w:lineRule="auto"/>
        <w:jc w:val="both"/>
        <w:rPr>
          <w:rFonts w:cstheme="minorHAnsi"/>
          <w:lang w:val="nl-BE"/>
        </w:rPr>
      </w:pPr>
      <w:r w:rsidRPr="009B21B5">
        <w:rPr>
          <w:rFonts w:cstheme="minorHAnsi"/>
          <w:lang w:val="nl-BE"/>
        </w:rPr>
        <w:t xml:space="preserve">Sommige logo's kunnen worden verkregen via het adres </w:t>
      </w:r>
      <w:hyperlink r:id="rId21" w:history="1">
        <w:r w:rsidR="002276CD" w:rsidRPr="009B21B5">
          <w:rPr>
            <w:rStyle w:val="Lienhypertexte"/>
            <w:lang w:val="nl-BE"/>
          </w:rPr>
          <w:t>nutriscore@santepubliquefrance.fr</w:t>
        </w:r>
      </w:hyperlink>
      <w:r w:rsidRPr="009B21B5">
        <w:rPr>
          <w:rFonts w:cstheme="minorHAnsi"/>
          <w:lang w:val="nl-BE"/>
        </w:rPr>
        <w:t>, uiteraard met vermelding van het gewenste gebruik.</w:t>
      </w:r>
    </w:p>
    <w:p w14:paraId="14466E6A" w14:textId="77777777" w:rsidR="00B96335" w:rsidRPr="009B21B5" w:rsidRDefault="00B96335" w:rsidP="00AD727F">
      <w:pPr>
        <w:spacing w:before="120" w:after="120" w:line="264" w:lineRule="auto"/>
        <w:jc w:val="both"/>
        <w:rPr>
          <w:rFonts w:cstheme="minorHAnsi"/>
          <w:lang w:val="nl-BE"/>
        </w:rPr>
      </w:pPr>
    </w:p>
    <w:p w14:paraId="6D06A322" w14:textId="77777777" w:rsidR="00783FE8" w:rsidRPr="009B21B5" w:rsidRDefault="00783FE8" w:rsidP="00AD727F">
      <w:pPr>
        <w:pStyle w:val="Titre2"/>
        <w:spacing w:line="264" w:lineRule="auto"/>
        <w:contextualSpacing w:val="0"/>
        <w:rPr>
          <w:lang w:val="nl-BE"/>
        </w:rPr>
      </w:pPr>
      <w:bookmarkStart w:id="77" w:name="_Toc83375123"/>
      <w:r w:rsidRPr="009B21B5">
        <w:rPr>
          <w:lang w:val="nl-BE"/>
        </w:rPr>
        <w:t xml:space="preserve">Mag men het merk </w:t>
      </w:r>
      <w:proofErr w:type="spellStart"/>
      <w:r w:rsidRPr="009B21B5">
        <w:rPr>
          <w:lang w:val="nl-BE"/>
        </w:rPr>
        <w:t>Nutri</w:t>
      </w:r>
      <w:proofErr w:type="spellEnd"/>
      <w:r w:rsidRPr="009B21B5">
        <w:rPr>
          <w:lang w:val="nl-BE"/>
        </w:rPr>
        <w:t xml:space="preserve">-Score reproduceren zonder de toelating van Santé </w:t>
      </w:r>
      <w:proofErr w:type="spellStart"/>
      <w:r w:rsidRPr="009B21B5">
        <w:rPr>
          <w:lang w:val="nl-BE"/>
        </w:rPr>
        <w:t>publique</w:t>
      </w:r>
      <w:proofErr w:type="spellEnd"/>
      <w:r w:rsidRPr="009B21B5">
        <w:rPr>
          <w:lang w:val="nl-BE"/>
        </w:rPr>
        <w:t xml:space="preserve"> France?</w:t>
      </w:r>
      <w:bookmarkEnd w:id="77"/>
    </w:p>
    <w:p w14:paraId="32AD4C42" w14:textId="77777777" w:rsidR="008968B8" w:rsidRPr="009B21B5" w:rsidRDefault="00783FE8" w:rsidP="00AD727F">
      <w:pPr>
        <w:spacing w:before="120" w:after="120" w:line="264" w:lineRule="auto"/>
        <w:jc w:val="both"/>
        <w:rPr>
          <w:rFonts w:cstheme="minorHAnsi"/>
          <w:lang w:val="nl-BE"/>
        </w:rPr>
      </w:pPr>
      <w:r w:rsidRPr="009B21B5">
        <w:rPr>
          <w:rFonts w:cstheme="minorHAnsi"/>
          <w:lang w:val="nl-BE"/>
        </w:rPr>
        <w:t xml:space="preserve">Aangezien de </w:t>
      </w:r>
      <w:proofErr w:type="spellStart"/>
      <w:r w:rsidRPr="009B21B5">
        <w:rPr>
          <w:rFonts w:cstheme="minorHAnsi"/>
          <w:lang w:val="nl-BE"/>
        </w:rPr>
        <w:t>Nutri</w:t>
      </w:r>
      <w:proofErr w:type="spellEnd"/>
      <w:r w:rsidRPr="009B21B5">
        <w:rPr>
          <w:rFonts w:cstheme="minorHAnsi"/>
          <w:lang w:val="nl-BE"/>
        </w:rPr>
        <w:t xml:space="preserve">-Score als merk wordt gebruikt is het in de zakenwereld noodzakelijk om de voorafgaandelijke schriftelijke toestemming te vragen aan Santé </w:t>
      </w:r>
      <w:proofErr w:type="spellStart"/>
      <w:r w:rsidRPr="009B21B5">
        <w:rPr>
          <w:rFonts w:cstheme="minorHAnsi"/>
          <w:lang w:val="nl-BE"/>
        </w:rPr>
        <w:t>publique</w:t>
      </w:r>
      <w:proofErr w:type="spellEnd"/>
      <w:r w:rsidRPr="009B21B5">
        <w:rPr>
          <w:rFonts w:cstheme="minorHAnsi"/>
          <w:lang w:val="nl-BE"/>
        </w:rPr>
        <w:t xml:space="preserve"> France. </w:t>
      </w:r>
    </w:p>
    <w:p w14:paraId="3D535206" w14:textId="77777777" w:rsidR="008968B8" w:rsidRPr="009B21B5" w:rsidRDefault="008968B8">
      <w:pPr>
        <w:rPr>
          <w:rFonts w:cstheme="minorHAnsi"/>
          <w:lang w:val="nl-BE"/>
        </w:rPr>
      </w:pPr>
      <w:r w:rsidRPr="009B21B5">
        <w:rPr>
          <w:rFonts w:cstheme="minorHAnsi"/>
          <w:lang w:val="nl-BE"/>
        </w:rPr>
        <w:br w:type="page"/>
      </w:r>
    </w:p>
    <w:p w14:paraId="50E95A58" w14:textId="77777777" w:rsidR="004C4B3D" w:rsidRPr="009B21B5" w:rsidRDefault="003740AF" w:rsidP="00AD727F">
      <w:pPr>
        <w:pStyle w:val="Titre3"/>
        <w:spacing w:before="120" w:after="120" w:line="264" w:lineRule="auto"/>
        <w:rPr>
          <w:lang w:val="nl-BE"/>
        </w:rPr>
      </w:pPr>
      <w:bookmarkStart w:id="78" w:name="_Toc83375124"/>
      <w:r w:rsidRPr="009B21B5">
        <w:rPr>
          <w:lang w:val="nl-BE"/>
        </w:rPr>
        <w:lastRenderedPageBreak/>
        <w:t>Bijlage 1: Berekeningsmodaliteiten om de hoeveelheid 'fruit, groenten, peulvruchten, noten en koolzaad-, noten- en olijfolie' in een verwerkt product te bepalen</w:t>
      </w:r>
      <w:bookmarkEnd w:id="78"/>
      <w:r w:rsidR="00465DB9" w:rsidRPr="009B21B5" w:rsidDel="00465DB9">
        <w:rPr>
          <w:lang w:val="nl-BE"/>
        </w:rPr>
        <w:t xml:space="preserve"> </w:t>
      </w:r>
    </w:p>
    <w:p w14:paraId="233BAF99" w14:textId="77777777" w:rsidR="00EA5AA4" w:rsidRPr="009B21B5" w:rsidRDefault="00EA5AA4" w:rsidP="00AD727F">
      <w:pPr>
        <w:spacing w:before="120" w:after="120" w:line="264" w:lineRule="auto"/>
        <w:rPr>
          <w:lang w:val="nl-BE"/>
        </w:rPr>
      </w:pPr>
    </w:p>
    <w:p w14:paraId="43CC3AF4" w14:textId="77777777" w:rsidR="003F2C1E" w:rsidRPr="009B21B5" w:rsidRDefault="003F2C1E" w:rsidP="00AD727F">
      <w:pPr>
        <w:tabs>
          <w:tab w:val="left" w:pos="9639"/>
        </w:tabs>
        <w:spacing w:before="120" w:after="120" w:line="264" w:lineRule="auto"/>
        <w:ind w:right="73"/>
        <w:jc w:val="both"/>
        <w:rPr>
          <w:rFonts w:cstheme="minorHAnsi"/>
          <w:b/>
          <w:lang w:val="nl-BE"/>
        </w:rPr>
      </w:pPr>
      <w:r w:rsidRPr="009B21B5">
        <w:rPr>
          <w:rFonts w:cstheme="minorHAnsi"/>
          <w:b/>
          <w:i/>
          <w:sz w:val="28"/>
          <w:szCs w:val="28"/>
          <w:lang w:val="nl-BE"/>
        </w:rPr>
        <w:t>Voorafgaande opmerking</w:t>
      </w:r>
      <w:r w:rsidRPr="009B21B5">
        <w:rPr>
          <w:rFonts w:cstheme="minorHAnsi"/>
          <w:b/>
          <w:i/>
          <w:lang w:val="nl-BE"/>
        </w:rPr>
        <w:t xml:space="preserve">: </w:t>
      </w:r>
      <w:r w:rsidRPr="009B21B5">
        <w:rPr>
          <w:rFonts w:cstheme="minorHAnsi"/>
          <w:b/>
          <w:lang w:val="nl-BE"/>
        </w:rPr>
        <w:t xml:space="preserve">enkel fruit, groenten, peulvruchten, noten en koolzaad-, noten- en olijfolie die behoren tot de vermelde groepen in die bijlage (resultaat van werkzaamheden op basis van </w:t>
      </w:r>
      <w:proofErr w:type="spellStart"/>
      <w:r w:rsidRPr="009B21B5">
        <w:rPr>
          <w:rFonts w:cstheme="minorHAnsi"/>
          <w:b/>
          <w:lang w:val="nl-BE"/>
        </w:rPr>
        <w:t>Scarborough</w:t>
      </w:r>
      <w:proofErr w:type="spellEnd"/>
      <w:r w:rsidRPr="009B21B5">
        <w:rPr>
          <w:rFonts w:cstheme="minorHAnsi"/>
          <w:b/>
          <w:lang w:val="nl-BE"/>
        </w:rPr>
        <w:t xml:space="preserve"> et al.) komen in aanmerking voor de berekening van de hoeveelheid fruit, groenten, peulvruchten, noten en koolzaad-, noten- en olijfolie in een bewerkt product.</w:t>
      </w:r>
    </w:p>
    <w:p w14:paraId="0CFE693A" w14:textId="77777777" w:rsidR="00014B7C" w:rsidRPr="009B21B5" w:rsidRDefault="00014B7C" w:rsidP="00AD727F">
      <w:pPr>
        <w:tabs>
          <w:tab w:val="left" w:pos="9639"/>
        </w:tabs>
        <w:spacing w:before="120" w:after="120" w:line="264" w:lineRule="auto"/>
        <w:ind w:right="73"/>
        <w:rPr>
          <w:rFonts w:cstheme="minorHAnsi"/>
          <w:b/>
          <w:i/>
          <w:lang w:val="nl-BE"/>
        </w:rPr>
      </w:pPr>
    </w:p>
    <w:p w14:paraId="17178D98" w14:textId="77777777" w:rsidR="003740AF" w:rsidRPr="0080399F" w:rsidRDefault="003740AF" w:rsidP="00AD727F">
      <w:pPr>
        <w:tabs>
          <w:tab w:val="left" w:pos="9639"/>
        </w:tabs>
        <w:spacing w:before="120" w:after="120" w:line="264" w:lineRule="auto"/>
        <w:ind w:right="73"/>
        <w:rPr>
          <w:rFonts w:cstheme="minorHAnsi"/>
          <w:i/>
        </w:rPr>
      </w:pPr>
      <w:proofErr w:type="spellStart"/>
      <w:r w:rsidRPr="0080399F">
        <w:rPr>
          <w:rFonts w:cstheme="minorHAnsi"/>
          <w:b/>
          <w:i/>
          <w:lang w:val="en-US"/>
        </w:rPr>
        <w:t>Volgens</w:t>
      </w:r>
      <w:proofErr w:type="spellEnd"/>
      <w:r w:rsidRPr="0080399F">
        <w:rPr>
          <w:rFonts w:cstheme="minorHAnsi"/>
          <w:i/>
          <w:lang w:val="en-US"/>
        </w:rPr>
        <w:t xml:space="preserve"> Peter Scarborough, Mike Rayner, Anna Boxer and Lynn Stockley. British Heart Foundation Health Promotion Research Group, Department of Public Health, University of Oxford. December 2005</w:t>
      </w:r>
      <w:r w:rsidRPr="00DC7BBC">
        <w:rPr>
          <w:rStyle w:val="Appelnotedebasdep"/>
        </w:rPr>
        <w:footnoteReference w:id="3"/>
      </w:r>
      <w:r w:rsidRPr="0080399F">
        <w:rPr>
          <w:rFonts w:cstheme="minorHAnsi"/>
          <w:i/>
        </w:rPr>
        <w:t>.</w:t>
      </w:r>
    </w:p>
    <w:p w14:paraId="7D9FCA8B" w14:textId="77777777" w:rsidR="003740AF" w:rsidRDefault="003740AF" w:rsidP="00AD727F">
      <w:pPr>
        <w:spacing w:before="120" w:after="120" w:line="264" w:lineRule="auto"/>
        <w:jc w:val="center"/>
        <w:rPr>
          <w:rFonts w:cstheme="minorHAnsi"/>
          <w:b/>
        </w:rPr>
      </w:pPr>
      <w:r w:rsidRPr="0080399F">
        <w:rPr>
          <w:rFonts w:cstheme="minorHAnsi"/>
          <w:b/>
        </w:rPr>
        <w:sym w:font="Wingdings 2" w:char="F0AF"/>
      </w:r>
    </w:p>
    <w:p w14:paraId="762A3DE3" w14:textId="77777777" w:rsidR="003740AF" w:rsidRPr="009B21B5" w:rsidRDefault="003740AF" w:rsidP="00AD727F">
      <w:pPr>
        <w:spacing w:before="120" w:after="120" w:line="264" w:lineRule="auto"/>
        <w:jc w:val="both"/>
        <w:rPr>
          <w:lang w:val="nl-BE"/>
        </w:rPr>
      </w:pPr>
      <w:r w:rsidRPr="009B21B5">
        <w:rPr>
          <w:rFonts w:cstheme="minorHAnsi"/>
          <w:lang w:val="nl-BE"/>
        </w:rPr>
        <w:t>De component fruit, groenten, peulvruchten en noten uit de score van de Food Standard Agency (FSA) werd voor het eerst uitgewerkt in de jaren 2000 en is gebaseerd op de zogeheten Eurocode 2-classificatie voor voedingsmiddelen, in het Engels online te vinden op internet</w:t>
      </w:r>
      <w:r w:rsidR="00014B7C" w:rsidRPr="009B21B5">
        <w:rPr>
          <w:rFonts w:cstheme="minorHAnsi"/>
          <w:vertAlign w:val="superscript"/>
          <w:lang w:val="nl-BE"/>
        </w:rPr>
        <w:t>1</w:t>
      </w:r>
      <w:r w:rsidRPr="009B21B5">
        <w:rPr>
          <w:rFonts w:cstheme="minorHAnsi"/>
          <w:lang w:val="nl-BE"/>
        </w:rPr>
        <w:t>.</w:t>
      </w:r>
    </w:p>
    <w:p w14:paraId="4D95365C" w14:textId="77777777" w:rsidR="003740AF" w:rsidRPr="00897EEF" w:rsidRDefault="003740AF" w:rsidP="00AD727F">
      <w:pPr>
        <w:spacing w:before="120" w:after="120" w:line="264" w:lineRule="auto"/>
        <w:jc w:val="both"/>
        <w:rPr>
          <w:rFonts w:eastAsia="Times New Roman" w:cstheme="minorHAnsi"/>
          <w:lang w:eastAsia="fr-FR"/>
        </w:rPr>
      </w:pPr>
      <w:r w:rsidRPr="009B21B5">
        <w:rPr>
          <w:rFonts w:eastAsia="Times New Roman" w:cstheme="minorHAnsi"/>
          <w:lang w:val="nl-BE" w:eastAsia="nl"/>
        </w:rPr>
        <w:t xml:space="preserve">Dit document geeft de nodige verduidelijking om zo de </w:t>
      </w:r>
      <w:r w:rsidRPr="009B21B5">
        <w:rPr>
          <w:rFonts w:eastAsia="Times New Roman" w:cstheme="minorHAnsi"/>
          <w:b/>
          <w:lang w:val="nl-BE" w:eastAsia="nl"/>
        </w:rPr>
        <w:t>beoordeling van de hoeveelheid 'fruit, groenten, peulvruchten en noten en koolzaad-, noten- en olijfolie'</w:t>
      </w:r>
      <w:r w:rsidRPr="009B21B5">
        <w:rPr>
          <w:rFonts w:eastAsia="Times New Roman" w:cstheme="minorHAnsi"/>
          <w:lang w:val="nl-BE" w:eastAsia="nl"/>
        </w:rPr>
        <w:t xml:space="preserve"> in een voedingsmiddel te harmoniseren, om op die manier de FSA-score correct te berekenen. </w:t>
      </w:r>
      <w:r w:rsidRPr="0080399F">
        <w:rPr>
          <w:rFonts w:eastAsia="Times New Roman" w:cstheme="minorHAnsi"/>
          <w:lang w:eastAsia="nl"/>
        </w:rPr>
        <w:t xml:space="preserve">De </w:t>
      </w:r>
      <w:proofErr w:type="spellStart"/>
      <w:r w:rsidRPr="0080399F">
        <w:rPr>
          <w:rFonts w:eastAsia="Times New Roman" w:cstheme="minorHAnsi"/>
          <w:lang w:eastAsia="nl"/>
        </w:rPr>
        <w:t>volgende</w:t>
      </w:r>
      <w:proofErr w:type="spellEnd"/>
      <w:r w:rsidRPr="0080399F">
        <w:rPr>
          <w:rFonts w:eastAsia="Times New Roman" w:cstheme="minorHAnsi"/>
          <w:lang w:eastAsia="nl"/>
        </w:rPr>
        <w:t xml:space="preserve"> </w:t>
      </w:r>
      <w:proofErr w:type="spellStart"/>
      <w:r w:rsidRPr="0080399F">
        <w:rPr>
          <w:rFonts w:eastAsia="Times New Roman" w:cstheme="minorHAnsi"/>
          <w:lang w:eastAsia="nl"/>
        </w:rPr>
        <w:t>punten</w:t>
      </w:r>
      <w:proofErr w:type="spellEnd"/>
      <w:r w:rsidRPr="0080399F">
        <w:rPr>
          <w:rFonts w:eastAsia="Times New Roman" w:cstheme="minorHAnsi"/>
          <w:lang w:eastAsia="nl"/>
        </w:rPr>
        <w:t xml:space="preserve"> </w:t>
      </w:r>
      <w:proofErr w:type="spellStart"/>
      <w:r w:rsidRPr="0080399F">
        <w:rPr>
          <w:rFonts w:eastAsia="Times New Roman" w:cstheme="minorHAnsi"/>
          <w:lang w:eastAsia="nl"/>
        </w:rPr>
        <w:t>komen</w:t>
      </w:r>
      <w:proofErr w:type="spellEnd"/>
      <w:r w:rsidRPr="0080399F">
        <w:rPr>
          <w:rFonts w:eastAsia="Times New Roman" w:cstheme="minorHAnsi"/>
          <w:lang w:eastAsia="nl"/>
        </w:rPr>
        <w:t xml:space="preserve"> </w:t>
      </w:r>
      <w:proofErr w:type="spellStart"/>
      <w:r w:rsidRPr="0080399F">
        <w:rPr>
          <w:rFonts w:eastAsia="Times New Roman" w:cstheme="minorHAnsi"/>
          <w:lang w:eastAsia="nl"/>
        </w:rPr>
        <w:t>aan</w:t>
      </w:r>
      <w:proofErr w:type="spellEnd"/>
      <w:r w:rsidRPr="0080399F">
        <w:rPr>
          <w:rFonts w:eastAsia="Times New Roman" w:cstheme="minorHAnsi"/>
          <w:lang w:eastAsia="nl"/>
        </w:rPr>
        <w:t xml:space="preserve"> </w:t>
      </w:r>
      <w:proofErr w:type="spellStart"/>
      <w:r w:rsidRPr="0080399F">
        <w:rPr>
          <w:rFonts w:eastAsia="Times New Roman" w:cstheme="minorHAnsi"/>
          <w:lang w:eastAsia="nl"/>
        </w:rPr>
        <w:t>bod</w:t>
      </w:r>
      <w:proofErr w:type="spellEnd"/>
      <w:r w:rsidRPr="0080399F">
        <w:rPr>
          <w:rFonts w:eastAsia="Times New Roman" w:cstheme="minorHAnsi"/>
          <w:lang w:eastAsia="nl"/>
        </w:rPr>
        <w:t>:</w:t>
      </w:r>
    </w:p>
    <w:p w14:paraId="70533BDD" w14:textId="77777777" w:rsidR="003740AF" w:rsidRPr="009B21B5" w:rsidRDefault="003268A6" w:rsidP="00644EBB">
      <w:pPr>
        <w:widowControl w:val="0"/>
        <w:numPr>
          <w:ilvl w:val="0"/>
          <w:numId w:val="24"/>
        </w:numPr>
        <w:spacing w:before="120" w:after="120" w:line="264" w:lineRule="auto"/>
        <w:ind w:left="993" w:hanging="284"/>
        <w:jc w:val="both"/>
        <w:rPr>
          <w:rFonts w:eastAsia="Times New Roman" w:cstheme="minorHAnsi"/>
          <w:lang w:val="nl-BE" w:eastAsia="fr-FR"/>
        </w:rPr>
      </w:pPr>
      <w:r w:rsidRPr="009B21B5">
        <w:rPr>
          <w:rFonts w:eastAsia="Times New Roman" w:cstheme="minorHAnsi"/>
          <w:lang w:val="nl-BE" w:eastAsia="nl"/>
        </w:rPr>
        <w:t>Welke voedingsmiddelen behoren er bij de berekening van de score voor de component 'fruit, groenten, peulvruchten en noten, en koolzaad-, noten- en olijfolie' tot groenten?</w:t>
      </w:r>
    </w:p>
    <w:p w14:paraId="442C8253" w14:textId="77777777" w:rsidR="003740AF" w:rsidRPr="009B21B5" w:rsidRDefault="003740AF" w:rsidP="00AD727F">
      <w:pPr>
        <w:widowControl w:val="0"/>
        <w:numPr>
          <w:ilvl w:val="0"/>
          <w:numId w:val="24"/>
        </w:numPr>
        <w:spacing w:before="120" w:after="120" w:line="264" w:lineRule="auto"/>
        <w:ind w:left="993" w:hanging="284"/>
        <w:jc w:val="both"/>
        <w:rPr>
          <w:rFonts w:eastAsia="Times New Roman" w:cstheme="minorHAnsi"/>
          <w:lang w:val="nl-BE" w:eastAsia="fr-FR"/>
        </w:rPr>
      </w:pPr>
      <w:r w:rsidRPr="009B21B5">
        <w:rPr>
          <w:rFonts w:eastAsia="Times New Roman" w:cstheme="minorHAnsi"/>
          <w:lang w:val="nl-BE" w:eastAsia="nl"/>
        </w:rPr>
        <w:t>Moeten fruit, peulvruchten en groenten in puree- of concentraatvorm, gedroogd of in poeder en vruchten- en groentesappen worden meegeteld om de hoeveelheid fruit en groenten in een product te bepalen voor de berekening van de score? Zo ja, hoe moet het gehalte aan verwerkt fruit en groente dan worden berekend?</w:t>
      </w:r>
    </w:p>
    <w:p w14:paraId="7A907980" w14:textId="77777777" w:rsidR="003740AF" w:rsidRPr="009B21B5" w:rsidRDefault="003740AF" w:rsidP="00AD727F">
      <w:pPr>
        <w:widowControl w:val="0"/>
        <w:numPr>
          <w:ilvl w:val="0"/>
          <w:numId w:val="24"/>
        </w:numPr>
        <w:spacing w:before="120" w:after="120" w:line="264" w:lineRule="auto"/>
        <w:ind w:left="993" w:hanging="284"/>
        <w:jc w:val="both"/>
        <w:rPr>
          <w:rFonts w:eastAsia="Times New Roman" w:cstheme="minorHAnsi"/>
          <w:lang w:val="nl-BE" w:eastAsia="fr-FR"/>
        </w:rPr>
      </w:pPr>
      <w:r w:rsidRPr="009B21B5">
        <w:rPr>
          <w:rFonts w:eastAsia="Times New Roman" w:cstheme="minorHAnsi"/>
          <w:lang w:val="nl-BE" w:eastAsia="nl"/>
        </w:rPr>
        <w:t>Moeten de hoeveelheden fruit, groenten, peulvruchten en noten in een product berekend worden vóór of na het koken?</w:t>
      </w:r>
    </w:p>
    <w:p w14:paraId="13920B0E" w14:textId="77777777" w:rsidR="003740AF" w:rsidRPr="009B21B5" w:rsidRDefault="003740AF" w:rsidP="00AD727F">
      <w:pPr>
        <w:widowControl w:val="0"/>
        <w:spacing w:before="120" w:after="120" w:line="264" w:lineRule="auto"/>
        <w:ind w:left="993"/>
        <w:jc w:val="both"/>
        <w:rPr>
          <w:rFonts w:eastAsia="Times New Roman" w:cstheme="minorHAnsi"/>
          <w:lang w:val="nl-BE" w:eastAsia="fr-FR"/>
        </w:rPr>
      </w:pPr>
    </w:p>
    <w:p w14:paraId="64BECCC2" w14:textId="77777777" w:rsidR="003740AF" w:rsidRPr="009B21B5" w:rsidRDefault="00CF1810" w:rsidP="00AD727F">
      <w:pPr>
        <w:spacing w:before="120" w:after="120" w:line="264" w:lineRule="auto"/>
        <w:rPr>
          <w:rFonts w:cstheme="minorHAnsi"/>
          <w:b/>
          <w:smallCaps/>
          <w:color w:val="4F6228" w:themeColor="accent3" w:themeShade="80"/>
          <w:sz w:val="24"/>
          <w:szCs w:val="24"/>
          <w:lang w:val="nl-BE"/>
        </w:rPr>
      </w:pPr>
      <w:r w:rsidRPr="009B21B5">
        <w:rPr>
          <w:rFonts w:cstheme="minorHAnsi"/>
          <w:b/>
          <w:smallCaps/>
          <w:color w:val="4F6228" w:themeColor="accent3" w:themeShade="80"/>
          <w:sz w:val="24"/>
          <w:szCs w:val="24"/>
          <w:lang w:val="nl-BE"/>
        </w:rPr>
        <w:t>1. Definitie van fruit, groenten, peulvruchten, noten en koolzaad-, noten- en olijfolie</w:t>
      </w:r>
    </w:p>
    <w:p w14:paraId="06C222EB"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 xml:space="preserve">De Eurocode 2-classificatie (beschikbaar in het Engels) deelt voedingsmiddelen in een aantal groepen in. In dit systeem behoort 'fruit' tot groep 9; 'groenten' behoren tot groep 8, 'peulvruchten' tot groep 7.10 en 'noten' tot groepen 7.20 en 7.40. </w:t>
      </w:r>
    </w:p>
    <w:p w14:paraId="60C24F2F" w14:textId="77777777" w:rsidR="00613BD8" w:rsidRPr="009B21B5" w:rsidRDefault="00613BD8" w:rsidP="00AD727F">
      <w:pPr>
        <w:spacing w:before="120" w:after="120" w:line="264" w:lineRule="auto"/>
        <w:jc w:val="both"/>
        <w:rPr>
          <w:rFonts w:cstheme="minorHAnsi"/>
          <w:b/>
          <w:i/>
          <w:lang w:val="nl-BE"/>
        </w:rPr>
      </w:pPr>
    </w:p>
    <w:p w14:paraId="1964B8A9" w14:textId="77777777" w:rsidR="003740AF" w:rsidRPr="009B21B5" w:rsidRDefault="003740AF" w:rsidP="00AD727F">
      <w:pPr>
        <w:spacing w:before="120" w:after="120" w:line="264" w:lineRule="auto"/>
        <w:jc w:val="both"/>
        <w:rPr>
          <w:rFonts w:eastAsia="Times New Roman" w:cstheme="minorHAnsi"/>
          <w:lang w:val="nl-BE" w:eastAsia="fr-FR"/>
        </w:rPr>
      </w:pPr>
      <w:r w:rsidRPr="009B21B5">
        <w:rPr>
          <w:rFonts w:eastAsia="Times New Roman" w:cstheme="minorHAnsi"/>
          <w:lang w:val="nl-BE" w:eastAsia="nl"/>
        </w:rPr>
        <w:t xml:space="preserve">Volgens deze classificatie zijn dit dus de verschillende groepen: </w:t>
      </w:r>
    </w:p>
    <w:p w14:paraId="480CE52A" w14:textId="77777777" w:rsidR="003740AF" w:rsidRPr="009B21B5" w:rsidRDefault="003740AF" w:rsidP="00AD727F">
      <w:pPr>
        <w:autoSpaceDE w:val="0"/>
        <w:autoSpaceDN w:val="0"/>
        <w:adjustRightInd w:val="0"/>
        <w:spacing w:before="120" w:after="120" w:line="264" w:lineRule="auto"/>
        <w:jc w:val="both"/>
        <w:rPr>
          <w:rFonts w:cstheme="minorHAnsi"/>
          <w:lang w:val="nl-BE"/>
        </w:rPr>
      </w:pPr>
      <w:r w:rsidRPr="009B21B5">
        <w:rPr>
          <w:rFonts w:cstheme="minorHAnsi"/>
          <w:lang w:val="nl-BE"/>
        </w:rPr>
        <w:t>i. Group 7.10 (</w:t>
      </w:r>
      <w:proofErr w:type="spellStart"/>
      <w:r w:rsidRPr="009B21B5">
        <w:rPr>
          <w:rFonts w:cstheme="minorHAnsi"/>
          <w:lang w:val="nl-BE"/>
        </w:rPr>
        <w:t>Pulses</w:t>
      </w:r>
      <w:proofErr w:type="spellEnd"/>
      <w:r w:rsidRPr="009B21B5">
        <w:rPr>
          <w:rFonts w:cstheme="minorHAnsi"/>
          <w:lang w:val="nl-BE"/>
        </w:rPr>
        <w:t>);</w:t>
      </w:r>
    </w:p>
    <w:p w14:paraId="31C057D2" w14:textId="77777777" w:rsidR="003740AF" w:rsidRPr="009B21B5" w:rsidRDefault="003740AF" w:rsidP="00AD727F">
      <w:pPr>
        <w:autoSpaceDE w:val="0"/>
        <w:autoSpaceDN w:val="0"/>
        <w:adjustRightInd w:val="0"/>
        <w:spacing w:before="120" w:after="120" w:line="264" w:lineRule="auto"/>
        <w:jc w:val="both"/>
        <w:rPr>
          <w:rFonts w:cstheme="minorHAnsi"/>
          <w:sz w:val="8"/>
          <w:szCs w:val="8"/>
          <w:lang w:val="nl-BE"/>
        </w:rPr>
      </w:pPr>
    </w:p>
    <w:p w14:paraId="3AF5EBC8" w14:textId="61E2C354" w:rsidR="003740AF" w:rsidRPr="009B21B5" w:rsidRDefault="003740AF" w:rsidP="00AD727F">
      <w:pPr>
        <w:autoSpaceDE w:val="0"/>
        <w:autoSpaceDN w:val="0"/>
        <w:adjustRightInd w:val="0"/>
        <w:spacing w:before="120" w:after="120" w:line="264" w:lineRule="auto"/>
        <w:jc w:val="both"/>
        <w:rPr>
          <w:rFonts w:cstheme="minorHAnsi"/>
          <w:lang w:val="nl-BE"/>
        </w:rPr>
      </w:pPr>
      <w:r w:rsidRPr="009B21B5">
        <w:rPr>
          <w:rFonts w:cstheme="minorHAnsi"/>
          <w:lang w:val="nl-BE"/>
        </w:rPr>
        <w:lastRenderedPageBreak/>
        <w:t>ii. Group 8.10 (</w:t>
      </w:r>
      <w:proofErr w:type="spellStart"/>
      <w:r w:rsidRPr="009B21B5">
        <w:rPr>
          <w:rFonts w:cstheme="minorHAnsi"/>
          <w:lang w:val="nl-BE"/>
        </w:rPr>
        <w:t>Leaf</w:t>
      </w:r>
      <w:proofErr w:type="spellEnd"/>
      <w:r w:rsidRPr="009B21B5">
        <w:rPr>
          <w:rFonts w:cstheme="minorHAnsi"/>
          <w:lang w:val="nl-BE"/>
        </w:rPr>
        <w:t xml:space="preserve"> </w:t>
      </w:r>
      <w:proofErr w:type="spellStart"/>
      <w:r w:rsidRPr="009B21B5">
        <w:rPr>
          <w:rFonts w:cstheme="minorHAnsi"/>
          <w:lang w:val="nl-BE"/>
        </w:rPr>
        <w:t>vegetables</w:t>
      </w:r>
      <w:proofErr w:type="spellEnd"/>
      <w:r w:rsidRPr="009B21B5">
        <w:rPr>
          <w:rFonts w:cstheme="minorHAnsi"/>
          <w:lang w:val="nl-BE"/>
        </w:rPr>
        <w:t>); 8.15 (</w:t>
      </w:r>
      <w:proofErr w:type="spellStart"/>
      <w:r w:rsidRPr="009B21B5">
        <w:rPr>
          <w:rFonts w:cstheme="minorHAnsi"/>
          <w:lang w:val="nl-BE"/>
        </w:rPr>
        <w:t>Brassicas</w:t>
      </w:r>
      <w:proofErr w:type="spellEnd"/>
      <w:r w:rsidRPr="009B21B5">
        <w:rPr>
          <w:rFonts w:cstheme="minorHAnsi"/>
          <w:lang w:val="nl-BE"/>
        </w:rPr>
        <w:t>); 8.20 (</w:t>
      </w:r>
      <w:proofErr w:type="spellStart"/>
      <w:r w:rsidRPr="009B21B5">
        <w:rPr>
          <w:rFonts w:cstheme="minorHAnsi"/>
          <w:lang w:val="nl-BE"/>
        </w:rPr>
        <w:t>Stalk</w:t>
      </w:r>
      <w:proofErr w:type="spellEnd"/>
      <w:r w:rsidRPr="009B21B5">
        <w:rPr>
          <w:rFonts w:cstheme="minorHAnsi"/>
          <w:lang w:val="nl-BE"/>
        </w:rPr>
        <w:t xml:space="preserve"> </w:t>
      </w:r>
      <w:proofErr w:type="spellStart"/>
      <w:r w:rsidRPr="009B21B5">
        <w:rPr>
          <w:rFonts w:cstheme="minorHAnsi"/>
          <w:lang w:val="nl-BE"/>
        </w:rPr>
        <w:t>vegetables</w:t>
      </w:r>
      <w:proofErr w:type="spellEnd"/>
      <w:r w:rsidRPr="009B21B5">
        <w:rPr>
          <w:rFonts w:cstheme="minorHAnsi"/>
          <w:lang w:val="nl-BE"/>
        </w:rPr>
        <w:t>); 8.25 (</w:t>
      </w:r>
      <w:proofErr w:type="spellStart"/>
      <w:r w:rsidRPr="009B21B5">
        <w:rPr>
          <w:rFonts w:cstheme="minorHAnsi"/>
          <w:lang w:val="nl-BE"/>
        </w:rPr>
        <w:t>Shoot</w:t>
      </w:r>
      <w:proofErr w:type="spellEnd"/>
      <w:r w:rsidRPr="009B21B5">
        <w:rPr>
          <w:rFonts w:cstheme="minorHAnsi"/>
          <w:lang w:val="nl-BE"/>
        </w:rPr>
        <w:t xml:space="preserve"> </w:t>
      </w:r>
      <w:proofErr w:type="spellStart"/>
      <w:r w:rsidRPr="009B21B5">
        <w:rPr>
          <w:rFonts w:cstheme="minorHAnsi"/>
          <w:lang w:val="nl-BE"/>
        </w:rPr>
        <w:t>vegetables</w:t>
      </w:r>
      <w:proofErr w:type="spellEnd"/>
      <w:r w:rsidRPr="009B21B5">
        <w:rPr>
          <w:rFonts w:cstheme="minorHAnsi"/>
          <w:lang w:val="nl-BE"/>
        </w:rPr>
        <w:t>); 8.30 (</w:t>
      </w:r>
      <w:proofErr w:type="spellStart"/>
      <w:r w:rsidRPr="009B21B5">
        <w:rPr>
          <w:rFonts w:cstheme="minorHAnsi"/>
          <w:lang w:val="nl-BE"/>
        </w:rPr>
        <w:t>Onion</w:t>
      </w:r>
      <w:proofErr w:type="spellEnd"/>
      <w:r w:rsidRPr="009B21B5">
        <w:rPr>
          <w:rFonts w:cstheme="minorHAnsi"/>
          <w:lang w:val="nl-BE"/>
        </w:rPr>
        <w:t xml:space="preserve">-family </w:t>
      </w:r>
      <w:proofErr w:type="spellStart"/>
      <w:r w:rsidRPr="009B21B5">
        <w:rPr>
          <w:rFonts w:cstheme="minorHAnsi"/>
          <w:lang w:val="nl-BE"/>
        </w:rPr>
        <w:t>vegetables</w:t>
      </w:r>
      <w:proofErr w:type="spellEnd"/>
      <w:r w:rsidRPr="009B21B5">
        <w:rPr>
          <w:rFonts w:cstheme="minorHAnsi"/>
          <w:lang w:val="nl-BE"/>
        </w:rPr>
        <w:t xml:space="preserve">); 8.38 (Root </w:t>
      </w:r>
      <w:proofErr w:type="spellStart"/>
      <w:r w:rsidRPr="009B21B5">
        <w:rPr>
          <w:rFonts w:cstheme="minorHAnsi"/>
          <w:lang w:val="nl-BE"/>
        </w:rPr>
        <w:t>vegetables</w:t>
      </w:r>
      <w:proofErr w:type="spellEnd"/>
      <w:r w:rsidRPr="009B21B5">
        <w:rPr>
          <w:rFonts w:cstheme="minorHAnsi"/>
          <w:lang w:val="nl-BE"/>
        </w:rPr>
        <w:t xml:space="preserve">); 8.40 (Fruit </w:t>
      </w:r>
      <w:proofErr w:type="spellStart"/>
      <w:r w:rsidRPr="009B21B5">
        <w:rPr>
          <w:rFonts w:cstheme="minorHAnsi"/>
          <w:lang w:val="nl-BE"/>
        </w:rPr>
        <w:t>vegetables</w:t>
      </w:r>
      <w:proofErr w:type="spellEnd"/>
      <w:r w:rsidRPr="009B21B5">
        <w:rPr>
          <w:rFonts w:cstheme="minorHAnsi"/>
          <w:lang w:val="nl-BE"/>
        </w:rPr>
        <w:t>); 8.42 (</w:t>
      </w:r>
      <w:proofErr w:type="spellStart"/>
      <w:r w:rsidRPr="009B21B5">
        <w:rPr>
          <w:rFonts w:cstheme="minorHAnsi"/>
          <w:lang w:val="nl-BE"/>
        </w:rPr>
        <w:t>Flower-head</w:t>
      </w:r>
      <w:proofErr w:type="spellEnd"/>
      <w:r w:rsidRPr="009B21B5">
        <w:rPr>
          <w:rFonts w:cstheme="minorHAnsi"/>
          <w:lang w:val="nl-BE"/>
        </w:rPr>
        <w:t xml:space="preserve"> </w:t>
      </w:r>
      <w:proofErr w:type="spellStart"/>
      <w:r w:rsidRPr="009B21B5">
        <w:rPr>
          <w:rFonts w:cstheme="minorHAnsi"/>
          <w:lang w:val="nl-BE"/>
        </w:rPr>
        <w:t>vegetables</w:t>
      </w:r>
      <w:proofErr w:type="spellEnd"/>
      <w:r w:rsidRPr="009B21B5">
        <w:rPr>
          <w:rFonts w:cstheme="minorHAnsi"/>
          <w:lang w:val="nl-BE"/>
        </w:rPr>
        <w:t>); 8.45 (</w:t>
      </w:r>
      <w:proofErr w:type="spellStart"/>
      <w:r w:rsidRPr="009B21B5">
        <w:rPr>
          <w:rFonts w:cstheme="minorHAnsi"/>
          <w:lang w:val="nl-BE"/>
        </w:rPr>
        <w:t>Seed</w:t>
      </w:r>
      <w:proofErr w:type="spellEnd"/>
      <w:r w:rsidRPr="009B21B5">
        <w:rPr>
          <w:rFonts w:cstheme="minorHAnsi"/>
          <w:lang w:val="nl-BE"/>
        </w:rPr>
        <w:t xml:space="preserve"> </w:t>
      </w:r>
      <w:proofErr w:type="spellStart"/>
      <w:r w:rsidRPr="009B21B5">
        <w:rPr>
          <w:rFonts w:cstheme="minorHAnsi"/>
          <w:lang w:val="nl-BE"/>
        </w:rPr>
        <w:t>vegetables</w:t>
      </w:r>
      <w:proofErr w:type="spellEnd"/>
      <w:r w:rsidRPr="009B21B5">
        <w:rPr>
          <w:rFonts w:cstheme="minorHAnsi"/>
          <w:lang w:val="nl-BE"/>
        </w:rPr>
        <w:t xml:space="preserve"> </w:t>
      </w:r>
      <w:proofErr w:type="spellStart"/>
      <w:r w:rsidRPr="009B21B5">
        <w:rPr>
          <w:rFonts w:cstheme="minorHAnsi"/>
          <w:lang w:val="nl-BE"/>
        </w:rPr>
        <w:t>and</w:t>
      </w:r>
      <w:proofErr w:type="spellEnd"/>
      <w:r w:rsidRPr="009B21B5">
        <w:rPr>
          <w:rFonts w:cstheme="minorHAnsi"/>
          <w:lang w:val="nl-BE"/>
        </w:rPr>
        <w:t xml:space="preserve"> immature </w:t>
      </w:r>
      <w:proofErr w:type="spellStart"/>
      <w:r w:rsidRPr="009B21B5">
        <w:rPr>
          <w:rFonts w:cstheme="minorHAnsi"/>
          <w:lang w:val="nl-BE"/>
        </w:rPr>
        <w:t>pulses</w:t>
      </w:r>
      <w:proofErr w:type="spellEnd"/>
      <w:r w:rsidRPr="009B21B5">
        <w:rPr>
          <w:rFonts w:cstheme="minorHAnsi"/>
          <w:lang w:val="nl-BE"/>
        </w:rPr>
        <w:t>); 8.50 (</w:t>
      </w:r>
      <w:proofErr w:type="spellStart"/>
      <w:r w:rsidRPr="009B21B5">
        <w:rPr>
          <w:rFonts w:cstheme="minorHAnsi"/>
          <w:lang w:val="nl-BE"/>
        </w:rPr>
        <w:t>Edible</w:t>
      </w:r>
      <w:proofErr w:type="spellEnd"/>
      <w:r w:rsidRPr="009B21B5">
        <w:rPr>
          <w:rFonts w:cstheme="minorHAnsi"/>
          <w:lang w:val="nl-BE"/>
        </w:rPr>
        <w:t xml:space="preserve"> fungi); 8.55 (</w:t>
      </w:r>
      <w:proofErr w:type="spellStart"/>
      <w:r w:rsidRPr="009B21B5">
        <w:rPr>
          <w:rFonts w:cstheme="minorHAnsi"/>
          <w:lang w:val="nl-BE"/>
        </w:rPr>
        <w:t>Seaweeds</w:t>
      </w:r>
      <w:proofErr w:type="spellEnd"/>
      <w:r w:rsidRPr="009B21B5">
        <w:rPr>
          <w:rFonts w:cstheme="minorHAnsi"/>
          <w:lang w:val="nl-BE"/>
        </w:rPr>
        <w:t xml:space="preserve"> </w:t>
      </w:r>
      <w:proofErr w:type="spellStart"/>
      <w:r w:rsidRPr="009B21B5">
        <w:rPr>
          <w:rFonts w:cstheme="minorHAnsi"/>
          <w:lang w:val="nl-BE"/>
        </w:rPr>
        <w:t>and</w:t>
      </w:r>
      <w:proofErr w:type="spellEnd"/>
      <w:r w:rsidRPr="009B21B5">
        <w:rPr>
          <w:rFonts w:cstheme="minorHAnsi"/>
          <w:lang w:val="nl-BE"/>
        </w:rPr>
        <w:t xml:space="preserve"> </w:t>
      </w:r>
      <w:proofErr w:type="spellStart"/>
      <w:r w:rsidRPr="009B21B5">
        <w:rPr>
          <w:rFonts w:cstheme="minorHAnsi"/>
          <w:lang w:val="nl-BE"/>
        </w:rPr>
        <w:t>algae</w:t>
      </w:r>
      <w:proofErr w:type="spellEnd"/>
      <w:r w:rsidRPr="009B21B5">
        <w:rPr>
          <w:rFonts w:cstheme="minorHAnsi"/>
          <w:lang w:val="nl-BE"/>
        </w:rPr>
        <w:t>); 8.60 (</w:t>
      </w:r>
      <w:proofErr w:type="spellStart"/>
      <w:r w:rsidRPr="009B21B5">
        <w:rPr>
          <w:rFonts w:cstheme="minorHAnsi"/>
          <w:lang w:val="nl-BE"/>
        </w:rPr>
        <w:t>Vegetable</w:t>
      </w:r>
      <w:proofErr w:type="spellEnd"/>
      <w:r w:rsidRPr="009B21B5">
        <w:rPr>
          <w:rFonts w:cstheme="minorHAnsi"/>
          <w:lang w:val="nl-BE"/>
        </w:rPr>
        <w:t xml:space="preserve"> mixtures)</w:t>
      </w:r>
    </w:p>
    <w:p w14:paraId="07631EFE" w14:textId="77777777" w:rsidR="003740AF" w:rsidRPr="009B21B5" w:rsidRDefault="003740AF" w:rsidP="00AD727F">
      <w:pPr>
        <w:autoSpaceDE w:val="0"/>
        <w:autoSpaceDN w:val="0"/>
        <w:adjustRightInd w:val="0"/>
        <w:spacing w:before="120" w:after="120" w:line="264" w:lineRule="auto"/>
        <w:jc w:val="both"/>
        <w:rPr>
          <w:rFonts w:cstheme="minorHAnsi"/>
          <w:sz w:val="8"/>
          <w:szCs w:val="8"/>
          <w:lang w:val="nl-BE"/>
        </w:rPr>
      </w:pPr>
    </w:p>
    <w:p w14:paraId="00A8A6C2" w14:textId="77777777" w:rsidR="003740AF" w:rsidRPr="00BE63A4" w:rsidRDefault="003740AF" w:rsidP="00AD727F">
      <w:pPr>
        <w:autoSpaceDE w:val="0"/>
        <w:autoSpaceDN w:val="0"/>
        <w:adjustRightInd w:val="0"/>
        <w:spacing w:before="120" w:after="120" w:line="264" w:lineRule="auto"/>
        <w:jc w:val="both"/>
        <w:rPr>
          <w:rFonts w:cstheme="minorHAnsi"/>
          <w:lang w:val="en-US"/>
        </w:rPr>
      </w:pPr>
      <w:r w:rsidRPr="00BE63A4">
        <w:rPr>
          <w:rFonts w:cstheme="minorHAnsi"/>
          <w:lang w:val="en-US"/>
        </w:rPr>
        <w:t>iii Group 9.10 (</w:t>
      </w:r>
      <w:proofErr w:type="spellStart"/>
      <w:r w:rsidRPr="00BE63A4">
        <w:rPr>
          <w:rFonts w:cstheme="minorHAnsi"/>
          <w:lang w:val="en-US"/>
        </w:rPr>
        <w:t>Malaceous</w:t>
      </w:r>
      <w:proofErr w:type="spellEnd"/>
      <w:r w:rsidRPr="00BE63A4">
        <w:rPr>
          <w:rFonts w:cstheme="minorHAnsi"/>
          <w:lang w:val="en-US"/>
        </w:rPr>
        <w:t xml:space="preserve"> fruit); 9.20 (Prunus species fruit); 9.25 (Other stone fruit); 9.30 (Berries); 9.40 (Citrus fruit); 9.50 (Miscellaneous fruit); 9.60 (Fruit mixtures).</w:t>
      </w:r>
    </w:p>
    <w:p w14:paraId="61120198" w14:textId="77777777" w:rsidR="003740AF" w:rsidRPr="00BE63A4" w:rsidRDefault="003740AF" w:rsidP="00AD727F">
      <w:pPr>
        <w:spacing w:before="120" w:after="120" w:line="264" w:lineRule="auto"/>
        <w:jc w:val="both"/>
        <w:rPr>
          <w:rFonts w:cstheme="minorHAnsi"/>
          <w:sz w:val="8"/>
          <w:szCs w:val="8"/>
          <w:lang w:val="en-US"/>
        </w:rPr>
      </w:pPr>
    </w:p>
    <w:p w14:paraId="036A0FB5" w14:textId="2AFE7ECA" w:rsidR="003740AF" w:rsidRPr="00BE63A4" w:rsidRDefault="003740AF" w:rsidP="0097429C">
      <w:pPr>
        <w:spacing w:before="120" w:after="120" w:line="264" w:lineRule="auto"/>
        <w:jc w:val="both"/>
        <w:rPr>
          <w:rFonts w:cstheme="minorHAnsi"/>
          <w:lang w:val="en-US"/>
        </w:rPr>
      </w:pPr>
      <w:r w:rsidRPr="00BE63A4">
        <w:rPr>
          <w:rFonts w:cstheme="minorHAnsi"/>
          <w:lang w:val="en-US"/>
        </w:rPr>
        <w:t>iv Group 7.20 (underground pulses); 7.40 (nuts)</w:t>
      </w:r>
    </w:p>
    <w:p w14:paraId="409D3D63" w14:textId="77777777" w:rsidR="00D37C6A" w:rsidRPr="009B21B5" w:rsidRDefault="00014B7C" w:rsidP="00A30E68">
      <w:pPr>
        <w:spacing w:before="120" w:after="120" w:line="264" w:lineRule="auto"/>
        <w:rPr>
          <w:rFonts w:cstheme="minorHAnsi"/>
          <w:b/>
          <w:lang w:val="nl-BE"/>
        </w:rPr>
      </w:pPr>
      <w:r w:rsidRPr="009B21B5">
        <w:rPr>
          <w:rFonts w:cstheme="minorHAnsi"/>
          <w:b/>
          <w:lang w:val="nl-BE"/>
        </w:rPr>
        <w:t>In de samenvatting aan het eind van deze bijlage vindt men een lijst in het Nederlands van de voedingsmiddelen die onder die codes vallen.</w:t>
      </w:r>
    </w:p>
    <w:p w14:paraId="140042EC" w14:textId="19EB8F32" w:rsidR="00D37C6A" w:rsidRPr="009B21B5" w:rsidRDefault="00D37C6A" w:rsidP="00A30E68">
      <w:pPr>
        <w:spacing w:before="120" w:after="120" w:line="264" w:lineRule="auto"/>
        <w:rPr>
          <w:rFonts w:cstheme="minorHAnsi"/>
          <w:b/>
          <w:lang w:val="nl-BE"/>
        </w:rPr>
      </w:pPr>
      <w:r w:rsidRPr="009B21B5">
        <w:rPr>
          <w:rFonts w:cstheme="minorHAnsi"/>
          <w:lang w:val="nl-BE"/>
        </w:rPr>
        <w:t xml:space="preserve">De </w:t>
      </w:r>
      <w:r w:rsidRPr="009B21B5">
        <w:rPr>
          <w:rFonts w:cstheme="minorHAnsi"/>
          <w:b/>
          <w:lang w:val="nl-BE"/>
        </w:rPr>
        <w:t>kruiden</w:t>
      </w:r>
      <w:r w:rsidRPr="009B21B5">
        <w:rPr>
          <w:rFonts w:cstheme="minorHAnsi"/>
          <w:lang w:val="nl-BE"/>
        </w:rPr>
        <w:t xml:space="preserve"> opgesomd in groep 12.20 van de indeling Eurocode 2, zijn ook inbegrepen in de berekening van de component, evenals </w:t>
      </w:r>
      <w:r w:rsidRPr="009B21B5">
        <w:rPr>
          <w:rFonts w:cstheme="minorHAnsi"/>
          <w:b/>
          <w:lang w:val="nl-BE"/>
        </w:rPr>
        <w:t>koolzaad-, noten- en olijfolie</w:t>
      </w:r>
      <w:r w:rsidRPr="009B21B5">
        <w:rPr>
          <w:rFonts w:cstheme="minorHAnsi"/>
          <w:lang w:val="nl-BE"/>
        </w:rPr>
        <w:t>.</w:t>
      </w:r>
    </w:p>
    <w:p w14:paraId="4C7DFA3F" w14:textId="0CAD5EF7" w:rsidR="00D37C6A" w:rsidRPr="009B21B5" w:rsidRDefault="00D37C6A" w:rsidP="00AD727F">
      <w:pPr>
        <w:spacing w:before="120" w:after="120" w:line="264" w:lineRule="auto"/>
        <w:jc w:val="both"/>
        <w:rPr>
          <w:rFonts w:cstheme="minorHAnsi"/>
          <w:b/>
          <w:lang w:val="nl-BE"/>
        </w:rPr>
      </w:pPr>
      <w:r w:rsidRPr="009B21B5">
        <w:rPr>
          <w:rFonts w:cstheme="minorHAnsi"/>
          <w:b/>
          <w:lang w:val="nl-BE"/>
        </w:rPr>
        <w:t xml:space="preserve"> </w:t>
      </w:r>
    </w:p>
    <w:p w14:paraId="0EC4F0C6" w14:textId="77777777" w:rsidR="003D3AD9" w:rsidRPr="00BE63A4" w:rsidRDefault="003D3AD9" w:rsidP="00AD727F">
      <w:pPr>
        <w:spacing w:before="120" w:after="120" w:line="264" w:lineRule="auto"/>
        <w:rPr>
          <w:rFonts w:cstheme="minorHAnsi"/>
        </w:rPr>
      </w:pPr>
      <w:r w:rsidRPr="00803A0C">
        <w:rPr>
          <w:noProof/>
          <w:lang w:eastAsia="nl"/>
        </w:rPr>
        <w:drawing>
          <wp:inline distT="0" distB="0" distL="0" distR="0" wp14:anchorId="30158FFB" wp14:editId="0D8029FB">
            <wp:extent cx="276225" cy="276225"/>
            <wp:effectExtent l="0" t="0" r="9525" b="9525"/>
            <wp:docPr id="6" name="Image 6"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E63A4">
        <w:rPr>
          <w:rFonts w:cstheme="minorHAnsi"/>
        </w:rPr>
        <w:t xml:space="preserve"> </w:t>
      </w:r>
      <w:r w:rsidRPr="00BE63A4">
        <w:rPr>
          <w:rFonts w:cstheme="minorHAnsi"/>
          <w:b/>
        </w:rPr>
        <w:t xml:space="preserve">Ter </w:t>
      </w:r>
      <w:proofErr w:type="spellStart"/>
      <w:r w:rsidRPr="00BE63A4">
        <w:rPr>
          <w:rFonts w:cstheme="minorHAnsi"/>
          <w:b/>
        </w:rPr>
        <w:t>verduidelijking</w:t>
      </w:r>
      <w:proofErr w:type="spellEnd"/>
      <w:r w:rsidRPr="00BE63A4">
        <w:rPr>
          <w:rFonts w:cstheme="minorHAnsi"/>
          <w:b/>
        </w:rPr>
        <w:t>:</w:t>
      </w:r>
      <w:r w:rsidRPr="00BE63A4">
        <w:rPr>
          <w:rFonts w:cstheme="minorHAnsi"/>
        </w:rPr>
        <w:t xml:space="preserve"> </w:t>
      </w:r>
    </w:p>
    <w:p w14:paraId="345584D7" w14:textId="77777777" w:rsidR="003D3AD9" w:rsidRPr="009B21B5" w:rsidRDefault="003D3AD9" w:rsidP="00AD727F">
      <w:pPr>
        <w:pStyle w:val="Paragraphedeliste"/>
        <w:numPr>
          <w:ilvl w:val="0"/>
          <w:numId w:val="22"/>
        </w:numPr>
        <w:spacing w:before="120" w:after="120" w:line="264" w:lineRule="auto"/>
        <w:contextualSpacing w:val="0"/>
        <w:rPr>
          <w:rFonts w:cstheme="minorHAnsi"/>
          <w:lang w:val="nl-BE"/>
        </w:rPr>
      </w:pPr>
      <w:r w:rsidRPr="009B21B5">
        <w:rPr>
          <w:rFonts w:cstheme="minorHAnsi"/>
          <w:b/>
          <w:lang w:val="nl-BE"/>
        </w:rPr>
        <w:t>Kokosnoot</w:t>
      </w:r>
      <w:r w:rsidRPr="009B21B5">
        <w:rPr>
          <w:rFonts w:cstheme="minorHAnsi"/>
          <w:lang w:val="nl-BE"/>
        </w:rPr>
        <w:t xml:space="preserve"> is een geval apart, omdat het op een andere manier gegeten wordt dan andere noten.</w:t>
      </w:r>
    </w:p>
    <w:p w14:paraId="4FD60CB0" w14:textId="550310BE" w:rsidR="00917635" w:rsidRPr="009B21B5" w:rsidRDefault="003D3AD9" w:rsidP="00917635">
      <w:pPr>
        <w:spacing w:after="0" w:line="264" w:lineRule="auto"/>
        <w:rPr>
          <w:rFonts w:cstheme="minorHAnsi"/>
          <w:b/>
          <w:i/>
          <w:lang w:val="nl-BE"/>
        </w:rPr>
      </w:pPr>
      <w:r w:rsidRPr="009B21B5">
        <w:rPr>
          <w:rFonts w:cstheme="minorHAnsi"/>
          <w:lang w:val="nl-BE"/>
        </w:rPr>
        <w:t>Volgens de wijze waarop de kokosnoot geconsumeerd wordt, behoort die tot de volgende groepen:</w:t>
      </w:r>
      <w:r w:rsidRPr="009B21B5">
        <w:rPr>
          <w:rFonts w:cstheme="minorHAnsi"/>
          <w:lang w:val="nl-BE"/>
        </w:rPr>
        <w:br/>
        <w:t xml:space="preserve">- het verse </w:t>
      </w:r>
      <w:r w:rsidRPr="009B21B5">
        <w:rPr>
          <w:rFonts w:cstheme="minorHAnsi"/>
          <w:b/>
          <w:i/>
          <w:lang w:val="nl-BE"/>
        </w:rPr>
        <w:t>vruchtvlees</w:t>
      </w:r>
      <w:r w:rsidRPr="009B21B5">
        <w:rPr>
          <w:rFonts w:cstheme="minorHAnsi"/>
          <w:lang w:val="nl-BE"/>
        </w:rPr>
        <w:t xml:space="preserve"> wordt beschouwd als </w:t>
      </w:r>
      <w:r w:rsidRPr="009B21B5">
        <w:rPr>
          <w:rFonts w:cstheme="minorHAnsi"/>
          <w:b/>
          <w:i/>
          <w:lang w:val="nl-BE"/>
        </w:rPr>
        <w:t>fruit</w:t>
      </w:r>
      <w:r w:rsidRPr="009B21B5">
        <w:rPr>
          <w:rFonts w:cstheme="minorHAnsi"/>
          <w:lang w:val="nl-BE"/>
        </w:rPr>
        <w:t>,</w:t>
      </w:r>
      <w:r w:rsidRPr="009B21B5">
        <w:rPr>
          <w:rFonts w:cstheme="minorHAnsi"/>
          <w:lang w:val="nl-BE"/>
        </w:rPr>
        <w:br/>
        <w:t xml:space="preserve">- het </w:t>
      </w:r>
      <w:r w:rsidRPr="009B21B5">
        <w:rPr>
          <w:rFonts w:cstheme="minorHAnsi"/>
          <w:b/>
          <w:i/>
          <w:lang w:val="nl-BE"/>
        </w:rPr>
        <w:t>water</w:t>
      </w:r>
      <w:r w:rsidRPr="009B21B5">
        <w:rPr>
          <w:rFonts w:cstheme="minorHAnsi"/>
          <w:lang w:val="nl-BE"/>
        </w:rPr>
        <w:t xml:space="preserve"> van de kokosnoot (of kokoswater, gedefinieerd als de vloeistof van het hart van de groene, niet rijpe kokosnoot zonder extractie of persing van het vruchtvlees) wordt beschouwd als </w:t>
      </w:r>
      <w:r w:rsidR="00476717" w:rsidRPr="009B21B5">
        <w:rPr>
          <w:rFonts w:cstheme="minorHAnsi"/>
          <w:b/>
          <w:i/>
          <w:lang w:val="nl-BE"/>
        </w:rPr>
        <w:t xml:space="preserve">een drank. </w:t>
      </w:r>
      <w:r w:rsidRPr="009B21B5">
        <w:rPr>
          <w:rFonts w:cstheme="minorHAnsi"/>
          <w:lang w:val="nl-BE"/>
        </w:rPr>
        <w:t xml:space="preserve">Kan als </w:t>
      </w:r>
      <w:r w:rsidR="00476717" w:rsidRPr="009B21B5">
        <w:rPr>
          <w:rFonts w:cstheme="minorHAnsi"/>
          <w:b/>
          <w:i/>
          <w:lang w:val="nl-BE"/>
        </w:rPr>
        <w:t xml:space="preserve">fruit </w:t>
      </w:r>
      <w:r w:rsidRPr="009B21B5">
        <w:rPr>
          <w:rFonts w:cstheme="minorHAnsi"/>
          <w:lang w:val="nl-BE"/>
        </w:rPr>
        <w:t>worden geteld in de berekening</w:t>
      </w:r>
      <w:r w:rsidR="00476717" w:rsidRPr="009B21B5">
        <w:rPr>
          <w:rFonts w:cstheme="minorHAnsi"/>
          <w:b/>
          <w:i/>
          <w:lang w:val="nl-BE"/>
        </w:rPr>
        <w:t>.</w:t>
      </w:r>
      <w:r w:rsidRPr="009B21B5">
        <w:rPr>
          <w:rFonts w:cstheme="minorHAnsi"/>
          <w:lang w:val="nl-BE"/>
        </w:rPr>
        <w:br/>
        <w:t xml:space="preserve">- </w:t>
      </w:r>
      <w:r w:rsidR="00460123" w:rsidRPr="009B21B5">
        <w:rPr>
          <w:rFonts w:cstheme="minorHAnsi"/>
          <w:b/>
          <w:i/>
          <w:lang w:val="nl-BE"/>
        </w:rPr>
        <w:t xml:space="preserve">kokosmelk </w:t>
      </w:r>
      <w:r w:rsidRPr="009B21B5">
        <w:rPr>
          <w:rFonts w:cstheme="minorHAnsi"/>
          <w:lang w:val="nl-BE"/>
        </w:rPr>
        <w:t xml:space="preserve">(verkregen door extractie of persing van het vruchtvlees van de rijpe kokosnoot) wordt beschouwd als </w:t>
      </w:r>
      <w:r w:rsidR="00D41F1F" w:rsidRPr="009B21B5">
        <w:rPr>
          <w:rFonts w:cstheme="minorHAnsi"/>
          <w:b/>
          <w:i/>
          <w:lang w:val="nl-BE"/>
        </w:rPr>
        <w:t>een voedingsmiddel</w:t>
      </w:r>
      <w:r w:rsidRPr="009B21B5">
        <w:rPr>
          <w:rFonts w:cstheme="minorHAnsi"/>
          <w:lang w:val="nl-BE"/>
        </w:rPr>
        <w:t xml:space="preserve">. Ingrediënten afkomstig van de kokosnoot (bv. kokosextract) kunnen worden beschouwd als </w:t>
      </w:r>
      <w:r w:rsidR="00D41F1F" w:rsidRPr="009B21B5">
        <w:rPr>
          <w:rFonts w:cstheme="minorHAnsi"/>
          <w:b/>
          <w:i/>
          <w:lang w:val="nl-BE"/>
        </w:rPr>
        <w:t>fruit</w:t>
      </w:r>
      <w:r w:rsidRPr="009B21B5">
        <w:rPr>
          <w:rFonts w:cstheme="minorHAnsi"/>
          <w:lang w:val="nl-BE"/>
        </w:rPr>
        <w:t>. Een toevoeging van water wordt echter niet in aanmerking genomen.</w:t>
      </w:r>
    </w:p>
    <w:p w14:paraId="61B19AF2" w14:textId="6162DFFD" w:rsidR="007F2DE8" w:rsidRPr="009B21B5" w:rsidRDefault="00917635" w:rsidP="00917635">
      <w:pPr>
        <w:spacing w:after="0" w:line="264" w:lineRule="auto"/>
        <w:rPr>
          <w:rFonts w:cstheme="minorHAnsi"/>
          <w:lang w:val="nl-BE"/>
        </w:rPr>
      </w:pPr>
      <w:r w:rsidRPr="009B21B5">
        <w:rPr>
          <w:rFonts w:cstheme="minorHAnsi"/>
          <w:lang w:val="nl-BE"/>
        </w:rPr>
        <w:t xml:space="preserve">- </w:t>
      </w:r>
      <w:r w:rsidRPr="009B21B5">
        <w:rPr>
          <w:rFonts w:cstheme="minorHAnsi"/>
          <w:b/>
          <w:i/>
          <w:lang w:val="nl-BE"/>
        </w:rPr>
        <w:t>kokosroom</w:t>
      </w:r>
      <w:r w:rsidRPr="009B21B5">
        <w:rPr>
          <w:rFonts w:cstheme="minorHAnsi"/>
          <w:lang w:val="nl-BE"/>
        </w:rPr>
        <w:t xml:space="preserve"> wordt beschouwd als een </w:t>
      </w:r>
      <w:r w:rsidR="004C415E" w:rsidRPr="009B21B5">
        <w:rPr>
          <w:rFonts w:cstheme="minorHAnsi"/>
          <w:b/>
          <w:i/>
          <w:lang w:val="nl-BE"/>
        </w:rPr>
        <w:t>toegevoegd vet</w:t>
      </w:r>
      <w:r w:rsidRPr="009B21B5">
        <w:rPr>
          <w:rFonts w:cstheme="minorHAnsi"/>
          <w:lang w:val="nl-BE"/>
        </w:rPr>
        <w:t xml:space="preserve">. Ingrediënten afkomstig van de kokosnoot (bv. kokosextract) kunnen worden beschouwd als </w:t>
      </w:r>
      <w:r w:rsidR="00D41F1F" w:rsidRPr="009B21B5">
        <w:rPr>
          <w:rFonts w:cstheme="minorHAnsi"/>
          <w:b/>
          <w:i/>
          <w:lang w:val="nl-BE"/>
        </w:rPr>
        <w:t>fruit</w:t>
      </w:r>
      <w:r w:rsidRPr="009B21B5">
        <w:rPr>
          <w:rFonts w:cstheme="minorHAnsi"/>
          <w:lang w:val="nl-BE"/>
        </w:rPr>
        <w:t>. Een toevoeging van water wordt echter niet in aanmerking genomen.</w:t>
      </w:r>
      <w:r w:rsidRPr="009B21B5">
        <w:rPr>
          <w:rFonts w:cstheme="minorHAnsi"/>
          <w:lang w:val="nl-BE"/>
        </w:rPr>
        <w:br/>
        <w:t xml:space="preserve">- </w:t>
      </w:r>
      <w:r w:rsidR="003D3AD9" w:rsidRPr="009B21B5">
        <w:rPr>
          <w:rFonts w:cstheme="minorHAnsi"/>
          <w:b/>
          <w:i/>
          <w:lang w:val="nl-BE"/>
        </w:rPr>
        <w:t>gedehydrateerde</w:t>
      </w:r>
      <w:r w:rsidRPr="009B21B5">
        <w:rPr>
          <w:rFonts w:cstheme="minorHAnsi"/>
          <w:lang w:val="nl-BE"/>
        </w:rPr>
        <w:t xml:space="preserve"> en </w:t>
      </w:r>
      <w:r w:rsidR="003D3AD9" w:rsidRPr="009B21B5">
        <w:rPr>
          <w:rFonts w:cstheme="minorHAnsi"/>
          <w:b/>
          <w:i/>
          <w:lang w:val="nl-BE"/>
        </w:rPr>
        <w:t>gedroogde</w:t>
      </w:r>
      <w:r w:rsidRPr="009B21B5">
        <w:rPr>
          <w:rFonts w:cstheme="minorHAnsi"/>
          <w:lang w:val="nl-BE"/>
        </w:rPr>
        <w:t xml:space="preserve"> kokosnoot wordt gelijkgesteld met </w:t>
      </w:r>
      <w:r w:rsidR="00D41F1F" w:rsidRPr="009B21B5">
        <w:rPr>
          <w:rFonts w:cstheme="minorHAnsi"/>
          <w:b/>
          <w:i/>
          <w:lang w:val="nl-BE"/>
        </w:rPr>
        <w:t xml:space="preserve">gedroogd fruit. </w:t>
      </w:r>
      <w:r w:rsidRPr="009B21B5">
        <w:rPr>
          <w:rFonts w:cstheme="minorHAnsi"/>
          <w:lang w:val="nl-BE"/>
        </w:rPr>
        <w:t xml:space="preserve">Geraspte en gedroogde kokosnoot wordt beschouwd als </w:t>
      </w:r>
      <w:r w:rsidR="00D41F1F" w:rsidRPr="009B21B5">
        <w:rPr>
          <w:rFonts w:cstheme="minorHAnsi"/>
          <w:b/>
          <w:i/>
          <w:lang w:val="nl-BE"/>
        </w:rPr>
        <w:t>gedroogd fruit.</w:t>
      </w:r>
      <w:r w:rsidRPr="009B21B5">
        <w:rPr>
          <w:rFonts w:cstheme="minorHAnsi"/>
          <w:lang w:val="nl-BE"/>
        </w:rPr>
        <w:br/>
        <w:t>- verder verwerkte kokosnoot telt niet mee in de berekening.</w:t>
      </w:r>
    </w:p>
    <w:p w14:paraId="75921C0A" w14:textId="77777777" w:rsidR="007C6CD8" w:rsidRPr="009B21B5" w:rsidRDefault="007C6CD8" w:rsidP="00AD727F">
      <w:pPr>
        <w:pStyle w:val="Paragraphedeliste"/>
        <w:numPr>
          <w:ilvl w:val="0"/>
          <w:numId w:val="5"/>
        </w:numPr>
        <w:spacing w:before="120" w:after="120" w:line="264" w:lineRule="auto"/>
        <w:contextualSpacing w:val="0"/>
        <w:rPr>
          <w:rFonts w:cstheme="minorHAnsi"/>
          <w:lang w:val="nl-BE"/>
        </w:rPr>
      </w:pPr>
      <w:r w:rsidRPr="009B21B5">
        <w:rPr>
          <w:rFonts w:cstheme="minorHAnsi"/>
          <w:b/>
          <w:lang w:val="nl-BE"/>
        </w:rPr>
        <w:t>Augurken</w:t>
      </w:r>
      <w:r w:rsidRPr="009B21B5">
        <w:rPr>
          <w:rFonts w:cstheme="minorHAnsi"/>
          <w:lang w:val="nl-BE"/>
        </w:rPr>
        <w:t xml:space="preserve"> zijn een variëteit van de CUCUMIS SATIVUS, net zoals de komkommer. Gelet op de plantkundige naam worden ze ondergebracht bij de groenten. </w:t>
      </w:r>
    </w:p>
    <w:p w14:paraId="014A9B94" w14:textId="77777777" w:rsidR="007C6CD8" w:rsidRPr="009B21B5" w:rsidRDefault="007C6CD8" w:rsidP="00AD727F">
      <w:pPr>
        <w:pStyle w:val="Paragraphedeliste"/>
        <w:numPr>
          <w:ilvl w:val="0"/>
          <w:numId w:val="5"/>
        </w:numPr>
        <w:spacing w:before="120" w:after="120" w:line="264" w:lineRule="auto"/>
        <w:contextualSpacing w:val="0"/>
        <w:rPr>
          <w:rFonts w:cstheme="minorHAnsi"/>
          <w:color w:val="548DD4" w:themeColor="text2" w:themeTint="99"/>
          <w:lang w:val="nl-BE"/>
        </w:rPr>
      </w:pPr>
      <w:r w:rsidRPr="009B21B5">
        <w:rPr>
          <w:rFonts w:cstheme="minorHAnsi"/>
          <w:b/>
          <w:lang w:val="nl-BE"/>
        </w:rPr>
        <w:t>Kappers</w:t>
      </w:r>
      <w:r w:rsidRPr="009B21B5">
        <w:rPr>
          <w:rFonts w:cstheme="minorHAnsi"/>
          <w:lang w:val="nl-BE"/>
        </w:rPr>
        <w:t xml:space="preserve"> staan niet in de lijst, ze worden niet meegeteld in de berekening van de groenten.</w:t>
      </w:r>
    </w:p>
    <w:p w14:paraId="6352735D" w14:textId="77777777" w:rsidR="00F6647A" w:rsidRPr="009B21B5" w:rsidRDefault="00F6647A" w:rsidP="00AD727F">
      <w:pPr>
        <w:spacing w:before="120" w:after="120" w:line="264" w:lineRule="auto"/>
        <w:jc w:val="both"/>
        <w:rPr>
          <w:rFonts w:cstheme="minorHAnsi"/>
          <w:b/>
          <w:lang w:val="nl-BE"/>
        </w:rPr>
      </w:pPr>
      <w:r>
        <w:rPr>
          <w:noProof/>
          <w:lang w:eastAsia="nl"/>
        </w:rPr>
        <w:drawing>
          <wp:inline distT="0" distB="0" distL="0" distR="0" wp14:anchorId="55F4E0B4" wp14:editId="291732F2">
            <wp:extent cx="266700" cy="266700"/>
            <wp:effectExtent l="0" t="0" r="0" b="0"/>
            <wp:docPr id="5" name="Image 5" descr="RÃ©sultat de recherche d'images pour &quot;symbo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ymbole attention&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B21B5">
        <w:rPr>
          <w:rFonts w:cstheme="minorHAnsi"/>
          <w:b/>
          <w:lang w:val="nl-BE"/>
        </w:rPr>
        <w:t xml:space="preserve"> Worden niet meegerekend:</w:t>
      </w:r>
    </w:p>
    <w:p w14:paraId="6D20AA0F" w14:textId="58B54651" w:rsidR="00F6647A" w:rsidRPr="009B21B5" w:rsidRDefault="00F6647A" w:rsidP="00AD727F">
      <w:pPr>
        <w:spacing w:before="120" w:after="120" w:line="264" w:lineRule="auto"/>
        <w:jc w:val="both"/>
        <w:rPr>
          <w:rFonts w:cstheme="minorHAnsi"/>
          <w:lang w:val="nl-BE"/>
        </w:rPr>
      </w:pPr>
      <w:r w:rsidRPr="008975E9">
        <w:rPr>
          <w:rFonts w:cstheme="minorHAnsi"/>
          <w:sz w:val="28"/>
          <w:szCs w:val="28"/>
        </w:rPr>
        <w:sym w:font="Wingdings 2" w:char="F04F"/>
      </w:r>
      <w:r w:rsidRPr="009B21B5">
        <w:rPr>
          <w:rFonts w:cstheme="minorHAnsi"/>
          <w:sz w:val="24"/>
          <w:szCs w:val="24"/>
          <w:lang w:val="nl-BE"/>
        </w:rPr>
        <w:t xml:space="preserve"> </w:t>
      </w:r>
      <w:r w:rsidRPr="009B21B5">
        <w:rPr>
          <w:rFonts w:cstheme="minorHAnsi"/>
          <w:b/>
          <w:lang w:val="nl-BE"/>
        </w:rPr>
        <w:t>Knolgewassen</w:t>
      </w:r>
      <w:r w:rsidRPr="009B21B5">
        <w:rPr>
          <w:rFonts w:cstheme="minorHAnsi"/>
          <w:lang w:val="nl-BE"/>
        </w:rPr>
        <w:t xml:space="preserve">, met name aardappelen en andere </w:t>
      </w:r>
      <w:proofErr w:type="spellStart"/>
      <w:r w:rsidRPr="009B21B5">
        <w:rPr>
          <w:rFonts w:cstheme="minorHAnsi"/>
          <w:lang w:val="nl-BE"/>
        </w:rPr>
        <w:t>zetmeelhoudende</w:t>
      </w:r>
      <w:proofErr w:type="spellEnd"/>
      <w:r w:rsidRPr="009B21B5">
        <w:rPr>
          <w:rFonts w:cstheme="minorHAnsi"/>
          <w:lang w:val="nl-BE"/>
        </w:rPr>
        <w:t xml:space="preserve"> groenten (zoals </w:t>
      </w:r>
      <w:proofErr w:type="spellStart"/>
      <w:r w:rsidRPr="009B21B5">
        <w:rPr>
          <w:rFonts w:cstheme="minorHAnsi"/>
          <w:lang w:val="nl-BE"/>
        </w:rPr>
        <w:t>yams</w:t>
      </w:r>
      <w:proofErr w:type="spellEnd"/>
      <w:r w:rsidRPr="009B21B5">
        <w:rPr>
          <w:rFonts w:cstheme="minorHAnsi"/>
          <w:lang w:val="nl-BE"/>
        </w:rPr>
        <w:t xml:space="preserve"> of maniok uit groep 8.34) zijn uitgesloten van de berekening.</w:t>
      </w:r>
    </w:p>
    <w:p w14:paraId="3D578231" w14:textId="3603D5F9" w:rsidR="00101644" w:rsidRPr="009B21B5" w:rsidRDefault="00101644" w:rsidP="00AD727F">
      <w:pPr>
        <w:spacing w:before="120" w:after="120" w:line="264" w:lineRule="auto"/>
        <w:jc w:val="both"/>
        <w:rPr>
          <w:rFonts w:cstheme="minorHAnsi"/>
          <w:b/>
          <w:lang w:val="nl-BE"/>
        </w:rPr>
      </w:pPr>
      <w:r w:rsidRPr="003C4815">
        <w:rPr>
          <w:sz w:val="28"/>
          <w:szCs w:val="28"/>
        </w:rPr>
        <w:sym w:font="Wingdings 2" w:char="F04F"/>
      </w:r>
      <w:r w:rsidRPr="009B21B5">
        <w:rPr>
          <w:sz w:val="28"/>
          <w:szCs w:val="28"/>
          <w:lang w:val="nl-BE"/>
        </w:rPr>
        <w:t xml:space="preserve"> </w:t>
      </w:r>
      <w:r w:rsidRPr="009B21B5">
        <w:rPr>
          <w:b/>
          <w:lang w:val="nl-BE"/>
        </w:rPr>
        <w:t>Bloemsoorten op basis van peulvruchten en maïs</w:t>
      </w:r>
      <w:r w:rsidRPr="009B21B5">
        <w:rPr>
          <w:lang w:val="nl-BE"/>
        </w:rPr>
        <w:t xml:space="preserve"> moeten evenmin worden opgenomen in de berekening voor fruit en groenten.</w:t>
      </w:r>
    </w:p>
    <w:p w14:paraId="1928FFEE" w14:textId="77777777" w:rsidR="00F6647A" w:rsidRPr="009B21B5" w:rsidRDefault="00F6647A" w:rsidP="00AD727F">
      <w:pPr>
        <w:widowControl w:val="0"/>
        <w:spacing w:before="120" w:after="120" w:line="264" w:lineRule="auto"/>
        <w:jc w:val="both"/>
        <w:rPr>
          <w:rFonts w:eastAsia="Arial" w:cstheme="minorHAnsi"/>
          <w:lang w:val="nl-BE"/>
        </w:rPr>
      </w:pPr>
      <w:r w:rsidRPr="008975E9">
        <w:rPr>
          <w:sz w:val="28"/>
          <w:szCs w:val="28"/>
        </w:rPr>
        <w:sym w:font="Wingdings 2" w:char="F04F"/>
      </w:r>
      <w:r w:rsidRPr="009B21B5">
        <w:rPr>
          <w:rFonts w:eastAsia="Arial" w:cstheme="minorHAnsi"/>
          <w:lang w:val="nl-BE"/>
        </w:rPr>
        <w:t xml:space="preserve"> </w:t>
      </w:r>
      <w:proofErr w:type="spellStart"/>
      <w:r w:rsidRPr="009B21B5">
        <w:rPr>
          <w:rFonts w:eastAsia="Arial" w:cstheme="minorHAnsi"/>
          <w:b/>
          <w:lang w:val="nl-BE"/>
        </w:rPr>
        <w:t>Quinoa</w:t>
      </w:r>
      <w:proofErr w:type="spellEnd"/>
      <w:r w:rsidRPr="009B21B5">
        <w:rPr>
          <w:rFonts w:eastAsia="Arial" w:cstheme="minorHAnsi"/>
          <w:lang w:val="nl-BE"/>
        </w:rPr>
        <w:t xml:space="preserve">, waarvan de voedingssamenstelling verwant is aan granen, </w:t>
      </w:r>
      <w:r w:rsidRPr="009B21B5">
        <w:rPr>
          <w:rFonts w:eastAsia="Arial" w:cstheme="minorHAnsi"/>
          <w:u w:val="single"/>
          <w:lang w:val="nl-BE"/>
        </w:rPr>
        <w:t>wordt niet beschouwd als een groente</w:t>
      </w:r>
      <w:r w:rsidRPr="009B21B5">
        <w:rPr>
          <w:rFonts w:eastAsia="Arial" w:cstheme="minorHAnsi"/>
          <w:lang w:val="nl-BE"/>
        </w:rPr>
        <w:t>.</w:t>
      </w:r>
    </w:p>
    <w:p w14:paraId="54EF1850" w14:textId="77777777" w:rsidR="00F6647A" w:rsidRPr="009B21B5" w:rsidRDefault="00F6647A" w:rsidP="00AD727F">
      <w:pPr>
        <w:widowControl w:val="0"/>
        <w:spacing w:before="120" w:after="120" w:line="264" w:lineRule="auto"/>
        <w:jc w:val="both"/>
        <w:rPr>
          <w:rFonts w:eastAsia="Arial" w:cstheme="minorHAnsi"/>
          <w:lang w:val="nl-BE"/>
        </w:rPr>
      </w:pPr>
      <w:r w:rsidRPr="008975E9">
        <w:rPr>
          <w:sz w:val="28"/>
          <w:szCs w:val="28"/>
        </w:rPr>
        <w:lastRenderedPageBreak/>
        <w:sym w:font="Wingdings 2" w:char="F04F"/>
      </w:r>
      <w:r w:rsidRPr="009B21B5">
        <w:rPr>
          <w:rFonts w:eastAsia="Arial" w:cstheme="minorHAnsi"/>
          <w:lang w:val="nl-BE"/>
        </w:rPr>
        <w:t xml:space="preserve"> </w:t>
      </w:r>
      <w:r w:rsidRPr="009B21B5">
        <w:rPr>
          <w:rFonts w:eastAsia="Arial" w:cstheme="minorHAnsi"/>
          <w:b/>
          <w:lang w:val="nl-BE"/>
        </w:rPr>
        <w:t>Kruiden</w:t>
      </w:r>
      <w:r w:rsidRPr="009B21B5">
        <w:rPr>
          <w:rFonts w:eastAsia="Arial" w:cstheme="minorHAnsi"/>
          <w:lang w:val="nl-BE"/>
        </w:rPr>
        <w:t xml:space="preserve"> maken geen deel uit van de generieke Eurocode-groep 8 (groenten) maar wel van groep 4. </w:t>
      </w:r>
    </w:p>
    <w:p w14:paraId="7384A082" w14:textId="77777777" w:rsidR="00F6647A" w:rsidRPr="009B21B5" w:rsidRDefault="00F6647A" w:rsidP="00AD727F">
      <w:pPr>
        <w:widowControl w:val="0"/>
        <w:spacing w:before="120" w:after="120" w:line="264" w:lineRule="auto"/>
        <w:jc w:val="both"/>
        <w:rPr>
          <w:rFonts w:eastAsia="Arial" w:cstheme="minorHAnsi"/>
          <w:lang w:val="nl-BE"/>
        </w:rPr>
      </w:pPr>
      <w:r w:rsidRPr="00917635">
        <w:rPr>
          <w:rFonts w:eastAsia="Arial" w:cstheme="minorHAnsi"/>
          <w:sz w:val="28"/>
          <w:szCs w:val="28"/>
        </w:rPr>
        <w:sym w:font="Wingdings 2" w:char="F04F"/>
      </w:r>
      <w:r w:rsidRPr="009B21B5">
        <w:rPr>
          <w:rFonts w:eastAsia="Arial" w:cstheme="minorHAnsi"/>
          <w:lang w:val="nl-BE"/>
        </w:rPr>
        <w:t xml:space="preserve"> </w:t>
      </w:r>
      <w:proofErr w:type="spellStart"/>
      <w:r w:rsidRPr="009B21B5">
        <w:rPr>
          <w:rFonts w:eastAsia="Arial" w:cstheme="minorHAnsi"/>
          <w:b/>
          <w:lang w:val="nl-BE"/>
        </w:rPr>
        <w:t>Chiazaad</w:t>
      </w:r>
      <w:proofErr w:type="spellEnd"/>
      <w:r w:rsidRPr="009B21B5">
        <w:rPr>
          <w:rFonts w:eastAsia="Arial" w:cstheme="minorHAnsi"/>
          <w:b/>
          <w:lang w:val="nl-BE"/>
        </w:rPr>
        <w:t>, papaverzaad, zonnebloempitten, lijnzaad en pijnboompitten</w:t>
      </w:r>
      <w:r w:rsidRPr="009B21B5">
        <w:rPr>
          <w:rFonts w:eastAsia="Arial" w:cstheme="minorHAnsi"/>
          <w:lang w:val="nl-BE"/>
        </w:rPr>
        <w:t xml:space="preserve"> die behoren tot de Eurocode 7.30 die niet opgenomen is in het FSA-document.</w:t>
      </w:r>
    </w:p>
    <w:p w14:paraId="420E8733" w14:textId="6111C8E5" w:rsidR="003776DD" w:rsidRPr="009B21B5" w:rsidRDefault="003776DD" w:rsidP="00AD727F">
      <w:pPr>
        <w:widowControl w:val="0"/>
        <w:spacing w:before="120" w:after="120" w:line="264" w:lineRule="auto"/>
        <w:jc w:val="both"/>
        <w:rPr>
          <w:rFonts w:eastAsia="Arial" w:cstheme="minorHAnsi"/>
          <w:lang w:val="nl-BE"/>
        </w:rPr>
      </w:pPr>
      <w:r w:rsidRPr="00917635">
        <w:rPr>
          <w:rFonts w:eastAsia="Arial" w:cstheme="minorHAnsi"/>
          <w:sz w:val="28"/>
          <w:szCs w:val="28"/>
        </w:rPr>
        <w:sym w:font="Wingdings 2" w:char="F04F"/>
      </w:r>
      <w:r w:rsidRPr="009B21B5">
        <w:rPr>
          <w:rFonts w:eastAsia="Arial" w:cstheme="minorHAnsi"/>
          <w:lang w:val="nl-BE"/>
        </w:rPr>
        <w:t xml:space="preserve"> </w:t>
      </w:r>
      <w:r w:rsidRPr="009B21B5">
        <w:rPr>
          <w:rFonts w:eastAsia="Arial" w:cstheme="minorHAnsi"/>
          <w:b/>
          <w:lang w:val="nl-BE"/>
        </w:rPr>
        <w:t>De andere voedingsmiddelen die niet op de lijst staan van de eurocodes 9, 8, 7.10, 7.20, 7.40 en 12.20.</w:t>
      </w:r>
    </w:p>
    <w:p w14:paraId="42657FA0" w14:textId="77777777" w:rsidR="00F6647A" w:rsidRPr="009B21B5" w:rsidRDefault="00F6647A" w:rsidP="00AD727F">
      <w:pPr>
        <w:spacing w:before="120" w:after="120" w:line="264" w:lineRule="auto"/>
        <w:jc w:val="both"/>
        <w:rPr>
          <w:rFonts w:cstheme="minorHAnsi"/>
          <w:b/>
          <w:lang w:val="nl-BE"/>
        </w:rPr>
      </w:pPr>
    </w:p>
    <w:p w14:paraId="415807E4" w14:textId="77777777" w:rsidR="005E6044" w:rsidRPr="009B21B5" w:rsidRDefault="00A1775E" w:rsidP="00AD727F">
      <w:pPr>
        <w:spacing w:before="120" w:after="120" w:line="264" w:lineRule="auto"/>
        <w:rPr>
          <w:rFonts w:cstheme="minorHAnsi"/>
          <w:b/>
          <w:smallCaps/>
          <w:color w:val="4F6228" w:themeColor="accent3" w:themeShade="80"/>
          <w:sz w:val="24"/>
          <w:szCs w:val="24"/>
          <w:lang w:val="nl-BE"/>
        </w:rPr>
      </w:pPr>
      <w:r w:rsidRPr="009B21B5">
        <w:rPr>
          <w:rFonts w:cstheme="minorHAnsi"/>
          <w:b/>
          <w:smallCaps/>
          <w:color w:val="4F6228" w:themeColor="accent3" w:themeShade="80"/>
          <w:sz w:val="24"/>
          <w:szCs w:val="24"/>
          <w:lang w:val="nl-BE"/>
        </w:rPr>
        <w:t>2. Berekening van de hoeveelheid fruit, groenten en peulvruchten in verwerkte producten</w:t>
      </w:r>
    </w:p>
    <w:p w14:paraId="6933A013" w14:textId="77777777" w:rsidR="00223EAF" w:rsidRPr="009B21B5" w:rsidRDefault="00223EAF" w:rsidP="00AD727F">
      <w:pPr>
        <w:pStyle w:val="Paragraphedeliste"/>
        <w:numPr>
          <w:ilvl w:val="0"/>
          <w:numId w:val="47"/>
        </w:numPr>
        <w:spacing w:before="120" w:after="120" w:line="264" w:lineRule="auto"/>
        <w:contextualSpacing w:val="0"/>
        <w:rPr>
          <w:rFonts w:cstheme="minorHAnsi"/>
          <w:lang w:val="nl-BE"/>
        </w:rPr>
      </w:pPr>
      <w:r w:rsidRPr="009B21B5">
        <w:rPr>
          <w:rFonts w:cstheme="minorHAnsi"/>
          <w:b/>
          <w:u w:val="single"/>
          <w:lang w:val="nl-BE"/>
        </w:rPr>
        <w:t>Mate van verwerking die aanvaard kan worden voor het meetellen in de berekening</w:t>
      </w:r>
    </w:p>
    <w:p w14:paraId="7C90E878" w14:textId="77777777" w:rsidR="003740AF" w:rsidRPr="009B21B5" w:rsidRDefault="003740AF" w:rsidP="00AD727F">
      <w:pPr>
        <w:spacing w:before="120" w:after="120" w:line="264" w:lineRule="auto"/>
        <w:rPr>
          <w:rFonts w:cstheme="minorHAnsi"/>
          <w:b/>
          <w:i/>
          <w:lang w:val="nl-BE"/>
        </w:rPr>
      </w:pPr>
      <w:r w:rsidRPr="009B21B5">
        <w:rPr>
          <w:rFonts w:cstheme="minorHAnsi"/>
          <w:lang w:val="nl-BE"/>
        </w:rPr>
        <w:t xml:space="preserve">De voordelige gezondheidseffecten van fruit en groenten gelden voor het hele product, </w:t>
      </w:r>
      <w:r w:rsidRPr="009B21B5">
        <w:rPr>
          <w:rFonts w:cstheme="minorHAnsi"/>
          <w:b/>
          <w:lang w:val="nl-BE"/>
        </w:rPr>
        <w:t>inclusief de vitaminen die ze bevatten</w:t>
      </w:r>
      <w:r w:rsidRPr="009B21B5">
        <w:rPr>
          <w:rFonts w:cstheme="minorHAnsi"/>
          <w:lang w:val="nl-BE"/>
        </w:rPr>
        <w:t>.</w:t>
      </w:r>
    </w:p>
    <w:p w14:paraId="5E332F30"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Bij de verwerking kunnen vezels en vitaminen verloren gaan. Bijgevolg zou het onterecht zijn om de ingrediënten die men toevoegt aan voedingsmiddelen om ze zoeter te maken, denken we aan suikers in geconcentreerde vruchtensappen, op dezelfde manier mee te tellen als onbewerkte vruchten en groenten in de berekening van de score.</w:t>
      </w:r>
    </w:p>
    <w:p w14:paraId="6CA63E58" w14:textId="6C741372" w:rsidR="003740AF" w:rsidRPr="009B21B5" w:rsidRDefault="003740AF" w:rsidP="00AD727F">
      <w:pPr>
        <w:spacing w:before="120" w:after="120" w:line="264" w:lineRule="auto"/>
        <w:jc w:val="both"/>
        <w:rPr>
          <w:lang w:val="nl-BE"/>
        </w:rPr>
      </w:pPr>
      <w:r w:rsidRPr="009B21B5">
        <w:rPr>
          <w:rFonts w:cstheme="minorHAnsi"/>
          <w:b/>
          <w:lang w:val="nl-BE"/>
        </w:rPr>
        <w:t>Onverwerkt fruit en onverwerkte groenten (ook gekookte en gedroogde variëteiten) en licht verwerkt fruit en licht verwerkte groenten en peulvruchten (gepeld, versneden, in blik, diepgevroren, in moes, in pulp</w:t>
      </w:r>
      <w:r w:rsidR="000C1EAE" w:rsidRPr="009B21B5">
        <w:rPr>
          <w:lang w:val="nl-BE"/>
        </w:rPr>
        <w:t>,</w:t>
      </w:r>
      <w:r w:rsidR="00D80B80" w:rsidRPr="009B21B5">
        <w:rPr>
          <w:rFonts w:cstheme="minorHAnsi"/>
          <w:b/>
          <w:lang w:val="nl-BE"/>
        </w:rPr>
        <w:t xml:space="preserve"> gegrild, gemarineerd) tellen mee om de score te berekenen. Gegrilde noten mogen ook worden meegeteld.</w:t>
      </w:r>
      <w:r w:rsidR="000C1EAE" w:rsidRPr="009B21B5">
        <w:rPr>
          <w:lang w:val="nl-BE"/>
        </w:rPr>
        <w:t xml:space="preserve"> Ter herinnering, fruit, groenten, peulvruchten, noten en olie tellen slechts mee vanaf een drempel van 40 %.</w:t>
      </w:r>
    </w:p>
    <w:p w14:paraId="204EC6FA" w14:textId="7B838272" w:rsidR="003740AF" w:rsidRPr="009B21B5" w:rsidRDefault="00E75C07" w:rsidP="00AD727F">
      <w:pPr>
        <w:spacing w:before="120" w:after="120" w:line="264" w:lineRule="auto"/>
        <w:jc w:val="both"/>
        <w:rPr>
          <w:rFonts w:cstheme="minorHAnsi"/>
          <w:lang w:val="nl-BE"/>
        </w:rPr>
      </w:pPr>
      <w:r w:rsidRPr="009B21B5">
        <w:rPr>
          <w:rFonts w:cstheme="minorHAnsi"/>
          <w:b/>
          <w:lang w:val="nl-BE"/>
        </w:rPr>
        <w:t>Fruit, groenten en peulvruchten die later nog verwerkt worden (bv. geconcentreerde suikers in fruitsappen, poeders, gekonfijt fruit, fruit in de vorm van sticks, bloem dat een verlies van vocht met zich meebrengt) tellen niet mee. Dus maïs in de vorm van popcorn of soja-eiwit kan niet in aanmerking worden genomen.</w:t>
      </w:r>
      <w:r w:rsidR="00460123" w:rsidRPr="009B21B5">
        <w:rPr>
          <w:rFonts w:cstheme="minorHAnsi"/>
          <w:lang w:val="nl-BE"/>
        </w:rPr>
        <w:t xml:space="preserve"> Wat het frituren betreft, kunnen gefrituurde groenten die dik(gesneden) en deels gedehydrateerd zijn door het frituren worden meegeteld, terwijl chips die dun en volledig gedehydrateerd zijn niet mogen worden meegeteld. </w:t>
      </w:r>
    </w:p>
    <w:p w14:paraId="0254EE75" w14:textId="4E503E25" w:rsidR="00D41F1F" w:rsidRPr="009B21B5" w:rsidRDefault="00D41F1F" w:rsidP="00AD727F">
      <w:pPr>
        <w:spacing w:before="120" w:after="120" w:line="264" w:lineRule="auto"/>
        <w:jc w:val="both"/>
        <w:rPr>
          <w:rFonts w:cstheme="minorHAnsi"/>
          <w:lang w:val="nl-BE"/>
        </w:rPr>
      </w:pPr>
      <w:r w:rsidRPr="009B21B5">
        <w:rPr>
          <w:rFonts w:cstheme="minorHAnsi"/>
          <w:b/>
          <w:lang w:val="nl-BE"/>
        </w:rPr>
        <w:t>Elke toevoeging van ingrediënten die niet meegeteld worden als 'fruit, groenten, peulvruchten, noten en olie' mag niet in aanmerking worden genomen voor de gerelateerde component</w:t>
      </w:r>
      <w:r w:rsidRPr="009B21B5">
        <w:rPr>
          <w:rFonts w:cstheme="minorHAnsi"/>
          <w:lang w:val="nl-BE"/>
        </w:rPr>
        <w:t xml:space="preserve"> (uitgezonderd 100 % </w:t>
      </w:r>
      <w:proofErr w:type="spellStart"/>
      <w:r w:rsidRPr="009B21B5">
        <w:rPr>
          <w:rFonts w:cstheme="minorHAnsi"/>
          <w:lang w:val="nl-BE"/>
        </w:rPr>
        <w:t>reconstituties</w:t>
      </w:r>
      <w:proofErr w:type="spellEnd"/>
      <w:r w:rsidRPr="009B21B5">
        <w:rPr>
          <w:rFonts w:cstheme="minorHAnsi"/>
          <w:lang w:val="nl-BE"/>
        </w:rPr>
        <w:t xml:space="preserve"> van het geconcentreerde product in vruchtensappen en gedehydrateerde groenten). Bijvoorbeeld bij toevoeging van suiker of honing aan vruchten of noten, mogen enkel de vruchten of noten meegeteld worden in het aandeel 'Fruit &amp; groenten'. Zo wordt ook, zoals eerder beschreven, water dat wordt toegevoegd aan kokosmelk om het product te verdunnen niet opgenomen in de component 'Fruit &amp; groenten'.</w:t>
      </w:r>
    </w:p>
    <w:p w14:paraId="4F186165" w14:textId="3D4E7199" w:rsidR="009E5C71" w:rsidRPr="009B21B5" w:rsidRDefault="009E5C71" w:rsidP="00AD727F">
      <w:pPr>
        <w:spacing w:before="120" w:after="120" w:line="264" w:lineRule="auto"/>
        <w:jc w:val="both"/>
        <w:rPr>
          <w:rFonts w:cstheme="minorHAnsi"/>
          <w:lang w:val="nl-BE"/>
        </w:rPr>
      </w:pPr>
      <w:r w:rsidRPr="009B21B5">
        <w:rPr>
          <w:rFonts w:cstheme="minorHAnsi"/>
          <w:lang w:val="nl-BE"/>
        </w:rPr>
        <w:t>Vruchtensap en groenten die in aanmerking kunnen worden genomen voor de berekening van de component 'fruit, groenten, peulvruchten, noten en koolzaad-, noten- en olijfolie' zijn de volgende, in overeenstemming met de Europese richtlijn nr. 2001/112/EG:</w:t>
      </w:r>
    </w:p>
    <w:p w14:paraId="77A17533" w14:textId="34988B22" w:rsidR="009E5C71" w:rsidRPr="009B21B5" w:rsidRDefault="009E5C71" w:rsidP="009E5C71">
      <w:pPr>
        <w:pStyle w:val="Paragraphedeliste"/>
        <w:numPr>
          <w:ilvl w:val="0"/>
          <w:numId w:val="47"/>
        </w:numPr>
        <w:spacing w:before="120" w:after="120" w:line="264" w:lineRule="auto"/>
        <w:jc w:val="both"/>
        <w:rPr>
          <w:rFonts w:cstheme="minorHAnsi"/>
          <w:lang w:val="nl-BE"/>
        </w:rPr>
      </w:pPr>
      <w:r w:rsidRPr="009B21B5">
        <w:rPr>
          <w:rFonts w:cstheme="minorHAnsi"/>
          <w:lang w:val="nl-BE"/>
        </w:rPr>
        <w:t>Vruchtensappen (zoals beschreven in de bijlage I.I.1.a)</w:t>
      </w:r>
    </w:p>
    <w:p w14:paraId="5861ABDC" w14:textId="221261AE" w:rsidR="009E5C71" w:rsidRPr="009B21B5" w:rsidRDefault="009E5C71" w:rsidP="009E5C71">
      <w:pPr>
        <w:pStyle w:val="Paragraphedeliste"/>
        <w:numPr>
          <w:ilvl w:val="0"/>
          <w:numId w:val="47"/>
        </w:numPr>
        <w:spacing w:before="120" w:after="120" w:line="264" w:lineRule="auto"/>
        <w:jc w:val="both"/>
        <w:rPr>
          <w:rFonts w:cstheme="minorHAnsi"/>
          <w:lang w:val="nl-BE"/>
        </w:rPr>
      </w:pPr>
      <w:r w:rsidRPr="009B21B5">
        <w:rPr>
          <w:rFonts w:cstheme="minorHAnsi"/>
          <w:lang w:val="nl-BE"/>
        </w:rPr>
        <w:t>Vruchtensap uit concentraat (zoals beschreven in de bijlage I.I.1.b)</w:t>
      </w:r>
      <w:r w:rsidRPr="009B21B5">
        <w:rPr>
          <w:rFonts w:cstheme="minorHAnsi"/>
          <w:lang w:val="nl-BE"/>
        </w:rPr>
        <w:br/>
      </w:r>
    </w:p>
    <w:p w14:paraId="5021D4DD" w14:textId="00B59286" w:rsidR="009E5C71" w:rsidRPr="009B21B5" w:rsidRDefault="009E5C71" w:rsidP="009E5C71">
      <w:pPr>
        <w:pStyle w:val="Paragraphedeliste"/>
        <w:numPr>
          <w:ilvl w:val="0"/>
          <w:numId w:val="47"/>
        </w:numPr>
        <w:spacing w:before="120" w:after="120" w:line="264" w:lineRule="auto"/>
        <w:jc w:val="both"/>
        <w:rPr>
          <w:rFonts w:cstheme="minorHAnsi"/>
          <w:lang w:val="nl-BE"/>
        </w:rPr>
      </w:pPr>
      <w:r w:rsidRPr="009B21B5">
        <w:rPr>
          <w:rFonts w:cstheme="minorHAnsi"/>
          <w:lang w:val="nl-BE"/>
        </w:rPr>
        <w:t>Vruchtennectar (zoals beschreven in de bijlage I.I.4). Toegevoegde suikers mogen echter niet in aanmerking worden genomen voor de component fruit &amp; groenten.</w:t>
      </w:r>
    </w:p>
    <w:p w14:paraId="31E2B2A3" w14:textId="02026C82" w:rsidR="009E5C71" w:rsidRPr="009B21B5" w:rsidRDefault="009E5C71" w:rsidP="00FB66CE">
      <w:pPr>
        <w:spacing w:before="120" w:after="120" w:line="264" w:lineRule="auto"/>
        <w:jc w:val="both"/>
        <w:rPr>
          <w:rFonts w:cstheme="minorHAnsi"/>
          <w:lang w:val="nl-BE"/>
        </w:rPr>
      </w:pPr>
      <w:r w:rsidRPr="009B21B5">
        <w:rPr>
          <w:rFonts w:cstheme="minorHAnsi"/>
          <w:lang w:val="nl-BE"/>
        </w:rPr>
        <w:t>De overige categorieën zijn uitgesloten van de component ruit &amp; groenten:</w:t>
      </w:r>
    </w:p>
    <w:p w14:paraId="1123ECDB" w14:textId="252611F8" w:rsidR="009E5C71" w:rsidRPr="00F36B59" w:rsidRDefault="009E5C71" w:rsidP="009E5C71">
      <w:pPr>
        <w:pStyle w:val="Paragraphedeliste"/>
        <w:numPr>
          <w:ilvl w:val="0"/>
          <w:numId w:val="58"/>
        </w:numPr>
        <w:spacing w:before="120" w:after="120" w:line="264" w:lineRule="auto"/>
        <w:jc w:val="both"/>
        <w:rPr>
          <w:rFonts w:cstheme="minorHAnsi"/>
        </w:rPr>
      </w:pPr>
      <w:r w:rsidRPr="009B21B5">
        <w:rPr>
          <w:rFonts w:cstheme="minorHAnsi"/>
          <w:lang w:val="nl-BE"/>
        </w:rPr>
        <w:t xml:space="preserve">Geconcentreerd vruchtensap (zoals beschreven in de bijlage I.I.2). </w:t>
      </w:r>
      <w:proofErr w:type="spellStart"/>
      <w:r w:rsidRPr="00F36B59">
        <w:rPr>
          <w:rFonts w:cstheme="minorHAnsi"/>
        </w:rPr>
        <w:t>Enkel</w:t>
      </w:r>
      <w:proofErr w:type="spellEnd"/>
      <w:r w:rsidRPr="00F36B59">
        <w:rPr>
          <w:rFonts w:cstheme="minorHAnsi"/>
        </w:rPr>
        <w:t xml:space="preserve"> 100 % </w:t>
      </w:r>
      <w:proofErr w:type="spellStart"/>
      <w:r w:rsidRPr="00F36B59">
        <w:rPr>
          <w:rFonts w:cstheme="minorHAnsi"/>
        </w:rPr>
        <w:t>reconstitutie</w:t>
      </w:r>
      <w:proofErr w:type="spellEnd"/>
      <w:r w:rsidRPr="00F36B59">
        <w:rPr>
          <w:rFonts w:cstheme="minorHAnsi"/>
        </w:rPr>
        <w:t xml:space="preserve"> </w:t>
      </w:r>
      <w:proofErr w:type="spellStart"/>
      <w:r w:rsidRPr="00F36B59">
        <w:rPr>
          <w:rFonts w:cstheme="minorHAnsi"/>
        </w:rPr>
        <w:t>mag</w:t>
      </w:r>
      <w:proofErr w:type="spellEnd"/>
      <w:r w:rsidRPr="00F36B59">
        <w:rPr>
          <w:rFonts w:cstheme="minorHAnsi"/>
        </w:rPr>
        <w:t xml:space="preserve"> in </w:t>
      </w:r>
      <w:proofErr w:type="spellStart"/>
      <w:r w:rsidRPr="00F36B59">
        <w:rPr>
          <w:rFonts w:cstheme="minorHAnsi"/>
        </w:rPr>
        <w:t>aanmerking</w:t>
      </w:r>
      <w:proofErr w:type="spellEnd"/>
      <w:r w:rsidRPr="00F36B59">
        <w:rPr>
          <w:rFonts w:cstheme="minorHAnsi"/>
        </w:rPr>
        <w:t xml:space="preserve"> </w:t>
      </w:r>
      <w:proofErr w:type="spellStart"/>
      <w:r w:rsidRPr="00F36B59">
        <w:rPr>
          <w:rFonts w:cstheme="minorHAnsi"/>
        </w:rPr>
        <w:t>worden</w:t>
      </w:r>
      <w:proofErr w:type="spellEnd"/>
      <w:r w:rsidRPr="00F36B59">
        <w:rPr>
          <w:rFonts w:cstheme="minorHAnsi"/>
        </w:rPr>
        <w:t xml:space="preserve"> </w:t>
      </w:r>
      <w:proofErr w:type="spellStart"/>
      <w:r w:rsidRPr="00F36B59">
        <w:rPr>
          <w:rFonts w:cstheme="minorHAnsi"/>
        </w:rPr>
        <w:t>genomen</w:t>
      </w:r>
      <w:proofErr w:type="spellEnd"/>
      <w:r w:rsidRPr="00F36B59">
        <w:rPr>
          <w:rFonts w:cstheme="minorHAnsi"/>
        </w:rPr>
        <w:t>.</w:t>
      </w:r>
    </w:p>
    <w:p w14:paraId="5436764B" w14:textId="6C526D0A" w:rsidR="00FB66CE" w:rsidRPr="00F36B59" w:rsidRDefault="00FB66CE" w:rsidP="00FB66CE">
      <w:pPr>
        <w:pStyle w:val="Paragraphedeliste"/>
        <w:numPr>
          <w:ilvl w:val="0"/>
          <w:numId w:val="58"/>
        </w:numPr>
        <w:spacing w:before="120" w:after="120" w:line="264" w:lineRule="auto"/>
        <w:jc w:val="both"/>
        <w:rPr>
          <w:rFonts w:cstheme="minorHAnsi"/>
        </w:rPr>
      </w:pPr>
      <w:r w:rsidRPr="009B21B5">
        <w:rPr>
          <w:rFonts w:cstheme="minorHAnsi"/>
          <w:lang w:val="nl-BE"/>
        </w:rPr>
        <w:lastRenderedPageBreak/>
        <w:t xml:space="preserve">Geconcentreerd vruchtenmoes in het kader van de bereiding van vruchtennectar (zoals beschreven in de bijlage I.I.4). </w:t>
      </w:r>
      <w:proofErr w:type="spellStart"/>
      <w:r w:rsidRPr="00F36B59">
        <w:rPr>
          <w:rFonts w:cstheme="minorHAnsi"/>
        </w:rPr>
        <w:t>Enkel</w:t>
      </w:r>
      <w:proofErr w:type="spellEnd"/>
      <w:r w:rsidRPr="00F36B59">
        <w:rPr>
          <w:rFonts w:cstheme="minorHAnsi"/>
        </w:rPr>
        <w:t xml:space="preserve"> 100 % </w:t>
      </w:r>
      <w:proofErr w:type="spellStart"/>
      <w:r w:rsidRPr="00F36B59">
        <w:rPr>
          <w:rFonts w:cstheme="minorHAnsi"/>
        </w:rPr>
        <w:t>reconstitutie</w:t>
      </w:r>
      <w:proofErr w:type="spellEnd"/>
      <w:r w:rsidRPr="00F36B59">
        <w:rPr>
          <w:rFonts w:cstheme="minorHAnsi"/>
        </w:rPr>
        <w:t xml:space="preserve"> </w:t>
      </w:r>
      <w:proofErr w:type="spellStart"/>
      <w:r w:rsidRPr="00F36B59">
        <w:rPr>
          <w:rFonts w:cstheme="minorHAnsi"/>
        </w:rPr>
        <w:t>mag</w:t>
      </w:r>
      <w:proofErr w:type="spellEnd"/>
      <w:r w:rsidRPr="00F36B59">
        <w:rPr>
          <w:rFonts w:cstheme="minorHAnsi"/>
        </w:rPr>
        <w:t xml:space="preserve"> in </w:t>
      </w:r>
      <w:proofErr w:type="spellStart"/>
      <w:r w:rsidRPr="00F36B59">
        <w:rPr>
          <w:rFonts w:cstheme="minorHAnsi"/>
        </w:rPr>
        <w:t>aanmerking</w:t>
      </w:r>
      <w:proofErr w:type="spellEnd"/>
      <w:r w:rsidRPr="00F36B59">
        <w:rPr>
          <w:rFonts w:cstheme="minorHAnsi"/>
        </w:rPr>
        <w:t xml:space="preserve"> </w:t>
      </w:r>
      <w:proofErr w:type="spellStart"/>
      <w:r w:rsidRPr="00F36B59">
        <w:rPr>
          <w:rFonts w:cstheme="minorHAnsi"/>
        </w:rPr>
        <w:t>worden</w:t>
      </w:r>
      <w:proofErr w:type="spellEnd"/>
      <w:r w:rsidRPr="00F36B59">
        <w:rPr>
          <w:rFonts w:cstheme="minorHAnsi"/>
        </w:rPr>
        <w:t xml:space="preserve"> </w:t>
      </w:r>
      <w:proofErr w:type="spellStart"/>
      <w:r w:rsidRPr="00F36B59">
        <w:rPr>
          <w:rFonts w:cstheme="minorHAnsi"/>
        </w:rPr>
        <w:t>genomen</w:t>
      </w:r>
      <w:proofErr w:type="spellEnd"/>
      <w:r w:rsidRPr="00F36B59">
        <w:rPr>
          <w:rFonts w:cstheme="minorHAnsi"/>
        </w:rPr>
        <w:t>.</w:t>
      </w:r>
    </w:p>
    <w:p w14:paraId="312E134B" w14:textId="15EF104F" w:rsidR="00FB66CE" w:rsidRPr="009B21B5" w:rsidRDefault="00FB66CE" w:rsidP="00FB66CE">
      <w:pPr>
        <w:pStyle w:val="Paragraphedeliste"/>
        <w:numPr>
          <w:ilvl w:val="0"/>
          <w:numId w:val="58"/>
        </w:numPr>
        <w:spacing w:before="120" w:after="120" w:line="264" w:lineRule="auto"/>
        <w:jc w:val="both"/>
        <w:rPr>
          <w:rFonts w:cstheme="minorHAnsi"/>
          <w:lang w:val="nl-BE"/>
        </w:rPr>
      </w:pPr>
      <w:r w:rsidRPr="009B21B5">
        <w:rPr>
          <w:rFonts w:cstheme="minorHAnsi"/>
          <w:lang w:val="nl-BE"/>
        </w:rPr>
        <w:t>Gedehydreerd vruchtensap/vruchtensappoeder (zoals beschreven in de bijlage I.I.3).</w:t>
      </w:r>
    </w:p>
    <w:p w14:paraId="4051CB89" w14:textId="77777777" w:rsidR="00FB66CE" w:rsidRPr="009B21B5" w:rsidRDefault="00FB66CE" w:rsidP="00FB66CE">
      <w:pPr>
        <w:spacing w:before="120" w:after="120" w:line="264" w:lineRule="auto"/>
        <w:jc w:val="both"/>
        <w:rPr>
          <w:rFonts w:cstheme="minorHAnsi"/>
          <w:lang w:val="nl-BE"/>
        </w:rPr>
      </w:pPr>
    </w:p>
    <w:p w14:paraId="0F516F0C" w14:textId="52743846" w:rsidR="00FB66CE" w:rsidRPr="009B21B5" w:rsidRDefault="00FB66CE" w:rsidP="00AD727F">
      <w:pPr>
        <w:spacing w:before="120" w:after="120" w:line="264" w:lineRule="auto"/>
        <w:jc w:val="both"/>
        <w:rPr>
          <w:rFonts w:cstheme="minorHAnsi"/>
          <w:lang w:val="nl-BE"/>
        </w:rPr>
      </w:pPr>
      <w:r w:rsidRPr="009B21B5">
        <w:rPr>
          <w:rFonts w:cstheme="minorHAnsi"/>
          <w:lang w:val="nl-BE"/>
        </w:rPr>
        <w:t>Het sap dat wordt verkregen door verwijdering van al het water mag niet worden meegeteld.</w:t>
      </w:r>
    </w:p>
    <w:p w14:paraId="09342184" w14:textId="4724E41D" w:rsidR="00F326A8" w:rsidRPr="009B21B5" w:rsidRDefault="004B7756" w:rsidP="00AD727F">
      <w:pPr>
        <w:spacing w:before="120" w:after="120" w:line="264" w:lineRule="auto"/>
        <w:jc w:val="both"/>
        <w:rPr>
          <w:rFonts w:cstheme="minorHAnsi"/>
          <w:lang w:val="nl-BE"/>
        </w:rPr>
      </w:pPr>
      <w:r w:rsidRPr="009B21B5">
        <w:rPr>
          <w:rFonts w:cstheme="minorHAnsi"/>
          <w:lang w:val="nl-BE"/>
        </w:rPr>
        <w:t xml:space="preserve">Het fruit- en groentegehalte in dranken die alcoholvrij werden gemaakt mag niet worden meegeteld. Die dranken worden over het algemeen ingedeeld bij de alcoholvrije dranken. Twee voorbeelden daarvan zijn alcoholvrije bieren, of </w:t>
      </w:r>
      <w:proofErr w:type="spellStart"/>
      <w:r w:rsidRPr="009B21B5">
        <w:rPr>
          <w:rFonts w:cstheme="minorHAnsi"/>
          <w:lang w:val="nl-BE"/>
        </w:rPr>
        <w:t>mocktails</w:t>
      </w:r>
      <w:proofErr w:type="spellEnd"/>
      <w:r w:rsidRPr="009B21B5">
        <w:rPr>
          <w:rFonts w:cstheme="minorHAnsi"/>
          <w:lang w:val="nl-BE"/>
        </w:rPr>
        <w:t xml:space="preserve"> van het type alcoholvrije </w:t>
      </w:r>
      <w:proofErr w:type="spellStart"/>
      <w:r w:rsidRPr="009B21B5">
        <w:rPr>
          <w:rFonts w:cstheme="minorHAnsi"/>
          <w:lang w:val="nl-BE"/>
        </w:rPr>
        <w:t>mojito</w:t>
      </w:r>
      <w:proofErr w:type="spellEnd"/>
      <w:r w:rsidRPr="009B21B5">
        <w:rPr>
          <w:rFonts w:cstheme="minorHAnsi"/>
          <w:lang w:val="nl-BE"/>
        </w:rPr>
        <w:t>.</w:t>
      </w:r>
    </w:p>
    <w:p w14:paraId="77D91B45" w14:textId="77777777" w:rsidR="00A30E68" w:rsidRPr="009B21B5" w:rsidRDefault="00A30E68" w:rsidP="00AD727F">
      <w:pPr>
        <w:spacing w:before="120" w:after="120" w:line="264" w:lineRule="auto"/>
        <w:jc w:val="both"/>
        <w:rPr>
          <w:rFonts w:cstheme="minorHAnsi"/>
          <w:lang w:val="nl-BE"/>
        </w:rPr>
      </w:pPr>
    </w:p>
    <w:p w14:paraId="2FF67D60" w14:textId="77777777" w:rsidR="003740AF" w:rsidRPr="009B21B5" w:rsidRDefault="00F326A8" w:rsidP="00AD727F">
      <w:pPr>
        <w:pStyle w:val="Paragraphedeliste"/>
        <w:numPr>
          <w:ilvl w:val="0"/>
          <w:numId w:val="47"/>
        </w:numPr>
        <w:spacing w:before="120" w:after="120" w:line="264" w:lineRule="auto"/>
        <w:contextualSpacing w:val="0"/>
        <w:jc w:val="both"/>
        <w:rPr>
          <w:rFonts w:cstheme="minorHAnsi"/>
          <w:b/>
          <w:u w:val="single"/>
          <w:lang w:val="nl-BE"/>
        </w:rPr>
      </w:pPr>
      <w:r w:rsidRPr="009B21B5">
        <w:rPr>
          <w:rFonts w:cstheme="minorHAnsi"/>
          <w:b/>
          <w:u w:val="single"/>
          <w:lang w:val="nl-BE"/>
        </w:rPr>
        <w:t>Berekening in het geval van verwerkt fruit en verwerkte groenten en peulvruchten</w:t>
      </w:r>
    </w:p>
    <w:p w14:paraId="1E349D1A" w14:textId="77777777" w:rsidR="003740AF" w:rsidRPr="009B21B5" w:rsidRDefault="003740AF" w:rsidP="00AD727F">
      <w:pPr>
        <w:spacing w:before="120" w:after="120" w:line="264" w:lineRule="auto"/>
        <w:rPr>
          <w:rFonts w:cstheme="minorHAnsi"/>
          <w:lang w:val="nl-BE"/>
        </w:rPr>
      </w:pPr>
      <w:r w:rsidRPr="009B21B5">
        <w:rPr>
          <w:rFonts w:cstheme="minorHAnsi"/>
          <w:lang w:val="nl-BE"/>
        </w:rPr>
        <w:t>Voorafgaand onderzoek wijst uit dat:</w:t>
      </w:r>
    </w:p>
    <w:p w14:paraId="637B9E06" w14:textId="77777777" w:rsidR="003740AF" w:rsidRPr="009B21B5" w:rsidRDefault="003740AF" w:rsidP="00AD727F">
      <w:pPr>
        <w:spacing w:after="0" w:line="264" w:lineRule="auto"/>
        <w:rPr>
          <w:rFonts w:cstheme="minorHAnsi"/>
          <w:lang w:val="nl-BE"/>
        </w:rPr>
      </w:pPr>
      <w:r w:rsidRPr="009B21B5">
        <w:rPr>
          <w:rFonts w:cstheme="minorHAnsi"/>
          <w:lang w:val="nl-BE"/>
        </w:rPr>
        <w:t>• 15 tot 20 g gedroogde vruchten en 25-30 g vruchten klaar voor consumptie (semi-gehydrateerd) gelijkstaat met 80 g vers fruit.</w:t>
      </w:r>
    </w:p>
    <w:p w14:paraId="186A3322" w14:textId="77777777" w:rsidR="003740AF" w:rsidRPr="009B21B5" w:rsidRDefault="003740AF" w:rsidP="00AD727F">
      <w:pPr>
        <w:spacing w:after="0" w:line="264" w:lineRule="auto"/>
        <w:rPr>
          <w:rFonts w:cstheme="minorHAnsi"/>
          <w:lang w:val="nl-BE"/>
        </w:rPr>
      </w:pPr>
      <w:r w:rsidRPr="009B21B5">
        <w:rPr>
          <w:rFonts w:cstheme="minorHAnsi"/>
          <w:lang w:val="nl-BE"/>
        </w:rPr>
        <w:t>• 40 g gedroogde peulvruchten te vergelijken is met 80 g verse peulvruchten.</w:t>
      </w:r>
    </w:p>
    <w:p w14:paraId="3D3868DB" w14:textId="77777777" w:rsidR="003740AF" w:rsidRPr="009B21B5" w:rsidRDefault="003740AF" w:rsidP="00AD727F">
      <w:pPr>
        <w:spacing w:after="0" w:line="264" w:lineRule="auto"/>
        <w:rPr>
          <w:rFonts w:cstheme="minorHAnsi"/>
          <w:lang w:val="nl-BE"/>
        </w:rPr>
      </w:pPr>
      <w:r w:rsidRPr="009B21B5">
        <w:rPr>
          <w:rFonts w:cstheme="minorHAnsi"/>
          <w:lang w:val="nl-BE"/>
        </w:rPr>
        <w:t>20 g tomatenconcentraat of 25 g tomatenketchup het equivalent is van 80 g verse tomaat.</w:t>
      </w:r>
    </w:p>
    <w:p w14:paraId="381B7AAB"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Bij de berekening van de voedingsscore moet de hoeveelheid gedroogde of geconcentreerde vruchten, groenten of peulvruchten in een voedingsmiddel bij de berekening van de totale hoeveelheid in 100 g product met andere woorden vermenigvuldigd worden met een standaardfactor. Die procedure kan weliswaar abnormale resultaten opleveren. Een voorbeeld: als de hoeveelheid droog fruit in een 'vruchten- en granenreep' vermenigvuldigd moet worden met 2, dan lijkt het alsof een reep van 75 g met 50 g vruchten een vruchtengehalte heeft van 100/75 = 133 %, ook al bevat de reep 25 g niet-</w:t>
      </w:r>
      <w:proofErr w:type="spellStart"/>
      <w:r w:rsidRPr="009B21B5">
        <w:rPr>
          <w:rFonts w:cstheme="minorHAnsi"/>
          <w:lang w:val="nl-BE"/>
        </w:rPr>
        <w:t>vruchtenhoudende</w:t>
      </w:r>
      <w:proofErr w:type="spellEnd"/>
      <w:r w:rsidRPr="009B21B5">
        <w:rPr>
          <w:rFonts w:cstheme="minorHAnsi"/>
          <w:lang w:val="nl-BE"/>
        </w:rPr>
        <w:t xml:space="preserve"> bestanddelen.</w:t>
      </w:r>
    </w:p>
    <w:p w14:paraId="113DB52F"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Daarom werd overeengekomen om de hoeveelheid gedroogde of geconcentreerde vruchten, groenten of peulvruchten te vermenigvuldigen met een afgesproken waarde en te delen door het gewicht van de bestanddelen die geen fruit of groenten bevatten plus het gewicht van het aanwezige fruit en de aanwezige groenten vermenigvuldigd met de afgesproken waarde. Een multiplicator van 2 wordt als optimaal gezien.</w:t>
      </w:r>
    </w:p>
    <w:p w14:paraId="075C955C" w14:textId="3A1AA642" w:rsidR="003740AF" w:rsidRPr="009B21B5" w:rsidRDefault="003740AF"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lang w:val="nl-BE"/>
        </w:rPr>
      </w:pPr>
      <w:r w:rsidRPr="009B21B5">
        <w:rPr>
          <w:rFonts w:cstheme="minorHAnsi"/>
          <w:lang w:val="nl-BE"/>
        </w:rPr>
        <w:t xml:space="preserve">Bijgevolg, om hun belang in een gezonde voeding niet te overschatten, moet het gewicht van gedroogde of geconcentreerde vruchten, groenten en peulvruchten </w:t>
      </w:r>
      <w:r w:rsidRPr="009B21B5">
        <w:rPr>
          <w:rFonts w:cstheme="minorHAnsi"/>
          <w:b/>
          <w:lang w:val="nl-BE"/>
        </w:rPr>
        <w:t>maal 2</w:t>
      </w:r>
      <w:r w:rsidRPr="009B21B5">
        <w:rPr>
          <w:rFonts w:cstheme="minorHAnsi"/>
          <w:lang w:val="nl-BE"/>
        </w:rPr>
        <w:t xml:space="preserve"> worden gedaan om de hoeveelheid fruit en groenten in 100 g voeding te berekenen.</w:t>
      </w:r>
    </w:p>
    <w:p w14:paraId="5B1B8440" w14:textId="2DF96097" w:rsidR="00A30E68" w:rsidRPr="009B21B5" w:rsidRDefault="00A30E68"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lang w:val="nl-BE"/>
        </w:rPr>
      </w:pPr>
      <w:r w:rsidRPr="009B21B5">
        <w:rPr>
          <w:rFonts w:cstheme="minorHAnsi"/>
          <w:lang w:val="nl-BE"/>
        </w:rPr>
        <w:t xml:space="preserve">Herinnering: geconcentreerd vruchtensap of -moes dat niet voor 100 % </w:t>
      </w:r>
      <w:proofErr w:type="spellStart"/>
      <w:r w:rsidRPr="009B21B5">
        <w:rPr>
          <w:rFonts w:cstheme="minorHAnsi"/>
          <w:lang w:val="nl-BE"/>
        </w:rPr>
        <w:t>gerehydrateerd</w:t>
      </w:r>
      <w:proofErr w:type="spellEnd"/>
      <w:r w:rsidRPr="009B21B5">
        <w:rPr>
          <w:rFonts w:cstheme="minorHAnsi"/>
          <w:lang w:val="nl-BE"/>
        </w:rPr>
        <w:t xml:space="preserve"> is, mag niet worden meegeteld in de component.</w:t>
      </w:r>
    </w:p>
    <w:p w14:paraId="05DA9044" w14:textId="77777777" w:rsidR="003740AF" w:rsidRPr="009B21B5" w:rsidRDefault="003740AF" w:rsidP="00AD727F">
      <w:pPr>
        <w:spacing w:before="120" w:after="120" w:line="264" w:lineRule="auto"/>
        <w:rPr>
          <w:rFonts w:cstheme="minorHAnsi"/>
          <w:i/>
          <w:lang w:val="nl-BE"/>
        </w:rPr>
      </w:pPr>
      <w:r w:rsidRPr="009B21B5">
        <w:rPr>
          <w:rFonts w:cstheme="minorHAnsi"/>
          <w:i/>
          <w:lang w:val="nl-BE"/>
        </w:rPr>
        <w:t>In het bovenstaande voorbeeld levert die vermenigvuldiging met twee van het fruitaandeel in de vruchten- en granenreep het volgende resultaat op:</w:t>
      </w:r>
      <w:r w:rsidRPr="009B21B5">
        <w:rPr>
          <w:rFonts w:cstheme="minorHAnsi"/>
          <w:i/>
          <w:lang w:val="nl-BE"/>
        </w:rPr>
        <w:br/>
        <w:t>(50 x 2) / (25 + (50 x 2)) = 100/125 = 80 %.</w:t>
      </w:r>
      <w:r w:rsidRPr="009B21B5">
        <w:rPr>
          <w:rFonts w:cstheme="minorHAnsi"/>
          <w:i/>
          <w:lang w:val="nl-BE"/>
        </w:rPr>
        <w:br/>
      </w:r>
    </w:p>
    <w:p w14:paraId="2CDD29C4" w14:textId="77777777" w:rsidR="003D3AD9" w:rsidRPr="009B21B5" w:rsidRDefault="003D3AD9" w:rsidP="00AD727F">
      <w:pPr>
        <w:spacing w:before="120" w:after="120" w:line="264" w:lineRule="auto"/>
        <w:jc w:val="both"/>
        <w:rPr>
          <w:rFonts w:cstheme="minorHAnsi"/>
          <w:lang w:val="nl-BE"/>
        </w:rPr>
      </w:pPr>
      <w:r w:rsidRPr="009B21B5">
        <w:rPr>
          <w:rFonts w:eastAsia="Times New Roman" w:cstheme="minorHAnsi"/>
          <w:lang w:val="nl-BE" w:eastAsia="nl"/>
        </w:rPr>
        <w:t>Factor 2 wordt gebruikt ongeacht de concentratiefactor. Het is niet mogelijk om de reconstitutiefactor volgens Richtlijn 2012/122/EG te gebruiken. En ook al staat in de lijst van ingrediënten het gewicht of het percentage aan fruit en groenten/peulvruchten na reconstitutie volgens richtlijn 2012/122/EG, de score moet berekend worden op basis van het geconcentreerde product (vóór reconstitutie) door factor 2 toe te passen.</w:t>
      </w:r>
    </w:p>
    <w:p w14:paraId="531EFC30" w14:textId="4B4167AE" w:rsidR="00AD727F" w:rsidRPr="009B21B5" w:rsidRDefault="003740AF" w:rsidP="00AD727F">
      <w:pPr>
        <w:spacing w:before="120" w:after="120" w:line="264" w:lineRule="auto"/>
        <w:jc w:val="both"/>
        <w:rPr>
          <w:rFonts w:cstheme="minorHAnsi"/>
          <w:lang w:val="nl-BE"/>
        </w:rPr>
      </w:pPr>
      <w:r w:rsidRPr="009B21B5">
        <w:rPr>
          <w:rFonts w:cstheme="minorHAnsi"/>
          <w:lang w:val="nl-BE"/>
        </w:rPr>
        <w:t>De verdubbeling geldt enkel voor bereide concentraten, zoals tomatenpuree. Voor drievoudig geconcentreerde tomatenpuree wordt dezelfde multiplicator van 2 toegepast.</w:t>
      </w:r>
    </w:p>
    <w:p w14:paraId="133E190F" w14:textId="77777777" w:rsidR="00223EAF" w:rsidRPr="009B21B5" w:rsidRDefault="00223EAF" w:rsidP="00AD727F">
      <w:pPr>
        <w:pStyle w:val="Paragraphedeliste"/>
        <w:spacing w:before="120" w:after="120" w:line="264" w:lineRule="auto"/>
        <w:contextualSpacing w:val="0"/>
        <w:rPr>
          <w:rFonts w:cstheme="minorHAnsi"/>
          <w:lang w:val="nl-BE"/>
        </w:rPr>
      </w:pPr>
    </w:p>
    <w:p w14:paraId="505407D9" w14:textId="53E86C3F" w:rsidR="003740AF" w:rsidRPr="009B21B5" w:rsidRDefault="00B12816" w:rsidP="00AD727F">
      <w:pPr>
        <w:spacing w:before="120" w:after="120" w:line="264" w:lineRule="auto"/>
        <w:rPr>
          <w:rFonts w:cstheme="minorHAnsi"/>
          <w:b/>
          <w:smallCaps/>
          <w:color w:val="4F6228" w:themeColor="accent3" w:themeShade="80"/>
          <w:sz w:val="24"/>
          <w:szCs w:val="24"/>
          <w:lang w:val="nl-BE"/>
        </w:rPr>
      </w:pPr>
      <w:r w:rsidRPr="009B21B5">
        <w:rPr>
          <w:rFonts w:cstheme="minorHAnsi"/>
          <w:b/>
          <w:smallCaps/>
          <w:color w:val="4F6228" w:themeColor="accent3" w:themeShade="80"/>
          <w:sz w:val="24"/>
          <w:szCs w:val="24"/>
          <w:lang w:val="nl-BE"/>
        </w:rPr>
        <w:t>3</w:t>
      </w:r>
      <w:r w:rsidR="003740AF" w:rsidRPr="009B21B5">
        <w:rPr>
          <w:rFonts w:cstheme="minorHAnsi"/>
          <w:b/>
          <w:smallCaps/>
          <w:color w:val="4F6228" w:themeColor="accent3" w:themeShade="80"/>
          <w:sz w:val="24"/>
          <w:szCs w:val="24"/>
          <w:lang w:val="nl-BE"/>
        </w:rPr>
        <w:t>. Welke hoeveelheid fruit, groenten, peulvruchten, noten en koolzaad-, noten- en olijfolie moet in aanmerking worden genomen voor de berekening?</w:t>
      </w:r>
    </w:p>
    <w:p w14:paraId="42BE00E6" w14:textId="7D36690C" w:rsidR="003740AF" w:rsidRPr="009B21B5" w:rsidRDefault="00144762" w:rsidP="00AD727F">
      <w:pPr>
        <w:pBdr>
          <w:top w:val="single" w:sz="4" w:space="1" w:color="auto"/>
          <w:left w:val="single" w:sz="4" w:space="4" w:color="auto"/>
          <w:bottom w:val="single" w:sz="4" w:space="1" w:color="auto"/>
          <w:right w:val="single" w:sz="4" w:space="4" w:color="auto"/>
        </w:pBdr>
        <w:spacing w:before="120" w:after="120" w:line="264" w:lineRule="auto"/>
        <w:jc w:val="both"/>
        <w:rPr>
          <w:rFonts w:cstheme="minorHAnsi"/>
          <w:lang w:val="nl-BE"/>
        </w:rPr>
      </w:pPr>
      <w:r w:rsidRPr="009B21B5">
        <w:rPr>
          <w:rFonts w:cstheme="minorHAnsi"/>
          <w:lang w:val="nl-BE"/>
        </w:rPr>
        <w:t>De hoeveelheid fruit, groenten, peulvruchten, noten en koolzaad-, noten- en olijfolie moet in overeenstemming zijn met de in aanmerking genomen waarden voor de uitwerking van de ingrediëntenlijst (zelfs als die hoeveelheden niet expliciet worden vermeld op de verpakking).</w:t>
      </w:r>
    </w:p>
    <w:p w14:paraId="0E355512" w14:textId="77777777" w:rsidR="00B12816" w:rsidRPr="009B21B5" w:rsidRDefault="00B12816" w:rsidP="00AD727F">
      <w:pPr>
        <w:spacing w:before="120" w:after="120" w:line="264" w:lineRule="auto"/>
        <w:rPr>
          <w:rFonts w:cstheme="minorHAnsi"/>
          <w:b/>
          <w:u w:val="single"/>
          <w:lang w:val="nl-BE"/>
        </w:rPr>
      </w:pPr>
    </w:p>
    <w:p w14:paraId="2F0D3B07" w14:textId="77777777" w:rsidR="00223EAF" w:rsidRPr="009B21B5" w:rsidRDefault="00223EAF" w:rsidP="00AD727F">
      <w:pPr>
        <w:spacing w:before="120" w:after="120" w:line="264" w:lineRule="auto"/>
        <w:rPr>
          <w:rFonts w:cstheme="minorHAnsi"/>
          <w:b/>
          <w:u w:val="single"/>
          <w:lang w:val="nl-BE"/>
        </w:rPr>
      </w:pPr>
    </w:p>
    <w:p w14:paraId="299E4AD2" w14:textId="77777777" w:rsidR="00223EAF" w:rsidRPr="009B21B5" w:rsidRDefault="00223EAF" w:rsidP="00AD727F">
      <w:pPr>
        <w:spacing w:before="120" w:after="120" w:line="264" w:lineRule="auto"/>
        <w:rPr>
          <w:rFonts w:cstheme="minorHAnsi"/>
          <w:b/>
          <w:u w:val="single"/>
          <w:lang w:val="nl-BE"/>
        </w:rPr>
      </w:pPr>
    </w:p>
    <w:p w14:paraId="38A91482" w14:textId="77777777" w:rsidR="00223EAF" w:rsidRPr="009B21B5" w:rsidRDefault="00223EAF" w:rsidP="00AD727F">
      <w:pPr>
        <w:spacing w:before="120" w:after="120" w:line="264" w:lineRule="auto"/>
        <w:rPr>
          <w:rFonts w:cstheme="minorHAnsi"/>
          <w:b/>
          <w:u w:val="single"/>
          <w:lang w:val="nl-BE"/>
        </w:rPr>
      </w:pPr>
    </w:p>
    <w:p w14:paraId="49849E3C" w14:textId="77777777" w:rsidR="00223EAF" w:rsidRPr="009B21B5" w:rsidRDefault="00223EAF" w:rsidP="00AD727F">
      <w:pPr>
        <w:spacing w:before="120" w:after="120" w:line="264" w:lineRule="auto"/>
        <w:rPr>
          <w:rFonts w:cstheme="minorHAnsi"/>
          <w:b/>
          <w:u w:val="single"/>
          <w:lang w:val="nl-BE"/>
        </w:rPr>
      </w:pPr>
    </w:p>
    <w:p w14:paraId="7FB749EC" w14:textId="77777777" w:rsidR="00223EAF" w:rsidRPr="009B21B5" w:rsidRDefault="00223EAF" w:rsidP="00AD727F">
      <w:pPr>
        <w:spacing w:before="120" w:after="120" w:line="264" w:lineRule="auto"/>
        <w:rPr>
          <w:rFonts w:cstheme="minorHAnsi"/>
          <w:b/>
          <w:u w:val="single"/>
          <w:lang w:val="nl-BE"/>
        </w:rPr>
      </w:pPr>
    </w:p>
    <w:p w14:paraId="359BD2AE" w14:textId="77777777" w:rsidR="00223EAF" w:rsidRPr="009B21B5" w:rsidRDefault="00223EAF" w:rsidP="00AD727F">
      <w:pPr>
        <w:spacing w:before="120" w:after="120" w:line="264" w:lineRule="auto"/>
        <w:rPr>
          <w:rFonts w:cstheme="minorHAnsi"/>
          <w:b/>
          <w:u w:val="single"/>
          <w:lang w:val="nl-BE"/>
        </w:rPr>
      </w:pPr>
    </w:p>
    <w:p w14:paraId="35EE1F13" w14:textId="77777777" w:rsidR="00223EAF" w:rsidRPr="009B21B5" w:rsidRDefault="00223EAF" w:rsidP="00AD727F">
      <w:pPr>
        <w:spacing w:before="120" w:after="120" w:line="264" w:lineRule="auto"/>
        <w:rPr>
          <w:rFonts w:cstheme="minorHAnsi"/>
          <w:b/>
          <w:u w:val="single"/>
          <w:lang w:val="nl-BE"/>
        </w:rPr>
      </w:pPr>
    </w:p>
    <w:p w14:paraId="0B2AE8C8" w14:textId="77777777" w:rsidR="00223EAF" w:rsidRPr="009B21B5" w:rsidRDefault="00223EAF" w:rsidP="00AD727F">
      <w:pPr>
        <w:spacing w:before="120" w:after="120" w:line="264" w:lineRule="auto"/>
        <w:rPr>
          <w:rFonts w:cstheme="minorHAnsi"/>
          <w:b/>
          <w:u w:val="single"/>
          <w:lang w:val="nl-BE"/>
        </w:rPr>
      </w:pPr>
    </w:p>
    <w:p w14:paraId="08310213" w14:textId="77777777" w:rsidR="00411BF4" w:rsidRPr="009B21B5" w:rsidRDefault="00411BF4" w:rsidP="00AD727F">
      <w:pPr>
        <w:spacing w:before="120" w:after="120" w:line="264" w:lineRule="auto"/>
        <w:rPr>
          <w:rFonts w:cstheme="minorHAnsi"/>
          <w:b/>
          <w:smallCaps/>
          <w:color w:val="4F6228" w:themeColor="accent3" w:themeShade="80"/>
          <w:sz w:val="24"/>
          <w:szCs w:val="24"/>
          <w:lang w:val="nl-BE"/>
        </w:rPr>
      </w:pPr>
    </w:p>
    <w:p w14:paraId="115F8D28" w14:textId="77777777" w:rsidR="003477B9" w:rsidRPr="009B21B5" w:rsidRDefault="003477B9" w:rsidP="00AD727F">
      <w:pPr>
        <w:spacing w:before="120" w:after="120" w:line="264" w:lineRule="auto"/>
        <w:rPr>
          <w:rFonts w:cstheme="minorHAnsi"/>
          <w:b/>
          <w:smallCaps/>
          <w:color w:val="4F6228" w:themeColor="accent3" w:themeShade="80"/>
          <w:sz w:val="24"/>
          <w:szCs w:val="24"/>
          <w:lang w:val="nl-BE"/>
        </w:rPr>
      </w:pPr>
    </w:p>
    <w:p w14:paraId="19B6FC2B" w14:textId="77777777" w:rsidR="00411BF4" w:rsidRPr="009B21B5" w:rsidRDefault="00411BF4" w:rsidP="00AD727F">
      <w:pPr>
        <w:pBdr>
          <w:top w:val="single" w:sz="4" w:space="1" w:color="auto"/>
        </w:pBdr>
        <w:spacing w:before="120" w:after="120" w:line="264" w:lineRule="auto"/>
        <w:jc w:val="center"/>
        <w:rPr>
          <w:rFonts w:cstheme="minorHAnsi"/>
          <w:b/>
          <w:smallCaps/>
          <w:color w:val="000000" w:themeColor="text1"/>
          <w:sz w:val="28"/>
          <w:szCs w:val="24"/>
          <w:lang w:val="nl-BE"/>
        </w:rPr>
      </w:pPr>
    </w:p>
    <w:p w14:paraId="1BF4BFC9" w14:textId="77777777" w:rsidR="003740AF" w:rsidRPr="009B21B5" w:rsidRDefault="003740AF" w:rsidP="00AD727F">
      <w:pPr>
        <w:pBdr>
          <w:top w:val="single" w:sz="4" w:space="1" w:color="auto"/>
        </w:pBdr>
        <w:spacing w:before="120" w:after="120" w:line="264" w:lineRule="auto"/>
        <w:jc w:val="center"/>
        <w:rPr>
          <w:rFonts w:cstheme="minorHAnsi"/>
          <w:lang w:val="nl-BE"/>
        </w:rPr>
      </w:pPr>
      <w:r w:rsidRPr="009B21B5">
        <w:rPr>
          <w:rFonts w:cstheme="minorHAnsi"/>
          <w:b/>
          <w:smallCaps/>
          <w:color w:val="000000" w:themeColor="text1"/>
          <w:sz w:val="28"/>
          <w:szCs w:val="24"/>
          <w:lang w:val="nl-BE"/>
        </w:rPr>
        <w:t>Samenvatting van de aanbevelingen</w:t>
      </w:r>
      <w:r w:rsidRPr="009B21B5">
        <w:rPr>
          <w:rFonts w:cstheme="minorHAnsi"/>
          <w:b/>
          <w:smallCaps/>
          <w:color w:val="4F6228" w:themeColor="accent3" w:themeShade="80"/>
          <w:sz w:val="24"/>
          <w:szCs w:val="24"/>
          <w:lang w:val="nl-BE"/>
        </w:rPr>
        <w:br/>
      </w:r>
    </w:p>
    <w:p w14:paraId="176E4469"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 xml:space="preserve">Het </w:t>
      </w:r>
      <w:r w:rsidR="0069524E" w:rsidRPr="009B21B5">
        <w:rPr>
          <w:rFonts w:cstheme="minorHAnsi"/>
          <w:b/>
          <w:lang w:val="nl-BE"/>
        </w:rPr>
        <w:t>percentage fruit, groenten, peulvruchten, noten en koolzaad-, noten- en olijfolie</w:t>
      </w:r>
      <w:r w:rsidRPr="009B21B5">
        <w:rPr>
          <w:rFonts w:cstheme="minorHAnsi"/>
          <w:lang w:val="nl-BE"/>
        </w:rPr>
        <w:t xml:space="preserve"> in 100 g van een voedingsmiddel wordt als volgt berekend:</w:t>
      </w:r>
    </w:p>
    <w:p w14:paraId="7C432112" w14:textId="77777777" w:rsidR="00411BF4" w:rsidRPr="009B21B5" w:rsidRDefault="00411BF4" w:rsidP="00AD727F">
      <w:pPr>
        <w:spacing w:before="120" w:after="120" w:line="264" w:lineRule="auto"/>
        <w:jc w:val="both"/>
        <w:rPr>
          <w:rFonts w:cstheme="minorHAnsi"/>
          <w:lang w:val="nl-BE"/>
        </w:rPr>
      </w:pPr>
    </w:p>
    <w:p w14:paraId="3658A0D5" w14:textId="77777777" w:rsidR="003740AF" w:rsidRPr="009B21B5" w:rsidRDefault="0069524E" w:rsidP="00AD727F">
      <w:pPr>
        <w:spacing w:before="120" w:after="120" w:line="264" w:lineRule="auto"/>
        <w:rPr>
          <w:rFonts w:cstheme="minorHAnsi"/>
          <w:b/>
          <w:color w:val="948A54" w:themeColor="background2" w:themeShade="80"/>
          <w:lang w:val="nl-BE"/>
        </w:rPr>
      </w:pPr>
      <w:r w:rsidRPr="009B21B5">
        <w:rPr>
          <w:rFonts w:cstheme="minorHAnsi"/>
          <w:b/>
          <w:color w:val="948A54" w:themeColor="background2" w:themeShade="80"/>
          <w:lang w:val="nl-BE"/>
        </w:rPr>
        <w:t xml:space="preserve">% f, g, p, n &amp; o in een product = </w:t>
      </w:r>
    </w:p>
    <w:p w14:paraId="011ED76F" w14:textId="77777777" w:rsidR="003740AF" w:rsidRPr="009B21B5" w:rsidRDefault="003740AF" w:rsidP="00AD727F">
      <w:pPr>
        <w:spacing w:before="120" w:after="120" w:line="264" w:lineRule="auto"/>
        <w:ind w:left="708" w:firstLine="708"/>
        <w:rPr>
          <w:rFonts w:cstheme="minorHAnsi"/>
          <w:b/>
          <w:color w:val="948A54" w:themeColor="background2" w:themeShade="80"/>
          <w:lang w:val="nl-BE"/>
        </w:rPr>
      </w:pPr>
      <w:r w:rsidRPr="009B21B5">
        <w:rPr>
          <w:rFonts w:cstheme="minorHAnsi"/>
          <w:b/>
          <w:color w:val="948A54" w:themeColor="background2" w:themeShade="80"/>
          <w:lang w:val="nl-BE"/>
        </w:rPr>
        <w:t>(Gewicht f, g, p, n &amp; o) + (2 x het gewicht van gedroogd f, gedroogde g, p)</w:t>
      </w:r>
    </w:p>
    <w:p w14:paraId="173B7ED0" w14:textId="77777777" w:rsidR="00F326A8" w:rsidRPr="009B21B5" w:rsidRDefault="003740AF" w:rsidP="00AD727F">
      <w:pPr>
        <w:spacing w:before="120" w:after="120" w:line="264" w:lineRule="auto"/>
        <w:rPr>
          <w:rFonts w:cstheme="minorHAnsi"/>
          <w:b/>
          <w:color w:val="948A54" w:themeColor="background2" w:themeShade="80"/>
          <w:lang w:val="nl-BE"/>
        </w:rPr>
      </w:pPr>
      <w:r w:rsidRPr="009B21B5">
        <w:rPr>
          <w:rFonts w:cstheme="minorHAnsi"/>
          <w:b/>
          <w:color w:val="948A54" w:themeColor="background2" w:themeShade="80"/>
          <w:lang w:val="nl-BE"/>
        </w:rPr>
        <w:t>_________________________________________________________________________________ x 100 (gewicht f, g, p, n &amp; o) + (2 x gewicht gedroogd f, gedroogde g, p) + (gewicht bestanddelen zonder f, g, p, n &amp; o)</w:t>
      </w:r>
    </w:p>
    <w:p w14:paraId="607CC1F6" w14:textId="77777777" w:rsidR="00F326A8" w:rsidRPr="009B21B5" w:rsidRDefault="00F326A8" w:rsidP="00AD727F">
      <w:pPr>
        <w:spacing w:before="120" w:after="120" w:line="264" w:lineRule="auto"/>
        <w:rPr>
          <w:rFonts w:cstheme="minorHAnsi"/>
          <w:lang w:val="nl-BE"/>
        </w:rPr>
      </w:pPr>
    </w:p>
    <w:p w14:paraId="2D29DBE3" w14:textId="77777777" w:rsidR="003740AF" w:rsidRPr="009B21B5" w:rsidRDefault="003740AF" w:rsidP="00AD727F">
      <w:pPr>
        <w:spacing w:before="120" w:after="120" w:line="264" w:lineRule="auto"/>
        <w:rPr>
          <w:rFonts w:cstheme="minorHAnsi"/>
          <w:i/>
          <w:lang w:val="nl-BE"/>
        </w:rPr>
      </w:pPr>
      <w:r w:rsidRPr="009B21B5">
        <w:rPr>
          <w:rFonts w:cstheme="minorHAnsi"/>
          <w:i/>
          <w:lang w:val="nl-BE"/>
        </w:rPr>
        <w:t>f, g, p, n &amp; o: fruit, groenten, peulvruchten, noten en koolzaad-, noten- en olijfolie, met inbegrip van sappen en puree;</w:t>
      </w:r>
    </w:p>
    <w:p w14:paraId="39E569A2" w14:textId="77777777" w:rsidR="0069524E" w:rsidRPr="009B21B5" w:rsidRDefault="00CF308A" w:rsidP="00AD727F">
      <w:pPr>
        <w:spacing w:before="120" w:after="120" w:line="264" w:lineRule="auto"/>
        <w:rPr>
          <w:rFonts w:cstheme="minorHAnsi"/>
          <w:strike/>
          <w:lang w:val="nl-BE"/>
        </w:rPr>
      </w:pPr>
      <w:r w:rsidRPr="009B21B5">
        <w:rPr>
          <w:rFonts w:cstheme="minorHAnsi"/>
          <w:i/>
          <w:lang w:val="nl-BE"/>
        </w:rPr>
        <w:t>Gedroogd f, gedroogde g, p: omvat ook groenteconcentraat.</w:t>
      </w:r>
      <w:r w:rsidR="003740AF" w:rsidRPr="009B21B5">
        <w:rPr>
          <w:rFonts w:cstheme="minorHAnsi"/>
          <w:lang w:val="nl-BE"/>
        </w:rPr>
        <w:br/>
      </w:r>
    </w:p>
    <w:p w14:paraId="31124159" w14:textId="77777777" w:rsidR="003740AF" w:rsidRPr="009B21B5" w:rsidRDefault="0069524E" w:rsidP="00AD727F">
      <w:pPr>
        <w:pStyle w:val="Paragraphedeliste"/>
        <w:numPr>
          <w:ilvl w:val="0"/>
          <w:numId w:val="42"/>
        </w:numPr>
        <w:spacing w:before="120" w:after="120" w:line="264" w:lineRule="auto"/>
        <w:contextualSpacing w:val="0"/>
        <w:rPr>
          <w:rFonts w:cstheme="minorHAnsi"/>
          <w:b/>
          <w:sz w:val="24"/>
          <w:lang w:val="nl-BE"/>
        </w:rPr>
      </w:pPr>
      <w:r w:rsidRPr="009B21B5">
        <w:rPr>
          <w:rFonts w:cstheme="minorHAnsi"/>
          <w:b/>
          <w:sz w:val="24"/>
          <w:lang w:val="nl-BE"/>
        </w:rPr>
        <w:t>Lijst van voedingsmiddelen die meetellen bij de berekening van de score</w:t>
      </w:r>
    </w:p>
    <w:p w14:paraId="2461B07A" w14:textId="77777777" w:rsidR="0069524E" w:rsidRPr="009B21B5" w:rsidRDefault="00CF1810" w:rsidP="00AD727F">
      <w:pPr>
        <w:widowControl w:val="0"/>
        <w:spacing w:before="120" w:after="120" w:line="264" w:lineRule="auto"/>
        <w:jc w:val="both"/>
        <w:rPr>
          <w:rFonts w:eastAsia="Arial" w:cstheme="minorHAnsi"/>
          <w:b/>
          <w:u w:val="single"/>
          <w:lang w:val="nl-BE"/>
        </w:rPr>
      </w:pPr>
      <w:r w:rsidRPr="009B21B5">
        <w:rPr>
          <w:rFonts w:eastAsia="Arial" w:cstheme="minorHAnsi"/>
          <w:b/>
          <w:u w:val="single"/>
          <w:lang w:val="nl-BE"/>
        </w:rPr>
        <w:t>De groep 'fruit, groenten en peulvruchten' omvat alle producten uit de families van:</w:t>
      </w:r>
    </w:p>
    <w:p w14:paraId="52BBF430" w14:textId="77777777" w:rsidR="00223EAF" w:rsidRPr="004674A3" w:rsidRDefault="00223EAF" w:rsidP="00AD727F">
      <w:pPr>
        <w:widowControl w:val="0"/>
        <w:spacing w:after="0" w:line="264" w:lineRule="auto"/>
        <w:rPr>
          <w:rFonts w:eastAsia="Arial" w:cstheme="minorHAnsi"/>
          <w:lang w:val="en-US"/>
        </w:rPr>
      </w:pPr>
      <w:r w:rsidRPr="0080399F">
        <w:rPr>
          <w:rFonts w:eastAsia="Arial" w:cstheme="minorHAnsi"/>
          <w:b/>
        </w:rPr>
        <w:t xml:space="preserve">Fruit: </w:t>
      </w:r>
    </w:p>
    <w:p w14:paraId="0F93B44D" w14:textId="77777777" w:rsidR="00223EAF" w:rsidRDefault="00223EAF" w:rsidP="00AD727F">
      <w:pPr>
        <w:widowControl w:val="0"/>
        <w:numPr>
          <w:ilvl w:val="0"/>
          <w:numId w:val="43"/>
        </w:numPr>
        <w:spacing w:after="0" w:line="264" w:lineRule="auto"/>
        <w:ind w:left="714" w:hanging="357"/>
        <w:rPr>
          <w:rFonts w:eastAsia="Arial" w:cstheme="minorHAnsi"/>
        </w:rPr>
      </w:pPr>
      <w:r w:rsidRPr="004674A3">
        <w:rPr>
          <w:rFonts w:eastAsia="Arial" w:cstheme="minorHAnsi"/>
        </w:rPr>
        <w:lastRenderedPageBreak/>
        <w:t xml:space="preserve">Diverse </w:t>
      </w:r>
      <w:proofErr w:type="spellStart"/>
      <w:r w:rsidRPr="004674A3">
        <w:rPr>
          <w:rFonts w:eastAsia="Arial" w:cstheme="minorHAnsi"/>
        </w:rPr>
        <w:t>pruimsoorten</w:t>
      </w:r>
      <w:proofErr w:type="spellEnd"/>
      <w:r w:rsidRPr="004674A3">
        <w:rPr>
          <w:rFonts w:eastAsia="Arial" w:cstheme="minorHAnsi"/>
        </w:rPr>
        <w:t xml:space="preserve">; </w:t>
      </w:r>
    </w:p>
    <w:p w14:paraId="30789FCD" w14:textId="77777777" w:rsidR="00223EAF" w:rsidRPr="004674A3" w:rsidRDefault="00223EAF" w:rsidP="00AD727F">
      <w:pPr>
        <w:widowControl w:val="0"/>
        <w:numPr>
          <w:ilvl w:val="0"/>
          <w:numId w:val="43"/>
        </w:numPr>
        <w:spacing w:after="0" w:line="264" w:lineRule="auto"/>
        <w:ind w:left="714" w:hanging="357"/>
        <w:rPr>
          <w:rFonts w:eastAsia="Arial" w:cstheme="minorHAnsi"/>
        </w:rPr>
      </w:pPr>
      <w:proofErr w:type="spellStart"/>
      <w:r w:rsidRPr="004674A3">
        <w:rPr>
          <w:rFonts w:eastAsia="Arial" w:cstheme="minorHAnsi"/>
        </w:rPr>
        <w:t>Appelen</w:t>
      </w:r>
      <w:proofErr w:type="spellEnd"/>
      <w:r w:rsidRPr="004674A3">
        <w:rPr>
          <w:rFonts w:eastAsia="Arial" w:cstheme="minorHAnsi"/>
        </w:rPr>
        <w:t xml:space="preserve">, </w:t>
      </w:r>
      <w:proofErr w:type="spellStart"/>
      <w:r w:rsidRPr="004674A3">
        <w:rPr>
          <w:rFonts w:eastAsia="Arial" w:cstheme="minorHAnsi"/>
        </w:rPr>
        <w:t>peren</w:t>
      </w:r>
      <w:proofErr w:type="spellEnd"/>
      <w:r w:rsidRPr="004674A3">
        <w:rPr>
          <w:rFonts w:eastAsia="Arial" w:cstheme="minorHAnsi"/>
        </w:rPr>
        <w:t xml:space="preserve">, </w:t>
      </w:r>
      <w:proofErr w:type="spellStart"/>
      <w:r w:rsidRPr="004674A3">
        <w:rPr>
          <w:rFonts w:eastAsia="Arial" w:cstheme="minorHAnsi"/>
        </w:rPr>
        <w:t>kweeperen</w:t>
      </w:r>
      <w:proofErr w:type="spellEnd"/>
      <w:r w:rsidRPr="004674A3">
        <w:rPr>
          <w:rFonts w:eastAsia="Arial" w:cstheme="minorHAnsi"/>
        </w:rPr>
        <w:t xml:space="preserve">, </w:t>
      </w:r>
      <w:proofErr w:type="spellStart"/>
      <w:r w:rsidRPr="004674A3">
        <w:rPr>
          <w:rFonts w:eastAsia="Arial" w:cstheme="minorHAnsi"/>
        </w:rPr>
        <w:t>mispel</w:t>
      </w:r>
      <w:proofErr w:type="spellEnd"/>
      <w:r w:rsidRPr="004674A3">
        <w:rPr>
          <w:rFonts w:eastAsia="Arial" w:cstheme="minorHAnsi"/>
        </w:rPr>
        <w:t xml:space="preserve"> ...;</w:t>
      </w:r>
    </w:p>
    <w:p w14:paraId="1E974D4C" w14:textId="77777777" w:rsidR="00223EAF" w:rsidRPr="0080399F" w:rsidRDefault="00223EAF" w:rsidP="00AD727F">
      <w:pPr>
        <w:widowControl w:val="0"/>
        <w:numPr>
          <w:ilvl w:val="0"/>
          <w:numId w:val="43"/>
        </w:numPr>
        <w:spacing w:after="0" w:line="264" w:lineRule="auto"/>
        <w:ind w:left="714" w:hanging="357"/>
        <w:rPr>
          <w:rFonts w:eastAsia="Arial" w:cstheme="minorHAnsi"/>
          <w:lang w:val="en-US"/>
        </w:rPr>
      </w:pPr>
      <w:proofErr w:type="spellStart"/>
      <w:r w:rsidRPr="0080399F">
        <w:rPr>
          <w:rFonts w:eastAsia="Arial" w:cstheme="minorHAnsi"/>
          <w:lang w:val="en-US"/>
        </w:rPr>
        <w:t>Dadels</w:t>
      </w:r>
      <w:proofErr w:type="spellEnd"/>
      <w:r w:rsidRPr="0080399F">
        <w:rPr>
          <w:rFonts w:eastAsia="Arial" w:cstheme="minorHAnsi"/>
          <w:lang w:val="en-US"/>
        </w:rPr>
        <w:t>, lychees, kaki;</w:t>
      </w:r>
    </w:p>
    <w:p w14:paraId="2D7D1D93" w14:textId="77777777" w:rsidR="00223EAF" w:rsidRPr="009B21B5" w:rsidRDefault="00223EAF" w:rsidP="00AD727F">
      <w:pPr>
        <w:widowControl w:val="0"/>
        <w:numPr>
          <w:ilvl w:val="0"/>
          <w:numId w:val="43"/>
        </w:numPr>
        <w:spacing w:after="0" w:line="264" w:lineRule="auto"/>
        <w:ind w:left="714" w:hanging="357"/>
        <w:rPr>
          <w:rFonts w:eastAsia="Arial" w:cstheme="minorHAnsi"/>
          <w:lang w:val="de-DE"/>
        </w:rPr>
      </w:pPr>
      <w:proofErr w:type="spellStart"/>
      <w:r w:rsidRPr="009B21B5">
        <w:rPr>
          <w:rFonts w:eastAsia="Arial" w:cstheme="minorHAnsi"/>
          <w:lang w:val="de-DE"/>
        </w:rPr>
        <w:t>Bessen</w:t>
      </w:r>
      <w:proofErr w:type="spellEnd"/>
      <w:r w:rsidRPr="009B21B5">
        <w:rPr>
          <w:rFonts w:eastAsia="Arial" w:cstheme="minorHAnsi"/>
          <w:lang w:val="de-DE"/>
        </w:rPr>
        <w:t xml:space="preserve">, </w:t>
      </w:r>
      <w:proofErr w:type="spellStart"/>
      <w:r w:rsidRPr="009B21B5">
        <w:rPr>
          <w:rFonts w:eastAsia="Arial" w:cstheme="minorHAnsi"/>
          <w:lang w:val="de-DE"/>
        </w:rPr>
        <w:t>druiven</w:t>
      </w:r>
      <w:proofErr w:type="spellEnd"/>
      <w:r w:rsidRPr="009B21B5">
        <w:rPr>
          <w:rFonts w:eastAsia="Arial" w:cstheme="minorHAnsi"/>
          <w:lang w:val="de-DE"/>
        </w:rPr>
        <w:t xml:space="preserve">, </w:t>
      </w:r>
      <w:proofErr w:type="spellStart"/>
      <w:r w:rsidRPr="009B21B5">
        <w:rPr>
          <w:rFonts w:eastAsia="Arial" w:cstheme="minorHAnsi"/>
          <w:lang w:val="de-DE"/>
        </w:rPr>
        <w:t>kersen</w:t>
      </w:r>
      <w:proofErr w:type="spellEnd"/>
      <w:r w:rsidRPr="009B21B5">
        <w:rPr>
          <w:rFonts w:eastAsia="Arial" w:cstheme="minorHAnsi"/>
          <w:lang w:val="de-DE"/>
        </w:rPr>
        <w:t xml:space="preserve">, </w:t>
      </w:r>
      <w:proofErr w:type="spellStart"/>
      <w:r w:rsidRPr="009B21B5">
        <w:rPr>
          <w:rFonts w:eastAsia="Arial" w:cstheme="minorHAnsi"/>
          <w:lang w:val="de-DE"/>
        </w:rPr>
        <w:t>zwarte</w:t>
      </w:r>
      <w:proofErr w:type="spellEnd"/>
      <w:r w:rsidRPr="009B21B5">
        <w:rPr>
          <w:rFonts w:eastAsia="Arial" w:cstheme="minorHAnsi"/>
          <w:lang w:val="de-DE"/>
        </w:rPr>
        <w:t xml:space="preserve"> </w:t>
      </w:r>
      <w:proofErr w:type="spellStart"/>
      <w:r w:rsidRPr="009B21B5">
        <w:rPr>
          <w:rFonts w:eastAsia="Arial" w:cstheme="minorHAnsi"/>
          <w:lang w:val="de-DE"/>
        </w:rPr>
        <w:t>bessen</w:t>
      </w:r>
      <w:proofErr w:type="spellEnd"/>
      <w:r w:rsidRPr="009B21B5">
        <w:rPr>
          <w:rFonts w:eastAsia="Arial" w:cstheme="minorHAnsi"/>
          <w:lang w:val="de-DE"/>
        </w:rPr>
        <w:t xml:space="preserve">, </w:t>
      </w:r>
      <w:proofErr w:type="spellStart"/>
      <w:r w:rsidRPr="009B21B5">
        <w:rPr>
          <w:rFonts w:eastAsia="Arial" w:cstheme="minorHAnsi"/>
          <w:lang w:val="de-DE"/>
        </w:rPr>
        <w:t>aardbeien</w:t>
      </w:r>
      <w:proofErr w:type="spellEnd"/>
      <w:r w:rsidRPr="009B21B5">
        <w:rPr>
          <w:rFonts w:eastAsia="Arial" w:cstheme="minorHAnsi"/>
          <w:lang w:val="de-DE"/>
        </w:rPr>
        <w:t xml:space="preserve">, </w:t>
      </w:r>
      <w:proofErr w:type="spellStart"/>
      <w:r w:rsidRPr="009B21B5">
        <w:rPr>
          <w:rFonts w:eastAsia="Arial" w:cstheme="minorHAnsi"/>
          <w:lang w:val="de-DE"/>
        </w:rPr>
        <w:t>aalbessen</w:t>
      </w:r>
      <w:proofErr w:type="spellEnd"/>
      <w:r w:rsidRPr="009B21B5">
        <w:rPr>
          <w:rFonts w:eastAsia="Arial" w:cstheme="minorHAnsi"/>
          <w:lang w:val="de-DE"/>
        </w:rPr>
        <w:t xml:space="preserve">, </w:t>
      </w:r>
      <w:proofErr w:type="spellStart"/>
      <w:r w:rsidRPr="009B21B5">
        <w:rPr>
          <w:rFonts w:eastAsia="Arial" w:cstheme="minorHAnsi"/>
          <w:lang w:val="de-DE"/>
        </w:rPr>
        <w:t>braambessen</w:t>
      </w:r>
      <w:proofErr w:type="spellEnd"/>
      <w:r w:rsidRPr="009B21B5">
        <w:rPr>
          <w:rFonts w:eastAsia="Arial" w:cstheme="minorHAnsi"/>
          <w:lang w:val="de-DE"/>
        </w:rPr>
        <w:t xml:space="preserve">, </w:t>
      </w:r>
      <w:proofErr w:type="spellStart"/>
      <w:r w:rsidRPr="009B21B5">
        <w:rPr>
          <w:rFonts w:eastAsia="Arial" w:cstheme="minorHAnsi"/>
          <w:lang w:val="de-DE"/>
        </w:rPr>
        <w:t>veenbessen</w:t>
      </w:r>
      <w:proofErr w:type="spellEnd"/>
      <w:r w:rsidRPr="009B21B5">
        <w:rPr>
          <w:rFonts w:eastAsia="Arial" w:cstheme="minorHAnsi"/>
          <w:lang w:val="de-DE"/>
        </w:rPr>
        <w:t xml:space="preserve">, </w:t>
      </w:r>
      <w:proofErr w:type="spellStart"/>
      <w:r w:rsidRPr="009B21B5">
        <w:rPr>
          <w:rFonts w:eastAsia="Arial" w:cstheme="minorHAnsi"/>
          <w:lang w:val="de-DE"/>
        </w:rPr>
        <w:t>bosbessen</w:t>
      </w:r>
      <w:proofErr w:type="spellEnd"/>
      <w:r w:rsidRPr="009B21B5">
        <w:rPr>
          <w:rFonts w:eastAsia="Arial" w:cstheme="minorHAnsi"/>
          <w:lang w:val="de-DE"/>
        </w:rPr>
        <w:t xml:space="preserve"> ...; </w:t>
      </w:r>
    </w:p>
    <w:p w14:paraId="33E45663" w14:textId="77777777" w:rsidR="00223EAF" w:rsidRPr="009B21B5" w:rsidRDefault="00223EAF" w:rsidP="00AD727F">
      <w:pPr>
        <w:widowControl w:val="0"/>
        <w:numPr>
          <w:ilvl w:val="0"/>
          <w:numId w:val="43"/>
        </w:numPr>
        <w:spacing w:after="0" w:line="264" w:lineRule="auto"/>
        <w:ind w:left="714" w:hanging="357"/>
        <w:rPr>
          <w:rFonts w:eastAsia="Arial" w:cstheme="minorHAnsi"/>
          <w:lang w:val="nl-BE"/>
        </w:rPr>
      </w:pPr>
      <w:r w:rsidRPr="009B21B5">
        <w:rPr>
          <w:rFonts w:eastAsia="Arial" w:cstheme="minorHAnsi"/>
          <w:lang w:val="nl-BE"/>
        </w:rPr>
        <w:t>Citrusvruchten: citroen, sinaasappel, pompelmoes, kumquat, clementine ...</w:t>
      </w:r>
    </w:p>
    <w:p w14:paraId="59D2E077" w14:textId="77777777" w:rsidR="00223EAF" w:rsidRPr="009B21B5" w:rsidRDefault="00223EAF" w:rsidP="00AD727F">
      <w:pPr>
        <w:widowControl w:val="0"/>
        <w:numPr>
          <w:ilvl w:val="0"/>
          <w:numId w:val="43"/>
        </w:numPr>
        <w:spacing w:after="0" w:line="264" w:lineRule="auto"/>
        <w:ind w:left="714" w:hanging="357"/>
        <w:rPr>
          <w:rFonts w:eastAsia="Arial" w:cstheme="minorHAnsi"/>
          <w:lang w:val="nl-BE"/>
        </w:rPr>
      </w:pPr>
      <w:r w:rsidRPr="009B21B5">
        <w:rPr>
          <w:rFonts w:eastAsia="Arial" w:cstheme="minorHAnsi"/>
          <w:lang w:val="nl-BE"/>
        </w:rPr>
        <w:t xml:space="preserve">Bananen, kiwi's, ananas, meloenen, vijgen, mango, passievrucht, guave, papaja, granaatappel, </w:t>
      </w:r>
      <w:proofErr w:type="spellStart"/>
      <w:r w:rsidRPr="009B21B5">
        <w:rPr>
          <w:rFonts w:eastAsia="Arial" w:cstheme="minorHAnsi"/>
          <w:lang w:val="nl-BE"/>
        </w:rPr>
        <w:t>anacardium</w:t>
      </w:r>
      <w:proofErr w:type="spellEnd"/>
      <w:r w:rsidRPr="009B21B5">
        <w:rPr>
          <w:rFonts w:eastAsia="Arial" w:cstheme="minorHAnsi"/>
          <w:lang w:val="nl-BE"/>
        </w:rPr>
        <w:t xml:space="preserve">, stervrucht, doerian, </w:t>
      </w:r>
      <w:proofErr w:type="spellStart"/>
      <w:r w:rsidRPr="009B21B5">
        <w:rPr>
          <w:rFonts w:eastAsia="Arial" w:cstheme="minorHAnsi"/>
          <w:lang w:val="nl-BE"/>
        </w:rPr>
        <w:t>ramboetan</w:t>
      </w:r>
      <w:proofErr w:type="spellEnd"/>
      <w:r w:rsidRPr="009B21B5">
        <w:rPr>
          <w:rFonts w:eastAsia="Arial" w:cstheme="minorHAnsi"/>
          <w:lang w:val="nl-BE"/>
        </w:rPr>
        <w:t xml:space="preserve">, suikerappel, cactusvijg, </w:t>
      </w:r>
      <w:proofErr w:type="spellStart"/>
      <w:r w:rsidRPr="009B21B5">
        <w:rPr>
          <w:rFonts w:eastAsia="Arial" w:cstheme="minorHAnsi"/>
          <w:lang w:val="nl-BE"/>
        </w:rPr>
        <w:t>sapotille</w:t>
      </w:r>
      <w:proofErr w:type="spellEnd"/>
      <w:r w:rsidRPr="009B21B5">
        <w:rPr>
          <w:rFonts w:eastAsia="Arial" w:cstheme="minorHAnsi"/>
          <w:lang w:val="nl-BE"/>
        </w:rPr>
        <w:t>, broodboomvrucht, boomtomaat, tamarinde</w:t>
      </w:r>
    </w:p>
    <w:p w14:paraId="09FA2088" w14:textId="77777777" w:rsidR="0069524E" w:rsidRPr="0080399F" w:rsidRDefault="0069524E" w:rsidP="00AD727F">
      <w:pPr>
        <w:widowControl w:val="0"/>
        <w:spacing w:after="0" w:line="264" w:lineRule="auto"/>
        <w:rPr>
          <w:rFonts w:eastAsia="Arial" w:cstheme="minorHAnsi"/>
          <w:lang w:val="en-US"/>
        </w:rPr>
      </w:pPr>
      <w:r w:rsidRPr="009B21B5">
        <w:rPr>
          <w:rFonts w:eastAsia="Arial" w:cstheme="minorHAnsi"/>
          <w:lang w:val="nl-BE"/>
        </w:rPr>
        <w:br/>
      </w:r>
      <w:proofErr w:type="spellStart"/>
      <w:r w:rsidRPr="0080399F">
        <w:rPr>
          <w:rFonts w:eastAsia="Arial" w:cstheme="minorHAnsi"/>
          <w:b/>
          <w:lang w:val="en-US"/>
        </w:rPr>
        <w:t>Groenten</w:t>
      </w:r>
      <w:proofErr w:type="spellEnd"/>
      <w:r w:rsidRPr="0080399F">
        <w:rPr>
          <w:rFonts w:eastAsia="Arial" w:cstheme="minorHAnsi"/>
          <w:lang w:val="en-US"/>
        </w:rPr>
        <w:t xml:space="preserve">: </w:t>
      </w:r>
      <w:r w:rsidRPr="0080399F">
        <w:rPr>
          <w:rFonts w:eastAsia="Arial" w:cstheme="minorHAnsi"/>
          <w:lang w:val="en-US"/>
        </w:rPr>
        <w:tab/>
      </w:r>
    </w:p>
    <w:p w14:paraId="5BBEB914"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Bladgroenten: andijvie, sla (alle soorten: kropsla, rucola, krulsla ...), spinazie, veldsla, molsla, netel, bietenloof, zuring ...;</w:t>
      </w:r>
    </w:p>
    <w:p w14:paraId="3ECF0C88"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 xml:space="preserve">Kruisbloemigen (kool (diverse soorten: bloemkool, rodekool, spruitjes, witte kool, groene kool, Chinese kool, waterkers, radijsjes, broccoli ...)); </w:t>
      </w:r>
    </w:p>
    <w:p w14:paraId="28209633" w14:textId="77777777" w:rsidR="0069524E" w:rsidRPr="0080399F" w:rsidRDefault="0069524E" w:rsidP="00AD727F">
      <w:pPr>
        <w:widowControl w:val="0"/>
        <w:numPr>
          <w:ilvl w:val="0"/>
          <w:numId w:val="44"/>
        </w:numPr>
        <w:spacing w:after="0" w:line="264" w:lineRule="auto"/>
        <w:ind w:left="714" w:hanging="357"/>
        <w:rPr>
          <w:rFonts w:eastAsia="Arial" w:cstheme="minorHAnsi"/>
        </w:rPr>
      </w:pPr>
      <w:proofErr w:type="spellStart"/>
      <w:r w:rsidRPr="0080399F">
        <w:rPr>
          <w:rFonts w:eastAsia="Arial" w:cstheme="minorHAnsi"/>
        </w:rPr>
        <w:t>Steelgroenten</w:t>
      </w:r>
      <w:proofErr w:type="spellEnd"/>
      <w:r w:rsidRPr="0080399F">
        <w:rPr>
          <w:rFonts w:eastAsia="Arial" w:cstheme="minorHAnsi"/>
        </w:rPr>
        <w:t xml:space="preserve">: </w:t>
      </w:r>
      <w:proofErr w:type="spellStart"/>
      <w:r w:rsidRPr="0080399F">
        <w:rPr>
          <w:rFonts w:eastAsia="Arial" w:cstheme="minorHAnsi"/>
        </w:rPr>
        <w:t>selderij</w:t>
      </w:r>
      <w:proofErr w:type="spellEnd"/>
      <w:r w:rsidRPr="0080399F">
        <w:rPr>
          <w:rFonts w:eastAsia="Arial" w:cstheme="minorHAnsi"/>
        </w:rPr>
        <w:t xml:space="preserve">, </w:t>
      </w:r>
      <w:proofErr w:type="spellStart"/>
      <w:r w:rsidRPr="0080399F">
        <w:rPr>
          <w:rFonts w:eastAsia="Arial" w:cstheme="minorHAnsi"/>
        </w:rPr>
        <w:t>venkel</w:t>
      </w:r>
      <w:proofErr w:type="spellEnd"/>
      <w:r w:rsidRPr="0080399F">
        <w:rPr>
          <w:rFonts w:eastAsia="Arial" w:cstheme="minorHAnsi"/>
        </w:rPr>
        <w:t xml:space="preserve">, </w:t>
      </w:r>
      <w:proofErr w:type="spellStart"/>
      <w:r w:rsidRPr="0080399F">
        <w:rPr>
          <w:rFonts w:eastAsia="Arial" w:cstheme="minorHAnsi"/>
        </w:rPr>
        <w:t>rabarber</w:t>
      </w:r>
      <w:proofErr w:type="spellEnd"/>
      <w:r w:rsidRPr="0080399F">
        <w:rPr>
          <w:rFonts w:eastAsia="Arial" w:cstheme="minorHAnsi"/>
        </w:rPr>
        <w:t xml:space="preserve">; </w:t>
      </w:r>
    </w:p>
    <w:p w14:paraId="052EDF5F" w14:textId="77777777" w:rsidR="0069524E" w:rsidRPr="0080399F" w:rsidRDefault="0069524E" w:rsidP="00AD727F">
      <w:pPr>
        <w:widowControl w:val="0"/>
        <w:numPr>
          <w:ilvl w:val="0"/>
          <w:numId w:val="44"/>
        </w:numPr>
        <w:spacing w:after="0" w:line="264" w:lineRule="auto"/>
        <w:ind w:left="714" w:hanging="357"/>
        <w:rPr>
          <w:rFonts w:eastAsia="Arial" w:cstheme="minorHAnsi"/>
        </w:rPr>
      </w:pPr>
      <w:r w:rsidRPr="0080399F">
        <w:rPr>
          <w:rFonts w:eastAsia="Arial" w:cstheme="minorHAnsi"/>
        </w:rPr>
        <w:t xml:space="preserve">Asperges, </w:t>
      </w:r>
      <w:proofErr w:type="spellStart"/>
      <w:r w:rsidRPr="0080399F">
        <w:rPr>
          <w:rFonts w:eastAsia="Arial" w:cstheme="minorHAnsi"/>
        </w:rPr>
        <w:t>witlof</w:t>
      </w:r>
      <w:proofErr w:type="spellEnd"/>
      <w:r w:rsidRPr="0080399F">
        <w:rPr>
          <w:rFonts w:eastAsia="Arial" w:cstheme="minorHAnsi"/>
        </w:rPr>
        <w:t xml:space="preserve">, </w:t>
      </w:r>
      <w:proofErr w:type="spellStart"/>
      <w:r w:rsidRPr="0080399F">
        <w:rPr>
          <w:rFonts w:eastAsia="Arial" w:cstheme="minorHAnsi"/>
        </w:rPr>
        <w:t>artisjok</w:t>
      </w:r>
      <w:proofErr w:type="spellEnd"/>
      <w:r w:rsidRPr="0080399F">
        <w:rPr>
          <w:rFonts w:eastAsia="Arial" w:cstheme="minorHAnsi"/>
        </w:rPr>
        <w:t xml:space="preserve">, </w:t>
      </w:r>
      <w:proofErr w:type="spellStart"/>
      <w:r w:rsidRPr="0080399F">
        <w:rPr>
          <w:rFonts w:eastAsia="Arial" w:cstheme="minorHAnsi"/>
        </w:rPr>
        <w:t>palmharten</w:t>
      </w:r>
      <w:proofErr w:type="spellEnd"/>
      <w:r w:rsidRPr="0080399F">
        <w:rPr>
          <w:rFonts w:eastAsia="Arial" w:cstheme="minorHAnsi"/>
        </w:rPr>
        <w:t xml:space="preserve">, </w:t>
      </w:r>
      <w:proofErr w:type="spellStart"/>
      <w:r w:rsidRPr="0080399F">
        <w:rPr>
          <w:rFonts w:eastAsia="Arial" w:cstheme="minorHAnsi"/>
        </w:rPr>
        <w:t>bamboescheuten</w:t>
      </w:r>
      <w:proofErr w:type="spellEnd"/>
      <w:r w:rsidRPr="0080399F">
        <w:rPr>
          <w:rFonts w:eastAsia="Arial" w:cstheme="minorHAnsi"/>
        </w:rPr>
        <w:t xml:space="preserve">, taro ...; </w:t>
      </w:r>
    </w:p>
    <w:p w14:paraId="723C05DE"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Uien, sjalotten, prei, look, bieslook, peterselie, andere aromatische kruiden;</w:t>
      </w:r>
    </w:p>
    <w:p w14:paraId="03BA04FF"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Wortelgroenten: wortelen, schorseneren, selderij, radijsjes, pastinaak, biet, cichoreiwortel;</w:t>
      </w:r>
    </w:p>
    <w:p w14:paraId="125E5B1E"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Vruchtgroenten: tomaten, aubergine, komkommer, courgette, paprika, peper, diverse pompoensoorten, groene banaan, bakbanaan, avocado, olijven, augurken;</w:t>
      </w:r>
    </w:p>
    <w:p w14:paraId="48DA5561" w14:textId="77777777" w:rsidR="0069524E" w:rsidRPr="0080399F" w:rsidRDefault="0069524E" w:rsidP="00AD727F">
      <w:pPr>
        <w:widowControl w:val="0"/>
        <w:numPr>
          <w:ilvl w:val="0"/>
          <w:numId w:val="44"/>
        </w:numPr>
        <w:spacing w:after="0" w:line="264" w:lineRule="auto"/>
        <w:ind w:left="714" w:hanging="357"/>
        <w:rPr>
          <w:rFonts w:eastAsia="Arial" w:cstheme="minorHAnsi"/>
        </w:rPr>
      </w:pPr>
      <w:proofErr w:type="spellStart"/>
      <w:r w:rsidRPr="0080399F">
        <w:rPr>
          <w:rFonts w:eastAsia="Arial" w:cstheme="minorHAnsi"/>
        </w:rPr>
        <w:t>Bloemgroenten</w:t>
      </w:r>
      <w:proofErr w:type="spellEnd"/>
      <w:r w:rsidRPr="0080399F">
        <w:rPr>
          <w:rFonts w:eastAsia="Arial" w:cstheme="minorHAnsi"/>
        </w:rPr>
        <w:t xml:space="preserve">: </w:t>
      </w:r>
      <w:proofErr w:type="spellStart"/>
      <w:r w:rsidRPr="0080399F">
        <w:rPr>
          <w:rFonts w:eastAsia="Arial" w:cstheme="minorHAnsi"/>
        </w:rPr>
        <w:t>pompoenbloemen</w:t>
      </w:r>
      <w:proofErr w:type="spellEnd"/>
      <w:r w:rsidRPr="0080399F">
        <w:rPr>
          <w:rFonts w:eastAsia="Arial" w:cstheme="minorHAnsi"/>
        </w:rPr>
        <w:t>;</w:t>
      </w:r>
    </w:p>
    <w:p w14:paraId="7B0A4F03" w14:textId="77777777" w:rsidR="0069524E" w:rsidRPr="009B21B5" w:rsidRDefault="0069524E" w:rsidP="00AD727F">
      <w:pPr>
        <w:widowControl w:val="0"/>
        <w:numPr>
          <w:ilvl w:val="0"/>
          <w:numId w:val="44"/>
        </w:numPr>
        <w:spacing w:after="0" w:line="264" w:lineRule="auto"/>
        <w:ind w:left="714" w:hanging="357"/>
        <w:rPr>
          <w:rFonts w:eastAsia="Arial" w:cstheme="minorHAnsi"/>
          <w:lang w:val="nl-BE"/>
        </w:rPr>
      </w:pPr>
      <w:r w:rsidRPr="009B21B5">
        <w:rPr>
          <w:rFonts w:eastAsia="Arial" w:cstheme="minorHAnsi"/>
          <w:lang w:val="nl-BE"/>
        </w:rPr>
        <w:t>Kiemgroenten: doperwtjes, tuinbonen, zoete maïs, sojascheuten;</w:t>
      </w:r>
    </w:p>
    <w:p w14:paraId="5586320E" w14:textId="77777777" w:rsidR="0069524E" w:rsidRPr="0080399F" w:rsidRDefault="0069524E" w:rsidP="00AD727F">
      <w:pPr>
        <w:widowControl w:val="0"/>
        <w:numPr>
          <w:ilvl w:val="0"/>
          <w:numId w:val="44"/>
        </w:numPr>
        <w:spacing w:after="0" w:line="264" w:lineRule="auto"/>
        <w:ind w:left="714" w:hanging="357"/>
        <w:rPr>
          <w:rFonts w:eastAsia="Arial" w:cstheme="minorHAnsi"/>
          <w:lang w:val="en-US"/>
        </w:rPr>
      </w:pPr>
      <w:proofErr w:type="spellStart"/>
      <w:r w:rsidRPr="0080399F">
        <w:rPr>
          <w:rFonts w:eastAsia="Arial" w:cstheme="minorHAnsi"/>
          <w:lang w:val="en-US"/>
        </w:rPr>
        <w:t>Eetbare</w:t>
      </w:r>
      <w:proofErr w:type="spellEnd"/>
      <w:r w:rsidRPr="0080399F">
        <w:rPr>
          <w:rFonts w:eastAsia="Arial" w:cstheme="minorHAnsi"/>
          <w:lang w:val="en-US"/>
        </w:rPr>
        <w:t xml:space="preserve"> </w:t>
      </w:r>
      <w:proofErr w:type="spellStart"/>
      <w:r w:rsidRPr="0080399F">
        <w:rPr>
          <w:rFonts w:eastAsia="Arial" w:cstheme="minorHAnsi"/>
          <w:lang w:val="en-US"/>
        </w:rPr>
        <w:t>paddenstoelen</w:t>
      </w:r>
      <w:proofErr w:type="spellEnd"/>
      <w:r w:rsidRPr="0080399F">
        <w:rPr>
          <w:rFonts w:eastAsia="Arial" w:cstheme="minorHAnsi"/>
          <w:lang w:val="en-US"/>
        </w:rPr>
        <w:t xml:space="preserve">; </w:t>
      </w:r>
    </w:p>
    <w:p w14:paraId="183B289E" w14:textId="77777777" w:rsidR="0069524E" w:rsidRDefault="0069524E" w:rsidP="00AD727F">
      <w:pPr>
        <w:widowControl w:val="0"/>
        <w:numPr>
          <w:ilvl w:val="0"/>
          <w:numId w:val="44"/>
        </w:numPr>
        <w:spacing w:after="0" w:line="264" w:lineRule="auto"/>
        <w:ind w:left="714" w:hanging="357"/>
        <w:rPr>
          <w:rFonts w:eastAsia="Arial" w:cstheme="minorHAnsi"/>
          <w:lang w:val="en-US"/>
        </w:rPr>
      </w:pPr>
      <w:proofErr w:type="spellStart"/>
      <w:r w:rsidRPr="0080399F">
        <w:rPr>
          <w:rFonts w:eastAsia="Arial" w:cstheme="minorHAnsi"/>
          <w:lang w:val="en-US"/>
        </w:rPr>
        <w:t>Zeealgen</w:t>
      </w:r>
      <w:proofErr w:type="spellEnd"/>
      <w:r w:rsidRPr="0080399F">
        <w:rPr>
          <w:rFonts w:eastAsia="Arial" w:cstheme="minorHAnsi"/>
          <w:lang w:val="en-US"/>
        </w:rPr>
        <w:t xml:space="preserve"> </w:t>
      </w:r>
      <w:proofErr w:type="spellStart"/>
      <w:r w:rsidRPr="0080399F">
        <w:rPr>
          <w:rFonts w:eastAsia="Arial" w:cstheme="minorHAnsi"/>
          <w:lang w:val="en-US"/>
        </w:rPr>
        <w:t>en</w:t>
      </w:r>
      <w:proofErr w:type="spellEnd"/>
      <w:r w:rsidRPr="0080399F">
        <w:rPr>
          <w:rFonts w:eastAsia="Arial" w:cstheme="minorHAnsi"/>
          <w:lang w:val="en-US"/>
        </w:rPr>
        <w:t xml:space="preserve"> </w:t>
      </w:r>
      <w:proofErr w:type="spellStart"/>
      <w:r w:rsidRPr="0080399F">
        <w:rPr>
          <w:rFonts w:eastAsia="Arial" w:cstheme="minorHAnsi"/>
          <w:lang w:val="en-US"/>
        </w:rPr>
        <w:t>algen</w:t>
      </w:r>
      <w:proofErr w:type="spellEnd"/>
      <w:r w:rsidRPr="0080399F">
        <w:rPr>
          <w:rFonts w:eastAsia="Arial" w:cstheme="minorHAnsi"/>
          <w:lang w:val="en-US"/>
        </w:rPr>
        <w:t xml:space="preserve">. </w:t>
      </w:r>
    </w:p>
    <w:p w14:paraId="3091ED99" w14:textId="77777777" w:rsidR="00B96335" w:rsidRPr="00411BF4" w:rsidRDefault="00B96335" w:rsidP="00AD727F">
      <w:pPr>
        <w:widowControl w:val="0"/>
        <w:spacing w:before="120" w:after="120" w:line="264" w:lineRule="auto"/>
        <w:ind w:left="720"/>
        <w:rPr>
          <w:rFonts w:eastAsia="Arial" w:cstheme="minorHAnsi"/>
          <w:lang w:val="en-US"/>
        </w:rPr>
      </w:pPr>
    </w:p>
    <w:p w14:paraId="6954C2E6" w14:textId="77777777" w:rsidR="00223EAF" w:rsidRPr="0080399F" w:rsidRDefault="00223EAF" w:rsidP="00AD727F">
      <w:pPr>
        <w:widowControl w:val="0"/>
        <w:spacing w:after="0" w:line="264" w:lineRule="auto"/>
        <w:rPr>
          <w:rFonts w:eastAsia="Arial" w:cstheme="minorHAnsi"/>
        </w:rPr>
      </w:pPr>
      <w:proofErr w:type="spellStart"/>
      <w:r w:rsidRPr="0080399F">
        <w:rPr>
          <w:rFonts w:eastAsia="Arial" w:cstheme="minorHAnsi"/>
          <w:b/>
        </w:rPr>
        <w:t>Peulvruchten</w:t>
      </w:r>
      <w:proofErr w:type="spellEnd"/>
      <w:r w:rsidRPr="0080399F">
        <w:rPr>
          <w:rFonts w:eastAsia="Arial" w:cstheme="minorHAnsi"/>
          <w:b/>
        </w:rPr>
        <w:t>:</w:t>
      </w:r>
      <w:r w:rsidRPr="0080399F">
        <w:rPr>
          <w:rFonts w:eastAsia="Arial" w:cstheme="minorHAnsi"/>
        </w:rPr>
        <w:t xml:space="preserve"> </w:t>
      </w:r>
    </w:p>
    <w:p w14:paraId="73C5D3DC" w14:textId="77777777" w:rsidR="00223EAF" w:rsidRPr="009B21B5" w:rsidRDefault="00223EAF" w:rsidP="00AD727F">
      <w:pPr>
        <w:widowControl w:val="0"/>
        <w:numPr>
          <w:ilvl w:val="0"/>
          <w:numId w:val="45"/>
        </w:numPr>
        <w:spacing w:after="0" w:line="264" w:lineRule="auto"/>
        <w:ind w:left="714" w:hanging="357"/>
        <w:rPr>
          <w:rFonts w:eastAsia="Arial" w:cstheme="minorHAnsi"/>
          <w:lang w:val="nl-BE"/>
        </w:rPr>
      </w:pPr>
      <w:r w:rsidRPr="009B21B5">
        <w:rPr>
          <w:rFonts w:eastAsia="Arial" w:cstheme="minorHAnsi"/>
          <w:lang w:val="nl-BE"/>
        </w:rPr>
        <w:t>Erwten (diverse soorten: kikkererwten, doperwtjes, duivenerwten ...),</w:t>
      </w:r>
    </w:p>
    <w:p w14:paraId="075D84C1" w14:textId="77777777" w:rsidR="00223EAF" w:rsidRPr="009B21B5" w:rsidRDefault="00223EAF" w:rsidP="00AD727F">
      <w:pPr>
        <w:widowControl w:val="0"/>
        <w:numPr>
          <w:ilvl w:val="0"/>
          <w:numId w:val="45"/>
        </w:numPr>
        <w:spacing w:after="0" w:line="264" w:lineRule="auto"/>
        <w:ind w:left="714" w:hanging="357"/>
        <w:rPr>
          <w:rFonts w:eastAsia="Arial" w:cstheme="minorHAnsi"/>
          <w:lang w:val="nl-BE"/>
        </w:rPr>
      </w:pPr>
      <w:r w:rsidRPr="009B21B5">
        <w:rPr>
          <w:rFonts w:eastAsia="Arial" w:cstheme="minorHAnsi"/>
          <w:lang w:val="nl-BE"/>
        </w:rPr>
        <w:t>Bonen (diverse soorten limabonen, rode bonen ...),</w:t>
      </w:r>
    </w:p>
    <w:p w14:paraId="29BA8DE5" w14:textId="77777777" w:rsidR="00223EAF" w:rsidRPr="009B21B5" w:rsidRDefault="00223EAF" w:rsidP="00AD727F">
      <w:pPr>
        <w:widowControl w:val="0"/>
        <w:numPr>
          <w:ilvl w:val="0"/>
          <w:numId w:val="45"/>
        </w:numPr>
        <w:spacing w:after="0" w:line="264" w:lineRule="auto"/>
        <w:ind w:left="714" w:hanging="357"/>
        <w:rPr>
          <w:rFonts w:eastAsia="Arial" w:cstheme="minorHAnsi"/>
          <w:lang w:val="nl-BE"/>
        </w:rPr>
      </w:pPr>
      <w:r w:rsidRPr="009B21B5">
        <w:rPr>
          <w:rFonts w:eastAsia="Arial" w:cstheme="minorHAnsi"/>
          <w:lang w:val="nl-BE"/>
        </w:rPr>
        <w:t xml:space="preserve">Linzen (diverse soorten: groene, gele, </w:t>
      </w:r>
      <w:proofErr w:type="spellStart"/>
      <w:r w:rsidRPr="009B21B5">
        <w:rPr>
          <w:rFonts w:eastAsia="Arial" w:cstheme="minorHAnsi"/>
          <w:lang w:val="nl-BE"/>
        </w:rPr>
        <w:t>Puy</w:t>
      </w:r>
      <w:proofErr w:type="spellEnd"/>
      <w:r w:rsidRPr="009B21B5">
        <w:rPr>
          <w:rFonts w:eastAsia="Arial" w:cstheme="minorHAnsi"/>
          <w:lang w:val="nl-BE"/>
        </w:rPr>
        <w:t xml:space="preserve">-linzen ...), </w:t>
      </w:r>
    </w:p>
    <w:p w14:paraId="74E2635A" w14:textId="77777777" w:rsidR="0069524E" w:rsidRPr="005E6044" w:rsidRDefault="00223EAF" w:rsidP="00AD727F">
      <w:pPr>
        <w:widowControl w:val="0"/>
        <w:numPr>
          <w:ilvl w:val="0"/>
          <w:numId w:val="45"/>
        </w:numPr>
        <w:spacing w:after="0" w:line="264" w:lineRule="auto"/>
        <w:ind w:left="714" w:hanging="357"/>
        <w:rPr>
          <w:rFonts w:eastAsia="Arial" w:cstheme="minorHAnsi"/>
        </w:rPr>
      </w:pPr>
      <w:proofErr w:type="spellStart"/>
      <w:r w:rsidRPr="005E6044">
        <w:rPr>
          <w:rFonts w:eastAsia="Arial" w:cstheme="minorHAnsi"/>
        </w:rPr>
        <w:t>Zwartoogbonen</w:t>
      </w:r>
      <w:proofErr w:type="spellEnd"/>
      <w:r w:rsidRPr="005E6044">
        <w:rPr>
          <w:rFonts w:eastAsia="Arial" w:cstheme="minorHAnsi"/>
        </w:rPr>
        <w:t xml:space="preserve">, </w:t>
      </w:r>
      <w:proofErr w:type="spellStart"/>
      <w:r w:rsidRPr="005E6044">
        <w:rPr>
          <w:rFonts w:eastAsia="Arial" w:cstheme="minorHAnsi"/>
        </w:rPr>
        <w:t>sojabonen</w:t>
      </w:r>
      <w:proofErr w:type="spellEnd"/>
      <w:r w:rsidRPr="005E6044">
        <w:rPr>
          <w:rFonts w:eastAsia="Arial" w:cstheme="minorHAnsi"/>
        </w:rPr>
        <w:t xml:space="preserve">, </w:t>
      </w:r>
      <w:proofErr w:type="spellStart"/>
      <w:r w:rsidRPr="005E6044">
        <w:rPr>
          <w:rFonts w:eastAsia="Arial" w:cstheme="minorHAnsi"/>
        </w:rPr>
        <w:t>johannesbroodboompitten</w:t>
      </w:r>
      <w:proofErr w:type="spellEnd"/>
      <w:r w:rsidRPr="005E6044">
        <w:rPr>
          <w:rFonts w:eastAsia="Arial" w:cstheme="minorHAnsi"/>
        </w:rPr>
        <w:t xml:space="preserve">, </w:t>
      </w:r>
      <w:proofErr w:type="spellStart"/>
      <w:r w:rsidRPr="005E6044">
        <w:rPr>
          <w:rFonts w:eastAsia="Arial" w:cstheme="minorHAnsi"/>
        </w:rPr>
        <w:t>tuinbonen</w:t>
      </w:r>
      <w:proofErr w:type="spellEnd"/>
      <w:r w:rsidRPr="005E6044">
        <w:rPr>
          <w:rFonts w:eastAsia="Arial" w:cstheme="minorHAnsi"/>
        </w:rPr>
        <w:t xml:space="preserve"> ...</w:t>
      </w:r>
    </w:p>
    <w:p w14:paraId="2C0A79BE" w14:textId="77777777" w:rsidR="0069524E" w:rsidRPr="0080399F" w:rsidRDefault="0069524E" w:rsidP="00AD727F">
      <w:pPr>
        <w:widowControl w:val="0"/>
        <w:spacing w:before="120" w:after="120" w:line="264" w:lineRule="auto"/>
        <w:ind w:left="720"/>
        <w:rPr>
          <w:rFonts w:eastAsia="Arial" w:cstheme="minorHAnsi"/>
        </w:rPr>
      </w:pPr>
    </w:p>
    <w:p w14:paraId="28ED4637" w14:textId="77777777" w:rsidR="0069524E" w:rsidRPr="00D92432" w:rsidRDefault="0069524E" w:rsidP="00AD727F">
      <w:pPr>
        <w:widowControl w:val="0"/>
        <w:spacing w:before="120" w:after="120" w:line="264" w:lineRule="auto"/>
        <w:rPr>
          <w:rFonts w:eastAsia="Arial" w:cstheme="minorHAnsi"/>
          <w:b/>
          <w:u w:val="single"/>
        </w:rPr>
      </w:pPr>
      <w:r w:rsidRPr="00D92432">
        <w:rPr>
          <w:rFonts w:eastAsia="Arial" w:cstheme="minorHAnsi"/>
          <w:b/>
          <w:u w:val="single"/>
        </w:rPr>
        <w:t xml:space="preserve">De </w:t>
      </w:r>
      <w:proofErr w:type="spellStart"/>
      <w:r w:rsidRPr="00D92432">
        <w:rPr>
          <w:rFonts w:eastAsia="Arial" w:cstheme="minorHAnsi"/>
          <w:b/>
          <w:u w:val="single"/>
        </w:rPr>
        <w:t>noten</w:t>
      </w:r>
      <w:proofErr w:type="spellEnd"/>
      <w:r w:rsidRPr="00D92432">
        <w:rPr>
          <w:rFonts w:eastAsia="Arial" w:cstheme="minorHAnsi"/>
          <w:b/>
          <w:u w:val="single"/>
        </w:rPr>
        <w:t xml:space="preserve"> </w:t>
      </w:r>
      <w:proofErr w:type="spellStart"/>
      <w:r w:rsidRPr="00D92432">
        <w:rPr>
          <w:rFonts w:eastAsia="Arial" w:cstheme="minorHAnsi"/>
          <w:b/>
          <w:u w:val="single"/>
        </w:rPr>
        <w:t>omvatten</w:t>
      </w:r>
      <w:proofErr w:type="spellEnd"/>
      <w:r w:rsidRPr="00D92432">
        <w:rPr>
          <w:rFonts w:eastAsia="Arial" w:cstheme="minorHAnsi"/>
          <w:b/>
          <w:u w:val="single"/>
        </w:rPr>
        <w:t>:</w:t>
      </w:r>
    </w:p>
    <w:p w14:paraId="31AB7DCE" w14:textId="77777777" w:rsidR="0069524E" w:rsidRPr="009B21B5" w:rsidRDefault="0069524E" w:rsidP="00AD727F">
      <w:pPr>
        <w:widowControl w:val="0"/>
        <w:numPr>
          <w:ilvl w:val="0"/>
          <w:numId w:val="22"/>
        </w:numPr>
        <w:spacing w:before="120" w:after="120" w:line="264" w:lineRule="auto"/>
        <w:rPr>
          <w:rFonts w:eastAsia="Arial" w:cstheme="minorHAnsi"/>
          <w:lang w:val="nl-BE"/>
        </w:rPr>
      </w:pPr>
      <w:r w:rsidRPr="009B21B5">
        <w:rPr>
          <w:rFonts w:eastAsia="Arial" w:cstheme="minorHAnsi"/>
          <w:lang w:val="nl-BE"/>
        </w:rPr>
        <w:t xml:space="preserve">Noten, hazelnoten, pistachenoten, cashewnoten, paranoten, </w:t>
      </w:r>
      <w:proofErr w:type="spellStart"/>
      <w:r w:rsidRPr="009B21B5">
        <w:rPr>
          <w:rFonts w:eastAsia="Arial" w:cstheme="minorHAnsi"/>
          <w:lang w:val="nl-BE"/>
        </w:rPr>
        <w:t>pecannoten</w:t>
      </w:r>
      <w:proofErr w:type="spellEnd"/>
      <w:r w:rsidRPr="009B21B5">
        <w:rPr>
          <w:rFonts w:eastAsia="Arial" w:cstheme="minorHAnsi"/>
          <w:lang w:val="nl-BE"/>
        </w:rPr>
        <w:t>, kokosnoten (</w:t>
      </w:r>
      <w:proofErr w:type="spellStart"/>
      <w:r w:rsidRPr="009B21B5">
        <w:rPr>
          <w:rFonts w:eastAsia="Arial" w:cstheme="minorHAnsi"/>
          <w:lang w:val="nl-BE"/>
        </w:rPr>
        <w:t>cfr</w:t>
      </w:r>
      <w:proofErr w:type="spellEnd"/>
      <w:r w:rsidRPr="009B21B5">
        <w:rPr>
          <w:rFonts w:eastAsia="Arial" w:cstheme="minorHAnsi"/>
          <w:lang w:val="nl-BE"/>
        </w:rPr>
        <w:t>. verduidelijking hierboven), pinda's, amandelen, kastanjes.</w:t>
      </w:r>
    </w:p>
    <w:p w14:paraId="1B0608CD" w14:textId="77777777" w:rsidR="00644EBB" w:rsidRPr="009B21B5" w:rsidRDefault="00644EBB" w:rsidP="00644EBB">
      <w:pPr>
        <w:widowControl w:val="0"/>
        <w:spacing w:before="120" w:after="120" w:line="264" w:lineRule="auto"/>
        <w:ind w:left="720"/>
        <w:rPr>
          <w:rFonts w:eastAsia="Arial" w:cstheme="minorHAnsi"/>
          <w:lang w:val="nl-BE"/>
        </w:rPr>
      </w:pPr>
    </w:p>
    <w:p w14:paraId="518C6674" w14:textId="77777777" w:rsidR="0069524E" w:rsidRPr="00917635" w:rsidRDefault="00753689" w:rsidP="00595EFF">
      <w:pPr>
        <w:widowControl w:val="0"/>
        <w:spacing w:before="120" w:after="120" w:line="264" w:lineRule="auto"/>
        <w:rPr>
          <w:rFonts w:eastAsia="Arial" w:cstheme="minorHAnsi"/>
          <w:b/>
          <w:u w:val="single"/>
        </w:rPr>
      </w:pPr>
      <w:proofErr w:type="spellStart"/>
      <w:r w:rsidRPr="00917635">
        <w:rPr>
          <w:rFonts w:eastAsia="Arial" w:cstheme="minorHAnsi"/>
          <w:b/>
          <w:u w:val="single"/>
        </w:rPr>
        <w:t>Olie</w:t>
      </w:r>
      <w:proofErr w:type="spellEnd"/>
      <w:r w:rsidRPr="00917635">
        <w:rPr>
          <w:rFonts w:eastAsia="Arial" w:cstheme="minorHAnsi"/>
          <w:b/>
          <w:u w:val="single"/>
        </w:rPr>
        <w:t xml:space="preserve"> </w:t>
      </w:r>
      <w:proofErr w:type="spellStart"/>
      <w:r w:rsidRPr="00917635">
        <w:rPr>
          <w:rFonts w:eastAsia="Arial" w:cstheme="minorHAnsi"/>
          <w:b/>
          <w:u w:val="single"/>
        </w:rPr>
        <w:t>omvat</w:t>
      </w:r>
      <w:proofErr w:type="spellEnd"/>
      <w:r w:rsidRPr="00917635">
        <w:rPr>
          <w:rFonts w:eastAsia="Arial" w:cstheme="minorHAnsi"/>
          <w:b/>
          <w:u w:val="single"/>
        </w:rPr>
        <w:t>:</w:t>
      </w:r>
    </w:p>
    <w:p w14:paraId="12436302" w14:textId="77777777" w:rsidR="00753689" w:rsidRPr="00917635" w:rsidRDefault="00753689" w:rsidP="00595EFF">
      <w:pPr>
        <w:pStyle w:val="Paragraphedeliste"/>
        <w:widowControl w:val="0"/>
        <w:numPr>
          <w:ilvl w:val="0"/>
          <w:numId w:val="22"/>
        </w:numPr>
        <w:spacing w:before="120" w:after="120" w:line="264" w:lineRule="auto"/>
        <w:rPr>
          <w:rFonts w:eastAsia="Arial" w:cstheme="minorHAnsi"/>
        </w:rPr>
      </w:pPr>
      <w:proofErr w:type="spellStart"/>
      <w:r w:rsidRPr="00917635">
        <w:rPr>
          <w:rFonts w:eastAsia="Arial" w:cstheme="minorHAnsi"/>
        </w:rPr>
        <w:t>Koolzaad</w:t>
      </w:r>
      <w:proofErr w:type="spellEnd"/>
      <w:r w:rsidRPr="00917635">
        <w:rPr>
          <w:rFonts w:eastAsia="Arial" w:cstheme="minorHAnsi"/>
        </w:rPr>
        <w:t xml:space="preserve">-, </w:t>
      </w:r>
      <w:proofErr w:type="spellStart"/>
      <w:r w:rsidRPr="00917635">
        <w:rPr>
          <w:rFonts w:eastAsia="Arial" w:cstheme="minorHAnsi"/>
        </w:rPr>
        <w:t>noten</w:t>
      </w:r>
      <w:proofErr w:type="spellEnd"/>
      <w:r w:rsidRPr="00917635">
        <w:rPr>
          <w:rFonts w:eastAsia="Arial" w:cstheme="minorHAnsi"/>
        </w:rPr>
        <w:t xml:space="preserve">- en </w:t>
      </w:r>
      <w:proofErr w:type="spellStart"/>
      <w:r w:rsidRPr="00917635">
        <w:rPr>
          <w:rFonts w:eastAsia="Arial" w:cstheme="minorHAnsi"/>
        </w:rPr>
        <w:t>olijfolie</w:t>
      </w:r>
      <w:proofErr w:type="spellEnd"/>
      <w:r w:rsidRPr="00917635">
        <w:rPr>
          <w:rFonts w:eastAsia="Arial" w:cstheme="minorHAnsi"/>
        </w:rPr>
        <w:t>.</w:t>
      </w:r>
    </w:p>
    <w:p w14:paraId="3E3A08A9" w14:textId="77777777" w:rsidR="00753689" w:rsidRPr="00917635" w:rsidRDefault="00753689" w:rsidP="00595EFF">
      <w:pPr>
        <w:pStyle w:val="Paragraphedeliste"/>
        <w:widowControl w:val="0"/>
        <w:spacing w:before="120" w:after="120" w:line="264" w:lineRule="auto"/>
        <w:rPr>
          <w:rFonts w:eastAsia="Arial" w:cstheme="minorHAnsi"/>
          <w:u w:val="single"/>
        </w:rPr>
      </w:pPr>
    </w:p>
    <w:p w14:paraId="536B196E" w14:textId="77777777" w:rsidR="0069524E" w:rsidRPr="009B21B5" w:rsidRDefault="0069524E" w:rsidP="00AD727F">
      <w:pPr>
        <w:widowControl w:val="0"/>
        <w:spacing w:before="120" w:after="120" w:line="264" w:lineRule="auto"/>
        <w:jc w:val="both"/>
        <w:rPr>
          <w:b/>
          <w:szCs w:val="28"/>
          <w:lang w:val="nl-BE"/>
        </w:rPr>
      </w:pPr>
      <w:r w:rsidRPr="009B21B5">
        <w:rPr>
          <w:b/>
          <w:szCs w:val="28"/>
          <w:lang w:val="nl-BE"/>
        </w:rPr>
        <w:t>De bestanddelen</w:t>
      </w:r>
      <w:r w:rsidRPr="009B21B5">
        <w:rPr>
          <w:b/>
          <w:szCs w:val="28"/>
          <w:u w:val="single"/>
          <w:lang w:val="nl-BE"/>
        </w:rPr>
        <w:t xml:space="preserve"> die niet meegeteld worden </w:t>
      </w:r>
      <w:r w:rsidRPr="009B21B5">
        <w:rPr>
          <w:b/>
          <w:szCs w:val="28"/>
          <w:lang w:val="nl-BE"/>
        </w:rPr>
        <w:t>bij de berekening van de score kwamen in het vorige deel aan bod.</w:t>
      </w:r>
    </w:p>
    <w:p w14:paraId="4EBB693A" w14:textId="77777777" w:rsidR="00411BF4" w:rsidRPr="009B21B5" w:rsidRDefault="00411BF4" w:rsidP="00AD727F">
      <w:pPr>
        <w:spacing w:before="120" w:after="120" w:line="264" w:lineRule="auto"/>
        <w:rPr>
          <w:rFonts w:cstheme="minorHAnsi"/>
          <w:lang w:val="nl-BE"/>
        </w:rPr>
      </w:pPr>
    </w:p>
    <w:p w14:paraId="06C0AEDD" w14:textId="77777777" w:rsidR="00644EBB" w:rsidRPr="009B21B5" w:rsidRDefault="00644EBB" w:rsidP="00AD727F">
      <w:pPr>
        <w:spacing w:before="120" w:after="120" w:line="264" w:lineRule="auto"/>
        <w:rPr>
          <w:rFonts w:cstheme="minorHAnsi"/>
          <w:lang w:val="nl-BE"/>
        </w:rPr>
      </w:pPr>
    </w:p>
    <w:p w14:paraId="29011121" w14:textId="77777777" w:rsidR="003740AF" w:rsidRPr="009B21B5" w:rsidRDefault="003740AF" w:rsidP="00AD727F">
      <w:pPr>
        <w:pStyle w:val="Paragraphedeliste"/>
        <w:numPr>
          <w:ilvl w:val="0"/>
          <w:numId w:val="42"/>
        </w:numPr>
        <w:spacing w:before="120" w:after="120" w:line="264" w:lineRule="auto"/>
        <w:contextualSpacing w:val="0"/>
        <w:rPr>
          <w:rFonts w:cstheme="minorHAnsi"/>
          <w:b/>
          <w:sz w:val="24"/>
          <w:lang w:val="nl-BE"/>
        </w:rPr>
      </w:pPr>
      <w:r w:rsidRPr="009B21B5">
        <w:rPr>
          <w:rFonts w:cstheme="minorHAnsi"/>
          <w:b/>
          <w:sz w:val="24"/>
          <w:lang w:val="nl-BE"/>
        </w:rPr>
        <w:lastRenderedPageBreak/>
        <w:t>De hoeveelheid fruit, groenten, peulvruchten en noten in een verwerkt product berekenen</w:t>
      </w:r>
    </w:p>
    <w:p w14:paraId="28FAE559"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Enkel intacte en beperkt verwerkte vruchten, groenten en peulvruchten tellen mee in de berekening van de score. Fruit en groenten die nadien verwerkt zijn, tellen niet mee (</w:t>
      </w:r>
      <w:proofErr w:type="spellStart"/>
      <w:r w:rsidRPr="009B21B5">
        <w:rPr>
          <w:rFonts w:cstheme="minorHAnsi"/>
          <w:lang w:val="nl-BE"/>
        </w:rPr>
        <w:t>cfr</w:t>
      </w:r>
      <w:proofErr w:type="spellEnd"/>
      <w:r w:rsidRPr="009B21B5">
        <w:rPr>
          <w:rFonts w:cstheme="minorHAnsi"/>
          <w:lang w:val="nl-BE"/>
        </w:rPr>
        <w:t>. meer over de verwerkingen hierboven).</w:t>
      </w:r>
    </w:p>
    <w:p w14:paraId="3C3D5050" w14:textId="27DBD01E" w:rsidR="0069524E" w:rsidRPr="009B21B5" w:rsidRDefault="0069524E" w:rsidP="00AD727F">
      <w:pPr>
        <w:spacing w:before="120" w:after="120" w:line="264" w:lineRule="auto"/>
        <w:jc w:val="both"/>
        <w:rPr>
          <w:rFonts w:eastAsia="Times New Roman" w:cstheme="minorHAnsi"/>
          <w:lang w:val="nl-BE" w:eastAsia="fr-FR"/>
        </w:rPr>
      </w:pPr>
      <w:r w:rsidRPr="009B21B5">
        <w:rPr>
          <w:rFonts w:eastAsia="Times New Roman" w:cstheme="minorHAnsi"/>
          <w:lang w:val="nl-BE" w:eastAsia="nl"/>
        </w:rPr>
        <w:t>Noten, volledig, geroosterd, gehakt, geraspt of vermalen, tellen mee.</w:t>
      </w:r>
    </w:p>
    <w:p w14:paraId="173EE3C2" w14:textId="77777777" w:rsidR="00223EAF" w:rsidRPr="009B21B5" w:rsidRDefault="00223EAF" w:rsidP="00AD727F">
      <w:pPr>
        <w:spacing w:before="120" w:after="120" w:line="264" w:lineRule="auto"/>
        <w:jc w:val="both"/>
        <w:rPr>
          <w:rFonts w:eastAsia="Times New Roman" w:cstheme="minorHAnsi"/>
          <w:lang w:val="nl-BE" w:eastAsia="fr-FR"/>
        </w:rPr>
      </w:pPr>
    </w:p>
    <w:p w14:paraId="62B44305" w14:textId="77777777" w:rsidR="00411BF4" w:rsidRPr="009B21B5" w:rsidRDefault="00411BF4" w:rsidP="00AD727F">
      <w:pPr>
        <w:spacing w:before="120" w:after="120" w:line="264" w:lineRule="auto"/>
        <w:jc w:val="both"/>
        <w:rPr>
          <w:rFonts w:eastAsia="Times New Roman" w:cstheme="minorHAnsi"/>
          <w:lang w:val="nl-BE" w:eastAsia="fr-FR"/>
        </w:rPr>
      </w:pPr>
    </w:p>
    <w:p w14:paraId="387C03D6" w14:textId="77777777" w:rsidR="00411BF4" w:rsidRPr="009B21B5" w:rsidRDefault="00411BF4" w:rsidP="00AD727F">
      <w:pPr>
        <w:spacing w:before="120" w:after="120" w:line="264" w:lineRule="auto"/>
        <w:jc w:val="both"/>
        <w:rPr>
          <w:rFonts w:eastAsia="Times New Roman" w:cstheme="minorHAnsi"/>
          <w:lang w:val="nl-BE" w:eastAsia="fr-FR"/>
        </w:rPr>
      </w:pPr>
    </w:p>
    <w:p w14:paraId="08AC0D99" w14:textId="77777777" w:rsidR="003740AF" w:rsidRPr="009B21B5" w:rsidRDefault="003740AF" w:rsidP="00AD727F">
      <w:pPr>
        <w:pStyle w:val="Paragraphedeliste"/>
        <w:numPr>
          <w:ilvl w:val="0"/>
          <w:numId w:val="46"/>
        </w:numPr>
        <w:spacing w:before="120" w:after="120" w:line="264" w:lineRule="auto"/>
        <w:contextualSpacing w:val="0"/>
        <w:rPr>
          <w:rFonts w:cstheme="minorHAnsi"/>
          <w:b/>
          <w:sz w:val="24"/>
          <w:lang w:val="nl-BE"/>
        </w:rPr>
      </w:pPr>
      <w:r w:rsidRPr="009B21B5">
        <w:rPr>
          <w:rFonts w:cstheme="minorHAnsi"/>
          <w:b/>
          <w:sz w:val="24"/>
          <w:lang w:val="nl-BE"/>
        </w:rPr>
        <w:t>De score berekenen vóór of na het koken</w:t>
      </w:r>
    </w:p>
    <w:p w14:paraId="4B926CCA" w14:textId="77777777" w:rsidR="003740AF" w:rsidRPr="009B21B5" w:rsidRDefault="003740AF" w:rsidP="00AD727F">
      <w:pPr>
        <w:spacing w:before="120" w:after="120" w:line="264" w:lineRule="auto"/>
        <w:jc w:val="both"/>
        <w:rPr>
          <w:rFonts w:cstheme="minorHAnsi"/>
          <w:lang w:val="nl-BE"/>
        </w:rPr>
      </w:pPr>
      <w:r w:rsidRPr="009B21B5">
        <w:rPr>
          <w:rFonts w:cstheme="minorHAnsi"/>
          <w:lang w:val="nl-BE"/>
        </w:rPr>
        <w:t>De hoeveelheid fruit en groenten in het product (in g per 100 g) kan berekend worden vóór of na het koken. Bij de berekening van de hoeveelheid fruit of groenten in een samengesteld voedingsmiddel moeten alle ingrediënten wel in dezelfde staat zijn: allemaal rauw of allemaal gekookt.</w:t>
      </w:r>
    </w:p>
    <w:p w14:paraId="4B6462CA" w14:textId="77777777" w:rsidR="00411BF4" w:rsidRPr="009B21B5" w:rsidRDefault="00411BF4" w:rsidP="00AD727F">
      <w:pPr>
        <w:pBdr>
          <w:bottom w:val="single" w:sz="4" w:space="1" w:color="auto"/>
        </w:pBdr>
        <w:spacing w:before="120" w:after="120" w:line="264" w:lineRule="auto"/>
        <w:jc w:val="both"/>
        <w:rPr>
          <w:rFonts w:cstheme="minorHAnsi"/>
          <w:lang w:val="nl-BE"/>
        </w:rPr>
      </w:pPr>
    </w:p>
    <w:p w14:paraId="652EBE51" w14:textId="77777777" w:rsidR="003740AF" w:rsidRPr="009B21B5" w:rsidRDefault="003740AF" w:rsidP="00AD727F">
      <w:pPr>
        <w:spacing w:before="120" w:after="120" w:line="264" w:lineRule="auto"/>
        <w:rPr>
          <w:rFonts w:cstheme="minorHAnsi"/>
          <w:lang w:val="nl-BE"/>
        </w:rPr>
      </w:pPr>
    </w:p>
    <w:p w14:paraId="4D480896" w14:textId="77777777" w:rsidR="003477B9" w:rsidRPr="009B21B5" w:rsidRDefault="003477B9" w:rsidP="00AD727F">
      <w:pPr>
        <w:spacing w:line="264" w:lineRule="auto"/>
        <w:rPr>
          <w:rFonts w:cstheme="minorHAnsi"/>
          <w:b/>
          <w:smallCaps/>
          <w:color w:val="4F6228" w:themeColor="accent3" w:themeShade="80"/>
          <w:sz w:val="24"/>
          <w:szCs w:val="24"/>
          <w:lang w:val="nl-BE"/>
        </w:rPr>
      </w:pPr>
      <w:r w:rsidRPr="009B21B5">
        <w:rPr>
          <w:rFonts w:cstheme="minorHAnsi"/>
          <w:b/>
          <w:smallCaps/>
          <w:color w:val="4F6228" w:themeColor="accent3" w:themeShade="80"/>
          <w:sz w:val="24"/>
          <w:szCs w:val="24"/>
          <w:lang w:val="nl-BE"/>
        </w:rPr>
        <w:br w:type="page"/>
      </w:r>
    </w:p>
    <w:p w14:paraId="5F7E3031" w14:textId="77777777" w:rsidR="003740AF" w:rsidRPr="009B21B5" w:rsidRDefault="005E6044" w:rsidP="00AD727F">
      <w:pPr>
        <w:spacing w:before="120" w:after="120" w:line="264" w:lineRule="auto"/>
        <w:rPr>
          <w:rFonts w:cstheme="minorHAnsi"/>
          <w:lang w:val="nl-BE"/>
        </w:rPr>
      </w:pPr>
      <w:r w:rsidRPr="009B21B5">
        <w:rPr>
          <w:rFonts w:cstheme="minorHAnsi"/>
          <w:b/>
          <w:smallCaps/>
          <w:color w:val="4F6228" w:themeColor="accent3" w:themeShade="80"/>
          <w:sz w:val="24"/>
          <w:szCs w:val="24"/>
          <w:lang w:val="nl-BE"/>
        </w:rPr>
        <w:lastRenderedPageBreak/>
        <w:t>V</w:t>
      </w:r>
      <w:r w:rsidR="003740AF" w:rsidRPr="009B21B5">
        <w:rPr>
          <w:rFonts w:cstheme="minorHAnsi"/>
          <w:b/>
          <w:smallCaps/>
          <w:color w:val="4F6228" w:themeColor="accent3" w:themeShade="80"/>
          <w:sz w:val="24"/>
          <w:szCs w:val="24"/>
          <w:lang w:val="nl-BE"/>
        </w:rPr>
        <w:t>oorbeelden</w:t>
      </w:r>
      <w:r w:rsidR="003740AF" w:rsidRPr="009B21B5">
        <w:rPr>
          <w:rFonts w:cstheme="minorHAnsi"/>
          <w:lang w:val="nl-BE"/>
        </w:rPr>
        <w:br/>
      </w:r>
      <w:r w:rsidR="003740AF" w:rsidRPr="009B21B5">
        <w:rPr>
          <w:rFonts w:cstheme="minorHAnsi"/>
          <w:lang w:val="nl-BE"/>
        </w:rPr>
        <w:br/>
        <w:t>Toepassing van de generieke formule op twee voorbeelden:</w:t>
      </w:r>
    </w:p>
    <w:p w14:paraId="070BAF81" w14:textId="77777777" w:rsidR="005E6044" w:rsidRPr="009B21B5" w:rsidRDefault="005E6044" w:rsidP="00AD727F">
      <w:pPr>
        <w:spacing w:before="120" w:after="120" w:line="264" w:lineRule="auto"/>
        <w:rPr>
          <w:rFonts w:cstheme="minorHAnsi"/>
          <w:lang w:val="nl-BE"/>
        </w:rPr>
      </w:pPr>
      <w:r w:rsidRPr="009B21B5">
        <w:rPr>
          <w:rFonts w:cstheme="minorHAnsi"/>
          <w:lang w:val="nl-BE"/>
        </w:rPr>
        <w:t xml:space="preserve">% f, g, p, n &amp; o in een product = </w:t>
      </w:r>
    </w:p>
    <w:p w14:paraId="6658AA53" w14:textId="77777777" w:rsidR="005E6044" w:rsidRPr="009B21B5" w:rsidRDefault="005E6044" w:rsidP="00AD727F">
      <w:pPr>
        <w:spacing w:before="120" w:after="120" w:line="264" w:lineRule="auto"/>
        <w:ind w:left="708" w:firstLine="708"/>
        <w:rPr>
          <w:rFonts w:cstheme="minorHAnsi"/>
          <w:lang w:val="nl-BE"/>
        </w:rPr>
      </w:pPr>
      <w:r w:rsidRPr="009B21B5">
        <w:rPr>
          <w:rFonts w:cstheme="minorHAnsi"/>
          <w:lang w:val="nl-BE"/>
        </w:rPr>
        <w:t>(Gewicht f, g, p, n &amp; o) + (2 x het gewicht van gedroogd f, gedroogde g, p)</w:t>
      </w:r>
    </w:p>
    <w:p w14:paraId="728B1069" w14:textId="77777777" w:rsidR="005E6044" w:rsidRPr="009B21B5" w:rsidRDefault="005E6044" w:rsidP="00AD727F">
      <w:pPr>
        <w:spacing w:before="120" w:after="120" w:line="264" w:lineRule="auto"/>
        <w:rPr>
          <w:rFonts w:cstheme="minorHAnsi"/>
          <w:lang w:val="nl-BE"/>
        </w:rPr>
      </w:pPr>
      <w:r w:rsidRPr="009B21B5">
        <w:rPr>
          <w:rFonts w:cstheme="minorHAnsi"/>
          <w:lang w:val="nl-BE"/>
        </w:rPr>
        <w:t>_________________________________________________________________________________ x 100 (gewicht f, g, p, n &amp; o) + (2 x gewicht gedroogd f, gedroogde g, p) + (gewicht bestanddelen zonder f, g, p, n &amp; o)</w:t>
      </w:r>
    </w:p>
    <w:p w14:paraId="5C017950" w14:textId="77777777" w:rsidR="003740AF" w:rsidRPr="009B21B5" w:rsidRDefault="003740AF" w:rsidP="00AD727F">
      <w:pPr>
        <w:spacing w:before="120" w:after="120" w:line="264" w:lineRule="auto"/>
        <w:rPr>
          <w:rFonts w:cstheme="minorHAnsi"/>
          <w:i/>
          <w:lang w:val="nl-BE"/>
        </w:rPr>
      </w:pPr>
      <w:r w:rsidRPr="009B21B5">
        <w:rPr>
          <w:rFonts w:cstheme="minorHAnsi"/>
          <w:lang w:val="nl-BE"/>
        </w:rPr>
        <w:br/>
      </w:r>
      <w:r w:rsidRPr="009B21B5">
        <w:rPr>
          <w:rFonts w:cstheme="minorHAnsi"/>
          <w:lang w:val="nl-BE"/>
        </w:rPr>
        <w:br/>
      </w:r>
      <w:r w:rsidRPr="009B21B5">
        <w:rPr>
          <w:rFonts w:cstheme="minorHAnsi"/>
          <w:i/>
          <w:lang w:val="nl-BE"/>
        </w:rPr>
        <w:t>f, g, p, n &amp; o: fruit, groenten, peulvruchten, noten en koolzaad-, noten- en olijfolie, met inbegrip van sappen en puree;</w:t>
      </w:r>
    </w:p>
    <w:p w14:paraId="3F97E4EE" w14:textId="77777777" w:rsidR="00411BF4" w:rsidRPr="009B21B5" w:rsidRDefault="00CF308A" w:rsidP="00AD727F">
      <w:pPr>
        <w:spacing w:before="120" w:after="120" w:line="264" w:lineRule="auto"/>
        <w:rPr>
          <w:rFonts w:cstheme="minorHAnsi"/>
          <w:lang w:val="nl-BE"/>
        </w:rPr>
      </w:pPr>
      <w:r w:rsidRPr="009B21B5">
        <w:rPr>
          <w:rFonts w:cstheme="minorHAnsi"/>
          <w:i/>
          <w:lang w:val="nl-BE"/>
        </w:rPr>
        <w:t>Gedroogd f, gedroogde g, p: omvat ook groenteconcentraat.</w:t>
      </w:r>
      <w:r w:rsidR="00DE56FE" w:rsidRPr="009B21B5">
        <w:rPr>
          <w:rFonts w:cstheme="minorHAnsi"/>
          <w:lang w:val="nl-BE"/>
        </w:rPr>
        <w:t xml:space="preserve"> </w:t>
      </w:r>
      <w:r w:rsidR="003740AF" w:rsidRPr="009B21B5">
        <w:rPr>
          <w:rFonts w:cstheme="minorHAnsi"/>
          <w:lang w:val="nl-BE"/>
        </w:rPr>
        <w:br/>
      </w:r>
    </w:p>
    <w:p w14:paraId="41364365" w14:textId="77777777" w:rsidR="003740AF" w:rsidRPr="009B21B5" w:rsidRDefault="003740AF" w:rsidP="00AD727F">
      <w:pPr>
        <w:spacing w:before="120" w:after="120" w:line="264" w:lineRule="auto"/>
        <w:rPr>
          <w:rFonts w:cstheme="minorHAnsi"/>
          <w:lang w:val="nl-BE"/>
        </w:rPr>
      </w:pPr>
      <w:r w:rsidRPr="009B21B5">
        <w:rPr>
          <w:rFonts w:cstheme="minorHAnsi"/>
          <w:lang w:val="nl-BE"/>
        </w:rPr>
        <w:br/>
      </w:r>
      <w:r w:rsidRPr="009B21B5">
        <w:rPr>
          <w:rFonts w:cstheme="minorHAnsi"/>
          <w:lang w:val="nl-BE"/>
        </w:rPr>
        <w:br/>
      </w:r>
      <w:r w:rsidRPr="009B21B5">
        <w:rPr>
          <w:rFonts w:cstheme="minorHAnsi"/>
          <w:b/>
          <w:lang w:val="nl-BE"/>
        </w:rPr>
        <w:t>1. Kortom, in een stuk fruittaart van 150 g met</w:t>
      </w:r>
      <w:r w:rsidRPr="009B21B5">
        <w:rPr>
          <w:rFonts w:cstheme="minorHAnsi"/>
          <w:lang w:val="nl-BE"/>
        </w:rPr>
        <w:br/>
        <w:t>• 15 g kersen,</w:t>
      </w:r>
      <w:r w:rsidRPr="009B21B5">
        <w:rPr>
          <w:rFonts w:cstheme="minorHAnsi"/>
          <w:lang w:val="nl-BE"/>
        </w:rPr>
        <w:br/>
        <w:t>• 25 g rozijnen,</w:t>
      </w:r>
      <w:r w:rsidRPr="009B21B5">
        <w:rPr>
          <w:rFonts w:cstheme="minorHAnsi"/>
          <w:lang w:val="nl-BE"/>
        </w:rPr>
        <w:br/>
        <w:t>• 15 g gemengde noten,</w:t>
      </w:r>
      <w:r w:rsidRPr="009B21B5">
        <w:rPr>
          <w:rFonts w:cstheme="minorHAnsi"/>
          <w:lang w:val="nl-BE"/>
        </w:rPr>
        <w:br/>
        <w:t>• 95 g andere bestanddelen die geen fruit, groenten, peulvruchten of noten zijn,</w:t>
      </w:r>
      <w:r w:rsidRPr="009B21B5">
        <w:rPr>
          <w:rFonts w:cstheme="minorHAnsi"/>
          <w:lang w:val="nl-BE"/>
        </w:rPr>
        <w:br/>
      </w:r>
      <w:r w:rsidRPr="009B21B5">
        <w:rPr>
          <w:rFonts w:cstheme="minorHAnsi"/>
          <w:lang w:val="nl-BE"/>
        </w:rPr>
        <w:br/>
        <w:t>is het berekende aandeel 'fruit, groenten, peulvruchten, noten en koolzaad-, noten- en olijfolie' dus:</w:t>
      </w:r>
    </w:p>
    <w:p w14:paraId="59C457BA" w14:textId="77777777" w:rsidR="003740AF" w:rsidRPr="009B21B5" w:rsidRDefault="005E6044" w:rsidP="00AD727F">
      <w:pPr>
        <w:spacing w:before="120" w:after="120" w:line="264" w:lineRule="auto"/>
        <w:ind w:left="708"/>
        <w:rPr>
          <w:rFonts w:cstheme="minorHAnsi"/>
          <w:lang w:val="nl-BE"/>
        </w:rPr>
      </w:pPr>
      <w:r w:rsidRPr="009B21B5">
        <w:rPr>
          <w:rFonts w:cstheme="minorHAnsi"/>
          <w:lang w:val="nl-BE"/>
        </w:rPr>
        <w:t>(15 (kersen) + 15 (noten) + (2 x 25, rozijnen))</w:t>
      </w:r>
    </w:p>
    <w:p w14:paraId="5C6652D6" w14:textId="77777777" w:rsidR="003740AF" w:rsidRPr="009B21B5" w:rsidRDefault="003740AF" w:rsidP="00AD727F">
      <w:pPr>
        <w:tabs>
          <w:tab w:val="left" w:pos="567"/>
        </w:tabs>
        <w:spacing w:before="120" w:after="120" w:line="264" w:lineRule="auto"/>
        <w:ind w:left="709" w:hanging="708"/>
        <w:rPr>
          <w:rFonts w:cstheme="minorHAnsi"/>
          <w:lang w:val="nl-BE"/>
        </w:rPr>
      </w:pPr>
      <w:r w:rsidRPr="009B21B5">
        <w:rPr>
          <w:rFonts w:cstheme="minorHAnsi"/>
          <w:lang w:val="nl-BE"/>
        </w:rPr>
        <w:t xml:space="preserve"> ________________________________________x 100 = </w:t>
      </w:r>
      <w:r w:rsidRPr="009B21B5">
        <w:rPr>
          <w:rFonts w:cstheme="minorHAnsi"/>
          <w:b/>
          <w:lang w:val="nl-BE"/>
        </w:rPr>
        <w:t>46 %</w:t>
      </w:r>
      <w:r w:rsidRPr="009B21B5">
        <w:rPr>
          <w:rFonts w:cstheme="minorHAnsi"/>
          <w:lang w:val="nl-BE"/>
        </w:rPr>
        <w:br/>
        <w:t>(15 + 15 + (2 x 25) + 95 (de andere ingrediënten)</w:t>
      </w:r>
    </w:p>
    <w:p w14:paraId="5C84B488" w14:textId="77777777" w:rsidR="003740AF" w:rsidRPr="009B21B5" w:rsidRDefault="003740AF" w:rsidP="00AD727F">
      <w:pPr>
        <w:tabs>
          <w:tab w:val="left" w:pos="567"/>
        </w:tabs>
        <w:spacing w:before="120" w:after="120" w:line="264" w:lineRule="auto"/>
        <w:ind w:left="709" w:hanging="708"/>
        <w:rPr>
          <w:rFonts w:cstheme="minorHAnsi"/>
          <w:lang w:val="nl-BE"/>
        </w:rPr>
      </w:pPr>
    </w:p>
    <w:p w14:paraId="6A0EA89C" w14:textId="77777777" w:rsidR="00411BF4" w:rsidRPr="009B21B5" w:rsidRDefault="00411BF4" w:rsidP="00AD727F">
      <w:pPr>
        <w:tabs>
          <w:tab w:val="left" w:pos="567"/>
        </w:tabs>
        <w:spacing w:before="120" w:after="120" w:line="264" w:lineRule="auto"/>
        <w:ind w:left="709" w:hanging="708"/>
        <w:rPr>
          <w:rFonts w:cstheme="minorHAnsi"/>
          <w:lang w:val="nl-BE"/>
        </w:rPr>
      </w:pPr>
    </w:p>
    <w:p w14:paraId="4F675564" w14:textId="77777777" w:rsidR="00961177" w:rsidRPr="009B21B5" w:rsidRDefault="003740AF" w:rsidP="00AD727F">
      <w:pPr>
        <w:spacing w:before="120" w:after="120" w:line="264" w:lineRule="auto"/>
        <w:ind w:firstLine="1"/>
        <w:rPr>
          <w:rFonts w:cstheme="minorHAnsi"/>
          <w:lang w:val="nl-BE"/>
        </w:rPr>
      </w:pPr>
      <w:r w:rsidRPr="009B21B5">
        <w:rPr>
          <w:rFonts w:cstheme="minorHAnsi"/>
          <w:b/>
          <w:lang w:val="nl-BE"/>
        </w:rPr>
        <w:t>2. En in een pizza van 320 g met</w:t>
      </w:r>
      <w:r w:rsidRPr="009B21B5">
        <w:rPr>
          <w:rFonts w:asciiTheme="majorHAnsi" w:hAnsiTheme="majorHAnsi" w:cs="Arial"/>
          <w:b/>
          <w:lang w:val="nl-BE"/>
        </w:rPr>
        <w:br/>
      </w:r>
      <w:r w:rsidRPr="009B21B5">
        <w:rPr>
          <w:rFonts w:asciiTheme="majorHAnsi" w:hAnsiTheme="majorHAnsi" w:cs="Arial"/>
          <w:lang w:val="nl-BE"/>
        </w:rPr>
        <w:br/>
      </w:r>
      <w:r w:rsidRPr="009B21B5">
        <w:rPr>
          <w:rFonts w:cstheme="minorHAnsi"/>
          <w:lang w:val="nl-BE"/>
        </w:rPr>
        <w:t>• 50 g gekookte groenten</w:t>
      </w:r>
      <w:r w:rsidRPr="009B21B5">
        <w:rPr>
          <w:rFonts w:cstheme="minorHAnsi"/>
          <w:lang w:val="nl-BE"/>
        </w:rPr>
        <w:br/>
        <w:t>• 20 g tomatenpuree</w:t>
      </w:r>
      <w:r w:rsidRPr="009B21B5">
        <w:rPr>
          <w:rFonts w:cstheme="minorHAnsi"/>
          <w:lang w:val="nl-BE"/>
        </w:rPr>
        <w:br/>
        <w:t>• 250 g andere ingrediënten</w:t>
      </w:r>
      <w:r w:rsidRPr="009B21B5">
        <w:rPr>
          <w:rFonts w:asciiTheme="majorHAnsi" w:hAnsiTheme="majorHAnsi" w:cs="Arial"/>
          <w:lang w:val="nl-BE"/>
        </w:rPr>
        <w:br/>
      </w:r>
      <w:r w:rsidRPr="009B21B5">
        <w:rPr>
          <w:rFonts w:asciiTheme="majorHAnsi" w:hAnsiTheme="majorHAnsi" w:cs="Arial"/>
          <w:lang w:val="nl-BE"/>
        </w:rPr>
        <w:br/>
      </w:r>
      <w:r w:rsidRPr="009B21B5">
        <w:rPr>
          <w:rFonts w:cstheme="minorHAnsi"/>
          <w:lang w:val="nl-BE"/>
        </w:rPr>
        <w:t>is het berekende aandeel 'fruit, groenten, peulvruchten, noten en koolzaad-, noten- en olijfolie' dus:</w:t>
      </w:r>
    </w:p>
    <w:p w14:paraId="4A43CCAC" w14:textId="77777777" w:rsidR="003740AF" w:rsidRPr="009B21B5" w:rsidRDefault="003740AF" w:rsidP="00AD727F">
      <w:pPr>
        <w:tabs>
          <w:tab w:val="left" w:pos="567"/>
        </w:tabs>
        <w:spacing w:before="120" w:after="120" w:line="264" w:lineRule="auto"/>
        <w:ind w:left="709" w:hanging="708"/>
        <w:rPr>
          <w:rFonts w:cstheme="minorHAnsi"/>
          <w:lang w:val="nl-BE"/>
        </w:rPr>
      </w:pPr>
      <w:r w:rsidRPr="009B21B5">
        <w:rPr>
          <w:rFonts w:cstheme="minorHAnsi"/>
          <w:lang w:val="nl-BE"/>
        </w:rPr>
        <w:tab/>
        <w:t>(50 (groenten) + 2 x 20 (tomatenpuree))</w:t>
      </w:r>
    </w:p>
    <w:p w14:paraId="260FB92E" w14:textId="77777777" w:rsidR="003740AF" w:rsidRPr="009B21B5" w:rsidRDefault="003740AF" w:rsidP="00AD727F">
      <w:pPr>
        <w:tabs>
          <w:tab w:val="left" w:pos="567"/>
        </w:tabs>
        <w:spacing w:before="120" w:after="120" w:line="264" w:lineRule="auto"/>
        <w:rPr>
          <w:rFonts w:cstheme="minorHAnsi"/>
          <w:lang w:val="nl-BE"/>
        </w:rPr>
      </w:pPr>
      <w:r w:rsidRPr="009B21B5">
        <w:rPr>
          <w:rFonts w:cstheme="minorHAnsi"/>
          <w:lang w:val="nl-BE"/>
        </w:rPr>
        <w:t xml:space="preserve">_______________________________________ x 100     =   </w:t>
      </w:r>
      <w:r w:rsidRPr="009B21B5">
        <w:rPr>
          <w:rFonts w:cstheme="minorHAnsi"/>
          <w:b/>
          <w:lang w:val="nl-BE"/>
        </w:rPr>
        <w:t>26 %</w:t>
      </w:r>
      <w:r w:rsidRPr="009B21B5">
        <w:rPr>
          <w:rFonts w:cstheme="minorHAnsi"/>
          <w:lang w:val="nl-BE"/>
        </w:rPr>
        <w:br/>
        <w:t xml:space="preserve">          (50 + (2 x 20) + 250 (de andere ingrediënten)</w:t>
      </w:r>
    </w:p>
    <w:p w14:paraId="443FD342" w14:textId="77777777" w:rsidR="003740AF" w:rsidRPr="009B21B5" w:rsidRDefault="003740AF" w:rsidP="00AD727F">
      <w:pPr>
        <w:spacing w:before="120" w:after="120" w:line="264" w:lineRule="auto"/>
        <w:rPr>
          <w:rFonts w:asciiTheme="majorHAnsi" w:hAnsiTheme="majorHAnsi" w:cs="Arial"/>
          <w:lang w:val="nl-BE"/>
        </w:rPr>
      </w:pPr>
    </w:p>
    <w:p w14:paraId="5F9851A2" w14:textId="77777777" w:rsidR="007A07F8" w:rsidRPr="009B21B5" w:rsidRDefault="007A07F8" w:rsidP="00AD727F">
      <w:pPr>
        <w:spacing w:before="120" w:after="120" w:line="264" w:lineRule="auto"/>
        <w:rPr>
          <w:rFonts w:cstheme="minorHAnsi"/>
          <w:lang w:val="nl-BE"/>
        </w:rPr>
      </w:pPr>
      <w:r w:rsidRPr="009B21B5">
        <w:rPr>
          <w:rFonts w:cstheme="minorHAnsi"/>
          <w:lang w:val="nl-BE"/>
        </w:rPr>
        <w:br w:type="page"/>
      </w:r>
    </w:p>
    <w:p w14:paraId="718098B4" w14:textId="77777777" w:rsidR="007A07F8" w:rsidRPr="009B21B5" w:rsidRDefault="007A07F8" w:rsidP="00AD727F">
      <w:pPr>
        <w:pStyle w:val="Titre3"/>
        <w:spacing w:before="120" w:after="120" w:line="264" w:lineRule="auto"/>
        <w:rPr>
          <w:lang w:val="nl-BE"/>
        </w:rPr>
      </w:pPr>
      <w:bookmarkStart w:id="79" w:name="_Toc83375125"/>
      <w:r w:rsidRPr="009B21B5">
        <w:rPr>
          <w:lang w:val="nl-BE"/>
        </w:rPr>
        <w:lastRenderedPageBreak/>
        <w:t>Bijlage 2: Modaliteiten voor de berekening van de voedingsscore</w:t>
      </w:r>
      <w:bookmarkEnd w:id="79"/>
      <w:r w:rsidRPr="009B21B5">
        <w:rPr>
          <w:lang w:val="nl-BE"/>
        </w:rPr>
        <w:t xml:space="preserve"> </w:t>
      </w:r>
    </w:p>
    <w:p w14:paraId="6D6F1DF6" w14:textId="77777777" w:rsidR="007A07F8" w:rsidRPr="009B21B5" w:rsidRDefault="007A07F8" w:rsidP="00AD727F">
      <w:pPr>
        <w:spacing w:before="120" w:after="120" w:line="264" w:lineRule="auto"/>
        <w:jc w:val="both"/>
        <w:rPr>
          <w:rFonts w:asciiTheme="majorHAnsi" w:eastAsiaTheme="majorEastAsia" w:hAnsiTheme="majorHAnsi" w:cstheme="majorBidi"/>
          <w:b/>
          <w:bCs/>
          <w:color w:val="365F91" w:themeColor="accent1" w:themeShade="BF"/>
          <w:sz w:val="24"/>
          <w:szCs w:val="28"/>
          <w:u w:val="single"/>
          <w:lang w:val="nl-BE" w:eastAsia="fr-FR"/>
        </w:rPr>
      </w:pPr>
    </w:p>
    <w:p w14:paraId="5ADD47D9" w14:textId="77777777" w:rsidR="007A07F8" w:rsidRPr="009B21B5" w:rsidRDefault="007A07F8" w:rsidP="00AD727F">
      <w:pPr>
        <w:spacing w:before="120" w:after="120" w:line="264" w:lineRule="auto"/>
        <w:jc w:val="both"/>
        <w:rPr>
          <w:rFonts w:ascii="Calibri" w:hAnsi="Calibri" w:cs="Calibri"/>
          <w:bCs/>
          <w:lang w:val="nl-BE" w:eastAsia="fr-FR"/>
        </w:rPr>
      </w:pPr>
      <w:r w:rsidRPr="009B21B5">
        <w:rPr>
          <w:rFonts w:ascii="Calibri" w:hAnsi="Calibri" w:cs="Calibri"/>
          <w:bCs/>
          <w:lang w:val="nl-BE" w:eastAsia="nl"/>
        </w:rPr>
        <w:t xml:space="preserve">Er is een onderscheid tussen voedingsscore en </w:t>
      </w:r>
      <w:proofErr w:type="spellStart"/>
      <w:r w:rsidRPr="009B21B5">
        <w:rPr>
          <w:rFonts w:ascii="Calibri" w:hAnsi="Calibri" w:cs="Calibri"/>
          <w:bCs/>
          <w:lang w:val="nl-BE" w:eastAsia="nl"/>
        </w:rPr>
        <w:t>Nutri</w:t>
      </w:r>
      <w:proofErr w:type="spellEnd"/>
      <w:r w:rsidRPr="009B21B5">
        <w:rPr>
          <w:rFonts w:ascii="Calibri" w:hAnsi="Calibri" w:cs="Calibri"/>
          <w:bCs/>
          <w:lang w:val="nl-BE" w:eastAsia="nl"/>
        </w:rPr>
        <w:t xml:space="preserve">-Score: </w:t>
      </w:r>
    </w:p>
    <w:p w14:paraId="761A35CE" w14:textId="77777777" w:rsidR="006A159F" w:rsidRPr="009B21B5" w:rsidRDefault="006A159F" w:rsidP="00AD727F">
      <w:pPr>
        <w:spacing w:before="120" w:after="120" w:line="264" w:lineRule="auto"/>
        <w:jc w:val="both"/>
        <w:rPr>
          <w:rFonts w:ascii="Calibri" w:hAnsi="Calibri" w:cs="Calibri"/>
          <w:bCs/>
          <w:lang w:val="nl-BE" w:eastAsia="fr-FR"/>
        </w:rPr>
      </w:pPr>
    </w:p>
    <w:p w14:paraId="668F2834" w14:textId="2CFA0C66" w:rsidR="007A07F8" w:rsidRPr="009B21B5" w:rsidRDefault="007A07F8" w:rsidP="00AD727F">
      <w:pPr>
        <w:numPr>
          <w:ilvl w:val="0"/>
          <w:numId w:val="26"/>
        </w:numPr>
        <w:spacing w:before="120" w:after="120" w:line="264" w:lineRule="auto"/>
        <w:jc w:val="both"/>
        <w:rPr>
          <w:rFonts w:ascii="Calibri" w:hAnsi="Calibri" w:cs="Calibri"/>
          <w:bCs/>
          <w:lang w:val="nl-BE" w:eastAsia="fr-FR"/>
        </w:rPr>
      </w:pPr>
      <w:r w:rsidRPr="009B21B5">
        <w:rPr>
          <w:rFonts w:ascii="Calibri" w:hAnsi="Calibri" w:cs="Calibri"/>
          <w:b/>
          <w:bCs/>
          <w:lang w:val="nl-BE" w:eastAsia="nl"/>
        </w:rPr>
        <w:t>De voedingsscore</w:t>
      </w:r>
      <w:r w:rsidRPr="009B21B5">
        <w:rPr>
          <w:rFonts w:ascii="Calibri" w:hAnsi="Calibri" w:cs="Calibri"/>
          <w:bCs/>
          <w:lang w:val="nl-BE" w:eastAsia="nl"/>
        </w:rPr>
        <w:t xml:space="preserve"> geeft, op basis van de verschillende nutriënten en ingrediënten in een voedingsmiddel die belangrijk zijn voor de gezondheid, een unieke, geschatte waarde van de voedzaamheid van dat voedingsmiddel, op een doorlopende cijferschaal gaande van </w:t>
      </w:r>
      <w:r w:rsidRPr="009B21B5">
        <w:rPr>
          <w:bCs/>
          <w:lang w:val="nl-BE"/>
        </w:rPr>
        <w:t>'min 15'</w:t>
      </w:r>
      <w:r w:rsidR="00CF1810" w:rsidRPr="009B21B5">
        <w:rPr>
          <w:rFonts w:ascii="Calibri" w:hAnsi="Calibri" w:cs="Calibri"/>
          <w:bCs/>
          <w:lang w:val="nl-BE" w:eastAsia="nl"/>
        </w:rPr>
        <w:t xml:space="preserve"> -15 (beste voedingskwaliteit) tot </w:t>
      </w:r>
      <w:r w:rsidRPr="009B21B5">
        <w:rPr>
          <w:bCs/>
          <w:lang w:val="nl-BE"/>
        </w:rPr>
        <w:t xml:space="preserve">'plus veertig' </w:t>
      </w:r>
      <w:r w:rsidRPr="009B21B5">
        <w:rPr>
          <w:rFonts w:ascii="Calibri" w:hAnsi="Calibri" w:cs="Calibri"/>
          <w:bCs/>
          <w:lang w:val="nl-BE" w:eastAsia="nl"/>
        </w:rPr>
        <w:t>+40 (slechtste voedingskwaliteit).</w:t>
      </w:r>
    </w:p>
    <w:p w14:paraId="1D064336" w14:textId="77777777" w:rsidR="006A159F" w:rsidRPr="009B21B5" w:rsidRDefault="006A159F" w:rsidP="00AD727F">
      <w:pPr>
        <w:spacing w:before="120" w:after="120" w:line="264" w:lineRule="auto"/>
        <w:ind w:left="720"/>
        <w:jc w:val="both"/>
        <w:rPr>
          <w:rFonts w:ascii="Calibri" w:hAnsi="Calibri" w:cs="Calibri"/>
          <w:bCs/>
          <w:lang w:val="nl-BE" w:eastAsia="fr-FR"/>
        </w:rPr>
      </w:pPr>
    </w:p>
    <w:p w14:paraId="144D2CD0" w14:textId="771EABE7" w:rsidR="007A07F8" w:rsidRPr="009B21B5" w:rsidRDefault="007A07F8" w:rsidP="00AD727F">
      <w:pPr>
        <w:numPr>
          <w:ilvl w:val="0"/>
          <w:numId w:val="26"/>
        </w:numPr>
        <w:spacing w:before="120" w:after="120" w:line="264" w:lineRule="auto"/>
        <w:jc w:val="both"/>
        <w:rPr>
          <w:rFonts w:ascii="Calibri" w:hAnsi="Calibri" w:cs="Calibri"/>
          <w:bCs/>
          <w:lang w:val="nl-BE" w:eastAsia="fr-FR"/>
        </w:rPr>
      </w:pPr>
      <w:r w:rsidRPr="009B21B5">
        <w:rPr>
          <w:rFonts w:ascii="Calibri" w:hAnsi="Calibri" w:cs="Calibri"/>
          <w:b/>
          <w:bCs/>
          <w:lang w:val="nl-BE" w:eastAsia="nl"/>
        </w:rPr>
        <w:t xml:space="preserve">De </w:t>
      </w:r>
      <w:proofErr w:type="spellStart"/>
      <w:r w:rsidRPr="009B21B5">
        <w:rPr>
          <w:rFonts w:ascii="Calibri" w:hAnsi="Calibri" w:cs="Calibri"/>
          <w:b/>
          <w:bCs/>
          <w:lang w:val="nl-BE" w:eastAsia="nl"/>
        </w:rPr>
        <w:t>Nutri</w:t>
      </w:r>
      <w:proofErr w:type="spellEnd"/>
      <w:r w:rsidRPr="009B21B5">
        <w:rPr>
          <w:rFonts w:ascii="Calibri" w:hAnsi="Calibri" w:cs="Calibri"/>
          <w:b/>
          <w:bCs/>
          <w:lang w:val="nl-BE" w:eastAsia="nl"/>
        </w:rPr>
        <w:t>-Score</w:t>
      </w:r>
      <w:r w:rsidR="00CF1810" w:rsidRPr="009B21B5">
        <w:rPr>
          <w:bCs/>
          <w:lang w:val="nl-BE"/>
        </w:rPr>
        <w:t xml:space="preserve"> is meer een grafische schaal die de voedingsscore opdeelt in 5 klassen (met een kleurencode gekoppeld aan een letter) en is bedoeld om de voedingskwaliteit van etenswaren zichtbaarder, leesbaarder en bevattelijker te maken voor de consument. Het gaat er daarbij niet om 'slechte' van 'goede' voedingsmiddelen te onderscheiden, maar om de beste etenswaren op te delen in 5 klassen, afhankelijk van hun gezondheidswaarde. Aan de hand van de </w:t>
      </w:r>
      <w:proofErr w:type="spellStart"/>
      <w:r w:rsidR="00CF1810" w:rsidRPr="009B21B5">
        <w:rPr>
          <w:bCs/>
          <w:lang w:val="nl-BE"/>
        </w:rPr>
        <w:t>Nutri</w:t>
      </w:r>
      <w:proofErr w:type="spellEnd"/>
      <w:r w:rsidR="00CF1810" w:rsidRPr="009B21B5">
        <w:rPr>
          <w:bCs/>
          <w:lang w:val="nl-BE"/>
        </w:rPr>
        <w:t>-Score kunnen voedingsproducenten hun producten ook herwerken zodat ze een klasse stijgen en de consument een sterk gezondheidsargument bieden in hun keuze.</w:t>
      </w:r>
    </w:p>
    <w:p w14:paraId="6FBCD1E5" w14:textId="77777777" w:rsidR="00522A12" w:rsidRPr="009B21B5" w:rsidRDefault="00522A12" w:rsidP="00AD727F">
      <w:pPr>
        <w:spacing w:before="120" w:after="120" w:line="264" w:lineRule="auto"/>
        <w:jc w:val="both"/>
        <w:rPr>
          <w:rFonts w:ascii="Calibri" w:hAnsi="Calibri" w:cs="Calibri"/>
          <w:lang w:val="nl-BE" w:eastAsia="fr-FR"/>
        </w:rPr>
      </w:pPr>
    </w:p>
    <w:p w14:paraId="39CD3015" w14:textId="77777777"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Het rekenalgoritme zoals dat beschreven staat in het besluit voorgelegd aan de Commissie, alsook de methode voor berekening van de drempelwaarden om voedingsmiddelen in te schalen met de </w:t>
      </w:r>
      <w:proofErr w:type="spellStart"/>
      <w:r w:rsidRPr="009B21B5">
        <w:rPr>
          <w:rFonts w:ascii="Calibri" w:hAnsi="Calibri" w:cs="Calibri"/>
          <w:lang w:val="nl-BE" w:eastAsia="nl"/>
        </w:rPr>
        <w:t>Nutri</w:t>
      </w:r>
      <w:proofErr w:type="spellEnd"/>
      <w:r w:rsidRPr="009B21B5">
        <w:rPr>
          <w:rFonts w:ascii="Calibri" w:hAnsi="Calibri" w:cs="Calibri"/>
          <w:lang w:val="nl-BE" w:eastAsia="nl"/>
        </w:rPr>
        <w:t xml:space="preserve">-Score, zijn openbaar en voor iedereen toegankelijk. Dat komt de transparantie en de uitbreiding van het systeem enorm ten goede. </w:t>
      </w:r>
    </w:p>
    <w:p w14:paraId="0FBA7311" w14:textId="77777777" w:rsidR="007A07F8" w:rsidRPr="009B21B5" w:rsidRDefault="007A07F8" w:rsidP="00AD727F">
      <w:pPr>
        <w:spacing w:before="120" w:after="120" w:line="264" w:lineRule="auto"/>
        <w:jc w:val="both"/>
        <w:rPr>
          <w:lang w:val="nl-BE"/>
        </w:rPr>
      </w:pPr>
      <w:r w:rsidRPr="009B21B5">
        <w:rPr>
          <w:rFonts w:ascii="Calibri" w:hAnsi="Calibri" w:cs="Calibri"/>
          <w:lang w:val="nl-BE" w:eastAsia="nl"/>
        </w:rPr>
        <w:t xml:space="preserve">De voedingsscore wordt berekend op basis van de voedingswaardegegevens voor 100 g product, waarbij de nutriënten </w:t>
      </w:r>
      <w:r w:rsidRPr="009B21B5">
        <w:rPr>
          <w:lang w:val="nl-BE"/>
        </w:rPr>
        <w:t xml:space="preserve">deel uitmaken van de verplichte voedingswaardevermelding of ze eventueel aanvullen in navolging van artikel 30 uit de FIC-verordening nr. 1169/2011, met andere woorden: </w:t>
      </w:r>
    </w:p>
    <w:p w14:paraId="7EDD1A0E"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energiewaarde</w:t>
      </w:r>
      <w:proofErr w:type="spellEnd"/>
      <w:r w:rsidRPr="007A07F8">
        <w:rPr>
          <w:rFonts w:ascii="Calibri" w:hAnsi="Calibri" w:cs="Calibri"/>
          <w:lang w:eastAsia="nl"/>
        </w:rPr>
        <w:t xml:space="preserve"> (Kcal/KJ) </w:t>
      </w:r>
    </w:p>
    <w:p w14:paraId="033D84D9"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hoeveelheid</w:t>
      </w:r>
      <w:proofErr w:type="spellEnd"/>
      <w:r w:rsidRPr="007A07F8">
        <w:rPr>
          <w:rFonts w:ascii="Calibri" w:hAnsi="Calibri" w:cs="Calibri"/>
          <w:lang w:eastAsia="nl"/>
        </w:rPr>
        <w:t xml:space="preserve"> </w:t>
      </w:r>
      <w:proofErr w:type="spellStart"/>
      <w:r w:rsidRPr="007A07F8">
        <w:rPr>
          <w:rFonts w:ascii="Calibri" w:hAnsi="Calibri" w:cs="Calibri"/>
          <w:lang w:eastAsia="nl"/>
        </w:rPr>
        <w:t>vetten</w:t>
      </w:r>
      <w:proofErr w:type="spellEnd"/>
      <w:r w:rsidRPr="007A07F8">
        <w:rPr>
          <w:rFonts w:ascii="Calibri" w:hAnsi="Calibri" w:cs="Calibri"/>
          <w:lang w:eastAsia="nl"/>
        </w:rPr>
        <w:t xml:space="preserve"> (g)</w:t>
      </w:r>
    </w:p>
    <w:p w14:paraId="6A1E32C0" w14:textId="77777777" w:rsidR="007A07F8" w:rsidRPr="009B21B5" w:rsidRDefault="007A07F8" w:rsidP="00AD727F">
      <w:pPr>
        <w:numPr>
          <w:ilvl w:val="0"/>
          <w:numId w:val="27"/>
        </w:numPr>
        <w:spacing w:before="120" w:after="120" w:line="264" w:lineRule="auto"/>
        <w:rPr>
          <w:rFonts w:ascii="Calibri" w:hAnsi="Calibri" w:cs="Calibri"/>
          <w:lang w:val="nl-BE" w:eastAsia="fr-FR"/>
        </w:rPr>
      </w:pPr>
      <w:r w:rsidRPr="009B21B5">
        <w:rPr>
          <w:rFonts w:ascii="Calibri" w:hAnsi="Calibri" w:cs="Calibri"/>
          <w:lang w:val="nl-BE" w:eastAsia="nl"/>
        </w:rPr>
        <w:t>De hoeveelheid verzadigde vetzuren (g)</w:t>
      </w:r>
    </w:p>
    <w:p w14:paraId="238DD94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hoeveelheid</w:t>
      </w:r>
      <w:proofErr w:type="spellEnd"/>
      <w:r w:rsidRPr="007A07F8">
        <w:rPr>
          <w:rFonts w:ascii="Calibri" w:hAnsi="Calibri" w:cs="Calibri"/>
          <w:lang w:eastAsia="nl"/>
        </w:rPr>
        <w:t xml:space="preserve"> </w:t>
      </w:r>
      <w:proofErr w:type="spellStart"/>
      <w:r w:rsidRPr="007A07F8">
        <w:rPr>
          <w:rFonts w:ascii="Calibri" w:hAnsi="Calibri" w:cs="Calibri"/>
          <w:lang w:eastAsia="nl"/>
        </w:rPr>
        <w:t>koolhydraten</w:t>
      </w:r>
      <w:proofErr w:type="spellEnd"/>
      <w:r w:rsidRPr="007A07F8">
        <w:rPr>
          <w:rFonts w:ascii="Calibri" w:hAnsi="Calibri" w:cs="Calibri"/>
          <w:lang w:eastAsia="nl"/>
        </w:rPr>
        <w:t xml:space="preserve"> (g)</w:t>
      </w:r>
    </w:p>
    <w:p w14:paraId="13D4538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hoeveelheid</w:t>
      </w:r>
      <w:proofErr w:type="spellEnd"/>
      <w:r w:rsidRPr="007A07F8">
        <w:rPr>
          <w:rFonts w:ascii="Calibri" w:hAnsi="Calibri" w:cs="Calibri"/>
          <w:lang w:eastAsia="nl"/>
        </w:rPr>
        <w:t xml:space="preserve"> </w:t>
      </w:r>
      <w:proofErr w:type="spellStart"/>
      <w:r w:rsidRPr="007A07F8">
        <w:rPr>
          <w:rFonts w:ascii="Calibri" w:hAnsi="Calibri" w:cs="Calibri"/>
          <w:lang w:eastAsia="nl"/>
        </w:rPr>
        <w:t>suiker</w:t>
      </w:r>
      <w:proofErr w:type="spellEnd"/>
    </w:p>
    <w:p w14:paraId="53943AE1"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hoeveelheid</w:t>
      </w:r>
      <w:proofErr w:type="spellEnd"/>
      <w:r w:rsidRPr="007A07F8">
        <w:rPr>
          <w:rFonts w:ascii="Calibri" w:hAnsi="Calibri" w:cs="Calibri"/>
          <w:lang w:eastAsia="nl"/>
        </w:rPr>
        <w:t xml:space="preserve"> </w:t>
      </w:r>
      <w:proofErr w:type="spellStart"/>
      <w:r w:rsidRPr="007A07F8">
        <w:rPr>
          <w:rFonts w:ascii="Calibri" w:hAnsi="Calibri" w:cs="Calibri"/>
          <w:lang w:eastAsia="nl"/>
        </w:rPr>
        <w:t>eiwitten</w:t>
      </w:r>
      <w:proofErr w:type="spellEnd"/>
      <w:r w:rsidRPr="007A07F8">
        <w:rPr>
          <w:rFonts w:ascii="Calibri" w:hAnsi="Calibri" w:cs="Calibri"/>
          <w:lang w:eastAsia="nl"/>
        </w:rPr>
        <w:t xml:space="preserve"> (g)</w:t>
      </w:r>
    </w:p>
    <w:p w14:paraId="78A39A5C" w14:textId="77777777" w:rsidR="007A07F8" w:rsidRPr="007A07F8" w:rsidRDefault="007A07F8" w:rsidP="00AD727F">
      <w:pPr>
        <w:numPr>
          <w:ilvl w:val="0"/>
          <w:numId w:val="27"/>
        </w:numPr>
        <w:spacing w:before="120" w:after="120" w:line="264" w:lineRule="auto"/>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hoeveelheid</w:t>
      </w:r>
      <w:proofErr w:type="spellEnd"/>
      <w:r w:rsidRPr="007A07F8">
        <w:rPr>
          <w:rFonts w:ascii="Calibri" w:hAnsi="Calibri" w:cs="Calibri"/>
          <w:lang w:eastAsia="nl"/>
        </w:rPr>
        <w:t xml:space="preserve"> </w:t>
      </w:r>
      <w:proofErr w:type="spellStart"/>
      <w:r w:rsidRPr="007A07F8">
        <w:rPr>
          <w:rFonts w:ascii="Calibri" w:hAnsi="Calibri" w:cs="Calibri"/>
          <w:lang w:eastAsia="nl"/>
        </w:rPr>
        <w:t>zout</w:t>
      </w:r>
      <w:proofErr w:type="spellEnd"/>
      <w:r w:rsidRPr="007A07F8">
        <w:rPr>
          <w:rFonts w:ascii="Calibri" w:hAnsi="Calibri" w:cs="Calibri"/>
          <w:lang w:eastAsia="nl"/>
        </w:rPr>
        <w:t xml:space="preserve"> (mg)</w:t>
      </w:r>
    </w:p>
    <w:p w14:paraId="3765A658" w14:textId="77777777" w:rsidR="007A07F8" w:rsidRPr="007A07F8" w:rsidRDefault="007A07F8" w:rsidP="00AD727F">
      <w:pPr>
        <w:numPr>
          <w:ilvl w:val="0"/>
          <w:numId w:val="28"/>
        </w:numPr>
        <w:spacing w:before="120" w:after="120" w:line="264" w:lineRule="auto"/>
        <w:jc w:val="both"/>
        <w:rPr>
          <w:rFonts w:ascii="Calibri" w:hAnsi="Calibri" w:cs="Calibri"/>
          <w:lang w:eastAsia="fr-FR"/>
        </w:rPr>
      </w:pPr>
      <w:r w:rsidRPr="007A07F8">
        <w:rPr>
          <w:rFonts w:ascii="Calibri" w:hAnsi="Calibri" w:cs="Calibri"/>
          <w:lang w:eastAsia="nl"/>
        </w:rPr>
        <w:t xml:space="preserve">De </w:t>
      </w:r>
      <w:proofErr w:type="spellStart"/>
      <w:r w:rsidRPr="007A07F8">
        <w:rPr>
          <w:rFonts w:ascii="Calibri" w:hAnsi="Calibri" w:cs="Calibri"/>
          <w:lang w:eastAsia="nl"/>
        </w:rPr>
        <w:t>vezels</w:t>
      </w:r>
      <w:proofErr w:type="spellEnd"/>
      <w:r w:rsidRPr="007A07F8">
        <w:rPr>
          <w:rFonts w:ascii="Calibri" w:hAnsi="Calibri" w:cs="Calibri"/>
          <w:lang w:eastAsia="nl"/>
        </w:rPr>
        <w:t xml:space="preserve"> (g)</w:t>
      </w:r>
    </w:p>
    <w:p w14:paraId="51AB5F99" w14:textId="77777777" w:rsidR="007A07F8" w:rsidRPr="007A07F8" w:rsidRDefault="007A07F8" w:rsidP="00AD727F">
      <w:pPr>
        <w:spacing w:before="120" w:after="120" w:line="264" w:lineRule="auto"/>
        <w:jc w:val="both"/>
        <w:rPr>
          <w:rFonts w:ascii="Calibri" w:hAnsi="Calibri" w:cs="Calibri"/>
          <w:lang w:eastAsia="fr-FR"/>
        </w:rPr>
      </w:pPr>
    </w:p>
    <w:p w14:paraId="367F646C" w14:textId="77777777"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Fruit en groenten, peulvruchten en noten zijn, door de vitamines die ze bevatten, van essentieel belang voor de volksgezondheid. Ze zorgen er mee voor dat de verspreide informatie in overeenstemming is met de voedingsrichtlijnen. Ze zijn ook opgenomen in de FSA-score. Aangezien een voedingsmiddel voor minstens 40 % moet bestaan uit fruit en groenten, peulvruchten en noten, wordt de informatie opgenomen in de lijst met ingrediënten naargelang voor die producten de vruchten en groenten vermeld worden in de wettelijke benaming van het product (artikel 9 van de FIC-verordening nr. 1169/2011, </w:t>
      </w:r>
      <w:r w:rsidRPr="007A07F8">
        <w:rPr>
          <w:rFonts w:ascii="Calibri" w:hAnsi="Calibri" w:cs="Calibri"/>
          <w:lang w:eastAsia="nl"/>
        </w:rPr>
        <w:fldChar w:fldCharType="begin"/>
      </w:r>
      <w:r w:rsidRPr="009B21B5">
        <w:rPr>
          <w:rFonts w:ascii="Calibri" w:hAnsi="Calibri" w:cs="Calibri"/>
          <w:lang w:val="nl-BE" w:eastAsia="nl"/>
        </w:rPr>
        <w:instrText xml:space="preserve"> ADDIN REFMGR.CITE &lt;Refman&gt;&lt;Cite&gt;&lt;Author&gt;Europa Summary of EU legislation&lt;/Author&gt;&lt;Year&gt;2012&lt;/Year&gt;&lt;RecNum&gt;242&lt;/RecNum&gt;&lt;IDText&gt;Labeling of foodstuffs. Regulation (EU) No. 1169/2011&lt;/IDText&gt;&lt;MDL Ref_Type="Online Source"&gt;&lt;Ref_Type&gt;Online Source&lt;/Ref_Type&gt;&lt;Ref_ID&gt;242&lt;/Ref_ID&gt;&lt;Title_Primary&gt;Labeling of foodstuffs. Regulation (EU) No. 1169/2011&lt;/Title_Primary&gt;&lt;Authors_Primary&gt;Europa Summary of EU legislation&lt;/Authors_Primary&gt;&lt;Date_Primary&gt;2012&lt;/Date_Primary&gt;&lt;Reprint&gt;Not in File&lt;/Reprint&gt;&lt;Pub_Place&gt;Brussels&lt;/Pub_Place&gt;&lt;Publisher&gt;European Union&lt;/Publisher&gt;&lt;Date_Secondary&gt;2014/7/29&lt;/Date_Secondary&gt;&lt;Web_URL&gt;&lt;u&gt;http://europa.eu/legislation_summaries/consumers/product_labelling_and_packaging/co0019_en.htm&lt;/u&gt;&lt;/Web_URL&gt;&lt;ZZ_WorkformID&gt;31&lt;/ZZ_WorkformID&gt;&lt;/MDL&gt;&lt;/Cite&gt;&lt;/Refman&gt;</w:instrText>
      </w:r>
      <w:r w:rsidRPr="007A07F8">
        <w:rPr>
          <w:rFonts w:ascii="Calibri" w:hAnsi="Calibri" w:cs="Calibri"/>
          <w:lang w:eastAsia="nl"/>
        </w:rPr>
        <w:fldChar w:fldCharType="separate"/>
      </w:r>
      <w:r w:rsidRPr="009B21B5">
        <w:rPr>
          <w:rFonts w:ascii="Calibri" w:hAnsi="Calibri" w:cs="Calibri"/>
          <w:noProof/>
          <w:lang w:val="nl-BE" w:eastAsia="nl"/>
        </w:rPr>
        <w:t>(Europa Summary of EU legislation 2012)</w:t>
      </w:r>
      <w:r w:rsidRPr="007A07F8">
        <w:rPr>
          <w:rFonts w:ascii="Calibri" w:hAnsi="Calibri" w:cs="Calibri"/>
          <w:lang w:eastAsia="nl"/>
        </w:rPr>
        <w:fldChar w:fldCharType="end"/>
      </w:r>
      <w:r w:rsidRPr="009B21B5">
        <w:rPr>
          <w:rFonts w:ascii="Calibri" w:hAnsi="Calibri" w:cs="Calibri"/>
          <w:lang w:val="nl-BE" w:eastAsia="nl"/>
        </w:rPr>
        <w:t>).</w:t>
      </w:r>
    </w:p>
    <w:p w14:paraId="503C5608" w14:textId="77777777" w:rsidR="007A07F8" w:rsidRPr="009B21B5" w:rsidRDefault="006018D1" w:rsidP="00AD727F">
      <w:pPr>
        <w:pStyle w:val="Paragraphedeliste"/>
        <w:numPr>
          <w:ilvl w:val="0"/>
          <w:numId w:val="48"/>
        </w:numPr>
        <w:spacing w:before="120" w:after="120" w:line="264" w:lineRule="auto"/>
        <w:contextualSpacing w:val="0"/>
        <w:rPr>
          <w:b/>
          <w:noProof/>
          <w:u w:val="single"/>
          <w:lang w:val="nl-BE" w:eastAsia="fr-FR"/>
        </w:rPr>
      </w:pPr>
      <w:bookmarkStart w:id="80" w:name="_Toc489544833"/>
      <w:r w:rsidRPr="009B21B5">
        <w:rPr>
          <w:b/>
          <w:noProof/>
          <w:u w:val="single"/>
          <w:lang w:val="nl-BE" w:eastAsia="nl"/>
        </w:rPr>
        <w:lastRenderedPageBreak/>
        <w:t>De</w:t>
      </w:r>
      <w:r w:rsidR="007A07F8" w:rsidRPr="009B21B5">
        <w:rPr>
          <w:b/>
          <w:noProof/>
          <w:u w:val="single"/>
          <w:lang w:val="nl-BE" w:eastAsia="nl"/>
        </w:rPr>
        <w:t xml:space="preserve"> berekeningsmodaliteiten voor de score: algemeen geval</w:t>
      </w:r>
      <w:bookmarkEnd w:id="80"/>
    </w:p>
    <w:p w14:paraId="35BD3FBB" w14:textId="2BC6FD91"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De score is opgesplitst in twee delen: de </w:t>
      </w:r>
      <w:r w:rsidR="00144762" w:rsidRPr="009B21B5">
        <w:rPr>
          <w:rFonts w:ascii="Calibri" w:hAnsi="Calibri" w:cs="Calibri"/>
          <w:color w:val="0070C0"/>
          <w:lang w:val="nl-BE" w:eastAsia="nl"/>
        </w:rPr>
        <w:t>negatieve</w:t>
      </w:r>
      <w:r w:rsidRPr="009B21B5">
        <w:rPr>
          <w:rFonts w:ascii="Calibri" w:hAnsi="Calibri" w:cs="Calibri"/>
          <w:lang w:val="nl-BE" w:eastAsia="nl"/>
        </w:rPr>
        <w:t xml:space="preserve"> punten (die overeenstemmen met de 'ongunstige' bestanddelen waarvan overmatig gebruik beschouwd wordt als nadelig voor de gezondheid: energie, suikers, natrium en verzadigde vetten</w:t>
      </w:r>
      <w:r w:rsidRPr="00DC7BBC">
        <w:rPr>
          <w:rStyle w:val="Appelnotedebasdep"/>
        </w:rPr>
        <w:footnoteReference w:id="4"/>
      </w:r>
      <w:r w:rsidR="00144762" w:rsidRPr="009B21B5">
        <w:rPr>
          <w:rFonts w:ascii="Calibri" w:hAnsi="Calibri" w:cs="Calibri"/>
          <w:lang w:val="nl-BE" w:eastAsia="nl"/>
        </w:rPr>
        <w:t xml:space="preserve">) en de </w:t>
      </w:r>
      <w:r w:rsidR="00144762" w:rsidRPr="009B21B5">
        <w:rPr>
          <w:rFonts w:ascii="Calibri" w:hAnsi="Calibri" w:cs="Calibri"/>
          <w:color w:val="0070C0"/>
          <w:lang w:val="nl-BE" w:eastAsia="nl"/>
        </w:rPr>
        <w:t>positieve</w:t>
      </w:r>
      <w:r w:rsidRPr="009B21B5">
        <w:rPr>
          <w:rFonts w:ascii="Calibri" w:hAnsi="Calibri" w:cs="Calibri"/>
          <w:lang w:val="nl-BE" w:eastAsia="nl"/>
        </w:rPr>
        <w:t xml:space="preserve"> punten (die overeenstemmen met de 'gunstige' bestanddelen: fruit, groenten, peulvruchten, noten en koolzaad-, noten- en olijfolie, eiwitten en vezels, waarvan een gepast gebruik wordt beschouwd als voordelig voor de gezondheid).</w:t>
      </w:r>
    </w:p>
    <w:p w14:paraId="3842C612" w14:textId="77777777" w:rsidR="007A07F8" w:rsidRPr="009B21B5" w:rsidRDefault="007A07F8" w:rsidP="00AD727F">
      <w:pPr>
        <w:numPr>
          <w:ilvl w:val="0"/>
          <w:numId w:val="28"/>
        </w:numPr>
        <w:spacing w:before="120" w:after="120" w:line="264" w:lineRule="auto"/>
        <w:jc w:val="both"/>
        <w:rPr>
          <w:rFonts w:ascii="Calibri" w:hAnsi="Calibri" w:cs="Calibri"/>
          <w:lang w:val="nl-BE" w:eastAsia="fr-FR"/>
        </w:rPr>
      </w:pPr>
      <w:r w:rsidRPr="009B21B5">
        <w:rPr>
          <w:rFonts w:ascii="Calibri" w:hAnsi="Calibri" w:cs="Calibri"/>
          <w:lang w:val="nl-BE" w:eastAsia="nl"/>
        </w:rPr>
        <w:t>Voor elk van de 4 'ongunstige' bestanddelen wordt een score van 0 tot 10 punten toegekend, afhankelijk van hun aandeel in 100 g van het voedingsmiddel. De punten worden toegekend op basis van de referentie-inname voor het nutriënt in kwestie. Eerst wordt de som gemaakt van de 'ongunstige' bestanddelen, wat een positief puntentotaal oplevert (met een maximum van +40).</w:t>
      </w:r>
    </w:p>
    <w:p w14:paraId="74B571E9" w14:textId="77777777" w:rsidR="007A07F8" w:rsidRPr="009B21B5" w:rsidRDefault="007A07F8" w:rsidP="00AD727F">
      <w:pPr>
        <w:numPr>
          <w:ilvl w:val="0"/>
          <w:numId w:val="28"/>
        </w:numPr>
        <w:spacing w:before="120" w:after="120" w:line="264" w:lineRule="auto"/>
        <w:jc w:val="both"/>
        <w:rPr>
          <w:rFonts w:ascii="Calibri" w:hAnsi="Calibri" w:cs="Calibri"/>
          <w:lang w:val="nl-BE" w:eastAsia="fr-FR"/>
        </w:rPr>
      </w:pPr>
      <w:r w:rsidRPr="009B21B5">
        <w:rPr>
          <w:rFonts w:ascii="Calibri" w:hAnsi="Calibri" w:cs="Calibri"/>
          <w:lang w:val="nl-BE" w:eastAsia="nl"/>
        </w:rPr>
        <w:t>Voor de 3 'gunstige' bestanddelen worden 0 tot 5 punten toegekend (0 tot 10 punten bij dranken) naargelang hun hoeveelheid per 100 g (maximaal -15).</w:t>
      </w:r>
    </w:p>
    <w:p w14:paraId="6FDFDB85" w14:textId="173ECC77" w:rsidR="00EA2C12" w:rsidRPr="007A07F8" w:rsidRDefault="00144762" w:rsidP="00AD727F">
      <w:pPr>
        <w:spacing w:before="120" w:after="120" w:line="264" w:lineRule="auto"/>
        <w:ind w:left="720"/>
        <w:jc w:val="both"/>
        <w:rPr>
          <w:rFonts w:ascii="Calibri" w:hAnsi="Calibri" w:cs="Calibri"/>
          <w:lang w:eastAsia="fr-FR"/>
        </w:rPr>
      </w:pPr>
      <w:r>
        <w:rPr>
          <w:noProof/>
          <w:lang w:eastAsia="nl"/>
        </w:rPr>
        <w:drawing>
          <wp:inline distT="0" distB="0" distL="0" distR="0" wp14:anchorId="5F36AED2" wp14:editId="61EA5384">
            <wp:extent cx="5105400" cy="31474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06490" cy="3148125"/>
                    </a:xfrm>
                    <a:prstGeom prst="rect">
                      <a:avLst/>
                    </a:prstGeom>
                  </pic:spPr>
                </pic:pic>
              </a:graphicData>
            </a:graphic>
          </wp:inline>
        </w:drawing>
      </w:r>
    </w:p>
    <w:p w14:paraId="79F58276" w14:textId="77777777" w:rsidR="00EA2C12" w:rsidRDefault="00EA2C12" w:rsidP="00AD727F">
      <w:pPr>
        <w:spacing w:before="120" w:after="120" w:line="264" w:lineRule="auto"/>
        <w:jc w:val="center"/>
        <w:rPr>
          <w:rFonts w:ascii="Calibri" w:hAnsi="Calibri" w:cs="Calibri"/>
          <w:sz w:val="16"/>
          <w:szCs w:val="16"/>
          <w:lang w:eastAsia="fr-FR"/>
        </w:rPr>
      </w:pPr>
    </w:p>
    <w:p w14:paraId="5A9AE087" w14:textId="77777777"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Afhankelijk van het niveau van de positieve score worden alle 'gunstige' bestanddelen afgetrokken, of enkel vezels, fruit, groenten, peulvruchten en noten en koolzaad-, noten- en olijfolie op basis van de onderstaande voorwaarden.</w:t>
      </w:r>
    </w:p>
    <w:p w14:paraId="02A47808" w14:textId="77777777" w:rsidR="007A07F8" w:rsidRPr="009B21B5" w:rsidRDefault="007A07F8" w:rsidP="00AD727F">
      <w:pPr>
        <w:numPr>
          <w:ilvl w:val="0"/>
          <w:numId w:val="29"/>
        </w:numPr>
        <w:spacing w:before="120" w:after="120" w:line="264" w:lineRule="auto"/>
        <w:jc w:val="both"/>
        <w:rPr>
          <w:rFonts w:ascii="Calibri" w:hAnsi="Calibri" w:cs="Calibri"/>
          <w:lang w:val="nl-BE" w:eastAsia="fr-FR"/>
        </w:rPr>
      </w:pPr>
      <w:r w:rsidRPr="009B21B5">
        <w:rPr>
          <w:rFonts w:ascii="Calibri" w:hAnsi="Calibri" w:cs="Calibri"/>
          <w:lang w:val="nl-BE" w:eastAsia="nl"/>
        </w:rPr>
        <w:t>Indien het totaal van de N-bestanddelen minder dan 11 bedraagt, dan is de voedingsscore gelijk aan het totaal van de N-bestanddelen min het totaal van de P-bestanddelen.</w:t>
      </w:r>
    </w:p>
    <w:p w14:paraId="7A9D8E57" w14:textId="77777777" w:rsidR="007A07F8" w:rsidRPr="009B21B5" w:rsidRDefault="007A07F8" w:rsidP="00AD727F">
      <w:pPr>
        <w:numPr>
          <w:ilvl w:val="0"/>
          <w:numId w:val="29"/>
        </w:numPr>
        <w:spacing w:before="120" w:after="120" w:line="264" w:lineRule="auto"/>
        <w:jc w:val="both"/>
        <w:rPr>
          <w:rFonts w:ascii="Calibri" w:hAnsi="Calibri" w:cs="Calibri"/>
          <w:lang w:val="nl-BE" w:eastAsia="fr-FR"/>
        </w:rPr>
      </w:pPr>
      <w:r w:rsidRPr="009B21B5">
        <w:rPr>
          <w:rFonts w:ascii="Calibri" w:hAnsi="Calibri" w:cs="Calibri"/>
          <w:lang w:val="nl-BE" w:eastAsia="nl"/>
        </w:rPr>
        <w:t>Is het totaal van de N-bestanddelen gelijk aan of groter dan 11 en,</w:t>
      </w:r>
    </w:p>
    <w:p w14:paraId="096A8BBC" w14:textId="77777777" w:rsidR="007A07F8" w:rsidRPr="009B21B5" w:rsidRDefault="007A07F8" w:rsidP="00E2489F">
      <w:pPr>
        <w:numPr>
          <w:ilvl w:val="0"/>
          <w:numId w:val="30"/>
        </w:num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Is het puntentotaal voor 'fruit, groenten, peulvruchten, noten en </w:t>
      </w:r>
      <w:r w:rsidR="00E2489F" w:rsidRPr="009B21B5">
        <w:rPr>
          <w:rFonts w:ascii="Calibri" w:hAnsi="Calibri" w:cs="Calibri"/>
          <w:lang w:val="nl-BE" w:eastAsia="nl"/>
        </w:rPr>
        <w:t>koolzaad-, noten- en olijfolie'' gelijk aan 5 (10 voor dranken), dan is de voedingsscore gelijk aan het totaal van de punten voor de N-bestanddelen min het totaal voor de P-bestanddelen.</w:t>
      </w:r>
    </w:p>
    <w:p w14:paraId="577F5388" w14:textId="77777777" w:rsidR="007A07F8" w:rsidRPr="009B21B5" w:rsidRDefault="007A07F8" w:rsidP="00AD727F">
      <w:pPr>
        <w:numPr>
          <w:ilvl w:val="0"/>
          <w:numId w:val="30"/>
        </w:num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Is het puntentotaal voor 'fruit, groenten, peulvruchten, noten en </w:t>
      </w:r>
      <w:r w:rsidR="00E2489F" w:rsidRPr="009B21B5">
        <w:rPr>
          <w:rFonts w:ascii="Calibri" w:hAnsi="Calibri" w:cs="Calibri"/>
          <w:lang w:val="nl-BE" w:eastAsia="nl"/>
        </w:rPr>
        <w:t xml:space="preserve">koolzaad-, -noten- en olijfolie' lager dan 5, dan is de voedingsscore </w:t>
      </w:r>
      <w:r w:rsidRPr="009B21B5">
        <w:rPr>
          <w:rFonts w:ascii="Calibri" w:hAnsi="Calibri" w:cs="Calibri"/>
          <w:lang w:val="nl-BE" w:eastAsia="nl"/>
        </w:rPr>
        <w:t xml:space="preserve">gelijk aan het totaal van de punten van de N-bestanddelen </w:t>
      </w:r>
      <w:r w:rsidR="00EA2C12" w:rsidRPr="009B21B5">
        <w:rPr>
          <w:rFonts w:ascii="Calibri" w:hAnsi="Calibri" w:cs="Calibri"/>
          <w:lang w:val="nl-BE" w:eastAsia="nl"/>
        </w:rPr>
        <w:t xml:space="preserve">min de som van de punten voor 'vezels' en de punten voor 'fruit, </w:t>
      </w:r>
      <w:r w:rsidR="00EA2C12" w:rsidRPr="009B21B5">
        <w:rPr>
          <w:rFonts w:ascii="Calibri" w:hAnsi="Calibri" w:cs="Calibri"/>
          <w:lang w:val="nl-BE" w:eastAsia="nl"/>
        </w:rPr>
        <w:lastRenderedPageBreak/>
        <w:t xml:space="preserve">groenten, peulvruchten, noten en </w:t>
      </w:r>
      <w:r w:rsidR="00E2489F" w:rsidRPr="009B21B5">
        <w:rPr>
          <w:rFonts w:ascii="Calibri" w:hAnsi="Calibri" w:cs="Calibri"/>
          <w:lang w:val="nl-BE" w:eastAsia="nl"/>
        </w:rPr>
        <w:t>koolzaad-, -noten- en olijfolie'. In dat geval wordt dus geen rekening gehouden met het eiwitgehalte bij de berekening van de voedingsscore.</w:t>
      </w:r>
    </w:p>
    <w:p w14:paraId="4AB47700" w14:textId="77777777" w:rsidR="007A07F8" w:rsidRPr="009B21B5" w:rsidRDefault="007A07F8" w:rsidP="00AD727F">
      <w:pPr>
        <w:tabs>
          <w:tab w:val="left" w:pos="3345"/>
        </w:tabs>
        <w:spacing w:before="120" w:after="120" w:line="264" w:lineRule="auto"/>
        <w:ind w:left="720"/>
        <w:jc w:val="both"/>
        <w:rPr>
          <w:rFonts w:ascii="Calibri" w:hAnsi="Calibri" w:cs="Calibri"/>
          <w:sz w:val="16"/>
          <w:szCs w:val="16"/>
          <w:lang w:val="nl-BE" w:eastAsia="fr-FR"/>
        </w:rPr>
      </w:pPr>
      <w:r w:rsidRPr="009B21B5">
        <w:rPr>
          <w:rFonts w:ascii="Calibri" w:hAnsi="Calibri" w:cs="Calibri"/>
          <w:lang w:val="nl-BE" w:eastAsia="nl"/>
        </w:rPr>
        <w:tab/>
      </w:r>
    </w:p>
    <w:p w14:paraId="084618BD" w14:textId="77777777" w:rsidR="00FC3852" w:rsidRPr="009B21B5" w:rsidRDefault="00FC3852" w:rsidP="00AD727F">
      <w:pPr>
        <w:spacing w:before="120" w:after="120" w:line="264" w:lineRule="auto"/>
        <w:ind w:left="360"/>
        <w:jc w:val="both"/>
        <w:rPr>
          <w:rFonts w:ascii="Calibri" w:hAnsi="Calibri" w:cs="Calibri"/>
          <w:lang w:val="nl-BE" w:eastAsia="fr-FR"/>
        </w:rPr>
      </w:pPr>
      <w:r w:rsidRPr="009B21B5">
        <w:rPr>
          <w:rFonts w:ascii="Calibri" w:hAnsi="Calibri" w:cs="Calibri"/>
          <w:lang w:val="nl-BE" w:eastAsia="nl"/>
        </w:rPr>
        <w:t>Onderstaand schema vat samen welke formule in de verschillende voorbeelden moet worden toegepast.</w:t>
      </w:r>
    </w:p>
    <w:p w14:paraId="042FC70E" w14:textId="77777777" w:rsidR="00363C71" w:rsidRDefault="004E6A38" w:rsidP="00595EFF">
      <w:pPr>
        <w:spacing w:before="120" w:after="120" w:line="264" w:lineRule="auto"/>
        <w:ind w:left="360"/>
        <w:jc w:val="center"/>
        <w:rPr>
          <w:rFonts w:ascii="Calibri" w:hAnsi="Calibri" w:cs="Calibri"/>
          <w:lang w:eastAsia="fr-FR"/>
        </w:rPr>
      </w:pPr>
      <w:r>
        <w:rPr>
          <w:rFonts w:ascii="Calibri" w:hAnsi="Calibri" w:cs="Calibri"/>
          <w:noProof/>
          <w:lang w:eastAsia="nl"/>
        </w:rPr>
        <w:drawing>
          <wp:inline distT="0" distB="0" distL="0" distR="0" wp14:anchorId="3BC6ECF9" wp14:editId="597DEEE9">
            <wp:extent cx="5184739" cy="2219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95562" cy="2223958"/>
                    </a:xfrm>
                    <a:prstGeom prst="rect">
                      <a:avLst/>
                    </a:prstGeom>
                    <a:noFill/>
                  </pic:spPr>
                </pic:pic>
              </a:graphicData>
            </a:graphic>
          </wp:inline>
        </w:drawing>
      </w:r>
    </w:p>
    <w:p w14:paraId="37F426FF" w14:textId="77777777" w:rsidR="00363C71" w:rsidRDefault="00363C71" w:rsidP="00AD727F">
      <w:pPr>
        <w:spacing w:before="120" w:after="120" w:line="264" w:lineRule="auto"/>
        <w:ind w:left="360"/>
        <w:jc w:val="center"/>
        <w:rPr>
          <w:rFonts w:ascii="Calibri" w:hAnsi="Calibri" w:cs="Calibri"/>
          <w:lang w:eastAsia="fr-FR"/>
        </w:rPr>
      </w:pPr>
    </w:p>
    <w:p w14:paraId="2C88E658" w14:textId="77777777" w:rsidR="00363C71" w:rsidRPr="009B21B5" w:rsidRDefault="00363C71" w:rsidP="00AD727F">
      <w:pPr>
        <w:pStyle w:val="Paragraphedeliste"/>
        <w:spacing w:before="120" w:after="120" w:line="264" w:lineRule="auto"/>
        <w:contextualSpacing w:val="0"/>
        <w:rPr>
          <w:rFonts w:ascii="Calibri" w:hAnsi="Calibri" w:cs="Calibri"/>
          <w:i/>
          <w:lang w:val="nl-BE" w:eastAsia="fr-FR"/>
        </w:rPr>
      </w:pPr>
      <w:r w:rsidRPr="009B21B5">
        <w:rPr>
          <w:rFonts w:ascii="Calibri" w:hAnsi="Calibri" w:cs="Calibri"/>
          <w:i/>
          <w:lang w:val="nl-BE" w:eastAsia="nl"/>
        </w:rPr>
        <w:t>*Voor dranken kan de score gelijk zijn aan 10 (</w:t>
      </w:r>
      <w:proofErr w:type="spellStart"/>
      <w:r w:rsidRPr="009B21B5">
        <w:rPr>
          <w:rFonts w:ascii="Calibri" w:hAnsi="Calibri" w:cs="Calibri"/>
          <w:i/>
          <w:lang w:val="nl-BE" w:eastAsia="nl"/>
        </w:rPr>
        <w:t>cfr</w:t>
      </w:r>
      <w:proofErr w:type="spellEnd"/>
      <w:r w:rsidRPr="009B21B5">
        <w:rPr>
          <w:rFonts w:ascii="Calibri" w:hAnsi="Calibri" w:cs="Calibri"/>
          <w:i/>
          <w:lang w:val="nl-BE" w:eastAsia="nl"/>
        </w:rPr>
        <w:t>. specifieke tabel voor puntentoekenning hieronder)</w:t>
      </w:r>
    </w:p>
    <w:p w14:paraId="1AF9926A" w14:textId="77777777" w:rsidR="00363C71" w:rsidRPr="009B21B5" w:rsidRDefault="00363C71" w:rsidP="00AD727F">
      <w:pPr>
        <w:spacing w:before="120" w:after="120" w:line="264" w:lineRule="auto"/>
        <w:ind w:left="360"/>
        <w:jc w:val="center"/>
        <w:rPr>
          <w:rFonts w:ascii="Calibri" w:hAnsi="Calibri" w:cs="Calibri"/>
          <w:lang w:val="nl-BE" w:eastAsia="fr-FR"/>
        </w:rPr>
      </w:pPr>
    </w:p>
    <w:p w14:paraId="7372BB2E" w14:textId="77777777" w:rsidR="007A07F8" w:rsidRPr="009B21B5" w:rsidRDefault="007A07F8" w:rsidP="00AD727F">
      <w:pPr>
        <w:spacing w:before="120" w:after="120" w:line="264" w:lineRule="auto"/>
        <w:ind w:left="360"/>
        <w:jc w:val="both"/>
        <w:rPr>
          <w:rFonts w:ascii="Calibri" w:hAnsi="Calibri" w:cs="Calibri"/>
          <w:lang w:val="nl-BE" w:eastAsia="fr-FR"/>
        </w:rPr>
      </w:pPr>
      <w:r w:rsidRPr="009B21B5">
        <w:rPr>
          <w:rFonts w:ascii="Calibri" w:hAnsi="Calibri" w:cs="Calibri"/>
          <w:lang w:val="nl-BE" w:eastAsia="nl"/>
        </w:rPr>
        <w:t xml:space="preserve">Om punten toe te kennen voor de berekening van de voedingsscore in </w:t>
      </w:r>
      <w:r w:rsidRPr="009B21B5">
        <w:rPr>
          <w:rFonts w:ascii="Calibri" w:hAnsi="Calibri" w:cs="Calibri"/>
          <w:b/>
          <w:u w:val="single"/>
          <w:lang w:val="nl-BE" w:eastAsia="nl"/>
        </w:rPr>
        <w:t>algemene gevallen</w:t>
      </w:r>
      <w:r w:rsidRPr="009B21B5">
        <w:rPr>
          <w:rFonts w:ascii="Calibri" w:hAnsi="Calibri" w:cs="Calibri"/>
          <w:lang w:val="nl-BE" w:eastAsia="nl"/>
        </w:rPr>
        <w:t>, geldt de onderstaande tabel:</w:t>
      </w:r>
    </w:p>
    <w:p w14:paraId="1383C947" w14:textId="77777777" w:rsidR="007A07F8" w:rsidRPr="009B21B5" w:rsidRDefault="007A07F8" w:rsidP="00AD727F">
      <w:pPr>
        <w:spacing w:before="120" w:after="120" w:line="264" w:lineRule="auto"/>
        <w:ind w:left="720"/>
        <w:jc w:val="both"/>
        <w:rPr>
          <w:rFonts w:ascii="Calibri" w:hAnsi="Calibri" w:cs="Calibri"/>
          <w:sz w:val="16"/>
          <w:szCs w:val="16"/>
          <w:lang w:val="nl-BE" w:eastAsia="fr-FR"/>
        </w:rPr>
      </w:pPr>
    </w:p>
    <w:p w14:paraId="41CD5C1E" w14:textId="77777777" w:rsidR="007A07F8" w:rsidRPr="009B21B5" w:rsidRDefault="007A07F8" w:rsidP="00AD727F">
      <w:pPr>
        <w:numPr>
          <w:ilvl w:val="0"/>
          <w:numId w:val="31"/>
        </w:numPr>
        <w:spacing w:before="120" w:after="120" w:line="264" w:lineRule="auto"/>
        <w:jc w:val="both"/>
        <w:rPr>
          <w:rFonts w:ascii="Calibri" w:hAnsi="Calibri" w:cs="Calibri"/>
          <w:lang w:val="nl-BE" w:eastAsia="fr-FR"/>
        </w:rPr>
      </w:pPr>
      <w:r w:rsidRPr="009B21B5">
        <w:rPr>
          <w:rFonts w:ascii="Calibri" w:hAnsi="Calibri" w:cs="Calibri"/>
          <w:lang w:val="nl-BE" w:eastAsia="nl"/>
        </w:rPr>
        <w:t>Toekenning van de punten voor ongunstige nutriënten in de voedingsscore (N)</w:t>
      </w:r>
    </w:p>
    <w:p w14:paraId="7E53D4FE" w14:textId="77777777" w:rsidR="007A07F8" w:rsidRPr="009B21B5" w:rsidRDefault="007A07F8" w:rsidP="00AD727F">
      <w:pPr>
        <w:spacing w:before="120" w:after="120" w:line="264" w:lineRule="auto"/>
        <w:jc w:val="both"/>
        <w:rPr>
          <w:rFonts w:ascii="Calibri" w:hAnsi="Calibri" w:cs="Calibri"/>
          <w:sz w:val="16"/>
          <w:szCs w:val="16"/>
          <w:lang w:val="nl-BE" w:eastAsia="fr-FR"/>
        </w:rPr>
      </w:pPr>
    </w:p>
    <w:tbl>
      <w:tblPr>
        <w:tblW w:w="7584" w:type="dxa"/>
        <w:jc w:val="center"/>
        <w:tblCellMar>
          <w:left w:w="0" w:type="dxa"/>
          <w:right w:w="0" w:type="dxa"/>
        </w:tblCellMar>
        <w:tblLook w:val="04A0" w:firstRow="1" w:lastRow="0" w:firstColumn="1" w:lastColumn="0" w:noHBand="0" w:noVBand="1"/>
      </w:tblPr>
      <w:tblGrid>
        <w:gridCol w:w="1209"/>
        <w:gridCol w:w="1593"/>
        <w:gridCol w:w="1594"/>
        <w:gridCol w:w="1594"/>
        <w:gridCol w:w="1594"/>
      </w:tblGrid>
      <w:tr w:rsidR="007A07F8" w:rsidRPr="004C4310" w14:paraId="428FD7CB"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711F1C44" w14:textId="77777777" w:rsidR="007A07F8" w:rsidRPr="00411BF4" w:rsidRDefault="007A07F8" w:rsidP="00AD727F">
            <w:pPr>
              <w:spacing w:after="0" w:line="264" w:lineRule="auto"/>
              <w:jc w:val="center"/>
              <w:rPr>
                <w:rFonts w:ascii="Arial" w:eastAsia="Times New Roman" w:hAnsi="Arial" w:cs="Arial"/>
                <w:b/>
                <w:sz w:val="36"/>
                <w:szCs w:val="36"/>
                <w:lang w:eastAsia="fr-FR"/>
              </w:rPr>
            </w:pPr>
            <w:proofErr w:type="spellStart"/>
            <w:r w:rsidRPr="006018D1">
              <w:rPr>
                <w:rFonts w:eastAsia="Times New Roman" w:hAnsi="Calibri" w:cs="Calibri"/>
                <w:b/>
                <w:bCs/>
                <w:color w:val="000000" w:themeColor="text1"/>
                <w:kern w:val="24"/>
                <w:lang w:eastAsia="nl"/>
              </w:rPr>
              <w:t>Punten</w:t>
            </w:r>
            <w:proofErr w:type="spellEnd"/>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18C509E" w14:textId="77777777" w:rsidR="007A07F8" w:rsidRPr="00917635" w:rsidRDefault="004E6A38" w:rsidP="004E6A38">
            <w:pPr>
              <w:spacing w:after="0" w:line="264" w:lineRule="auto"/>
              <w:jc w:val="center"/>
              <w:rPr>
                <w:rFonts w:ascii="Arial" w:eastAsia="Times New Roman" w:hAnsi="Arial" w:cs="Arial"/>
                <w:b/>
                <w:sz w:val="36"/>
                <w:szCs w:val="36"/>
                <w:lang w:eastAsia="fr-FR"/>
              </w:rPr>
            </w:pPr>
            <w:r w:rsidRPr="00917635">
              <w:rPr>
                <w:rFonts w:ascii="Calibri" w:eastAsia="Times New Roman" w:hAnsi="Calibri" w:cs="Calibri"/>
                <w:b/>
                <w:kern w:val="24"/>
                <w:lang w:eastAsia="nl"/>
              </w:rPr>
              <w:t>Energie (kJ/100 g)</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0EFD973E" w14:textId="77777777" w:rsidR="007A07F8" w:rsidRPr="00917635" w:rsidRDefault="007A07F8" w:rsidP="00AD727F">
            <w:pPr>
              <w:spacing w:after="0" w:line="264" w:lineRule="auto"/>
              <w:jc w:val="center"/>
              <w:rPr>
                <w:rFonts w:ascii="Arial" w:eastAsia="Times New Roman" w:hAnsi="Arial" w:cs="Arial"/>
                <w:b/>
                <w:sz w:val="36"/>
                <w:szCs w:val="36"/>
                <w:lang w:eastAsia="fr-FR"/>
              </w:rPr>
            </w:pPr>
            <w:proofErr w:type="spellStart"/>
            <w:r w:rsidRPr="00917635">
              <w:rPr>
                <w:rFonts w:ascii="Calibri" w:eastAsia="Times New Roman" w:hAnsi="Calibri" w:cs="Calibri"/>
                <w:b/>
                <w:kern w:val="24"/>
                <w:lang w:val="en-US" w:eastAsia="nl"/>
              </w:rPr>
              <w:t>Suikers</w:t>
            </w:r>
            <w:proofErr w:type="spellEnd"/>
            <w:r w:rsidRPr="00917635">
              <w:rPr>
                <w:rFonts w:ascii="Calibri" w:eastAsia="Times New Roman" w:hAnsi="Calibri" w:cs="Calibri"/>
                <w:b/>
                <w:kern w:val="24"/>
                <w:lang w:val="en-US" w:eastAsia="nl"/>
              </w:rPr>
              <w:t xml:space="preserve"> (g/100 g)</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19FD0D5" w14:textId="77777777" w:rsidR="007A07F8" w:rsidRPr="00917635" w:rsidRDefault="007A07F8" w:rsidP="00AD727F">
            <w:pPr>
              <w:spacing w:after="0" w:line="264" w:lineRule="auto"/>
              <w:jc w:val="center"/>
              <w:rPr>
                <w:rFonts w:ascii="Arial" w:eastAsia="Times New Roman" w:hAnsi="Arial" w:cs="Arial"/>
                <w:b/>
                <w:sz w:val="36"/>
                <w:szCs w:val="36"/>
                <w:lang w:eastAsia="fr-FR"/>
              </w:rPr>
            </w:pPr>
            <w:proofErr w:type="spellStart"/>
            <w:r w:rsidRPr="00917635">
              <w:rPr>
                <w:rFonts w:ascii="Calibri" w:eastAsia="Times New Roman" w:hAnsi="Calibri" w:cs="Calibri"/>
                <w:b/>
                <w:kern w:val="24"/>
                <w:lang w:eastAsia="nl"/>
              </w:rPr>
              <w:t>Verzadigde</w:t>
            </w:r>
            <w:proofErr w:type="spellEnd"/>
            <w:r w:rsidRPr="00917635">
              <w:rPr>
                <w:rFonts w:ascii="Calibri" w:eastAsia="Times New Roman" w:hAnsi="Calibri" w:cs="Calibri"/>
                <w:b/>
                <w:kern w:val="24"/>
                <w:lang w:eastAsia="nl"/>
              </w:rPr>
              <w:t xml:space="preserve"> </w:t>
            </w:r>
            <w:proofErr w:type="spellStart"/>
            <w:r w:rsidRPr="00917635">
              <w:rPr>
                <w:rFonts w:ascii="Calibri" w:eastAsia="Times New Roman" w:hAnsi="Calibri" w:cs="Calibri"/>
                <w:b/>
                <w:kern w:val="24"/>
                <w:lang w:eastAsia="nl"/>
              </w:rPr>
              <w:t>vetzuren</w:t>
            </w:r>
            <w:proofErr w:type="spellEnd"/>
            <w:r w:rsidRPr="00917635">
              <w:rPr>
                <w:rFonts w:ascii="Calibri" w:eastAsia="Times New Roman" w:hAnsi="Calibri" w:cs="Calibri"/>
                <w:b/>
                <w:kern w:val="24"/>
                <w:lang w:eastAsia="nl"/>
              </w:rPr>
              <w:t xml:space="preserve"> (g/100 g)</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5B1B54C4" w14:textId="77777777" w:rsidR="007A07F8" w:rsidRPr="00917635" w:rsidRDefault="007A07F8" w:rsidP="00AD727F">
            <w:pPr>
              <w:spacing w:after="0" w:line="264" w:lineRule="auto"/>
              <w:jc w:val="center"/>
              <w:rPr>
                <w:rFonts w:ascii="Arial" w:eastAsia="Times New Roman" w:hAnsi="Arial" w:cs="Arial"/>
                <w:b/>
                <w:sz w:val="36"/>
                <w:szCs w:val="36"/>
                <w:lang w:eastAsia="fr-FR"/>
              </w:rPr>
            </w:pPr>
            <w:r w:rsidRPr="00917635">
              <w:rPr>
                <w:rFonts w:ascii="Calibri" w:eastAsia="Times New Roman" w:hAnsi="Calibri" w:cs="Calibri"/>
                <w:b/>
                <w:kern w:val="24"/>
                <w:lang w:val="en-US" w:eastAsia="nl"/>
              </w:rPr>
              <w:t>Natrium (mg/100 g)</w:t>
            </w:r>
            <w:r w:rsidRPr="00917635">
              <w:rPr>
                <w:rFonts w:ascii="Calibri" w:eastAsia="Times New Roman" w:hAnsi="Calibri" w:cs="Calibri"/>
                <w:b/>
                <w:kern w:val="24"/>
                <w:vertAlign w:val="superscript"/>
                <w:lang w:val="en-US" w:eastAsia="nl"/>
              </w:rPr>
              <w:t>1</w:t>
            </w:r>
          </w:p>
        </w:tc>
      </w:tr>
      <w:tr w:rsidR="007A07F8" w:rsidRPr="007A07F8" w14:paraId="141C6577"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356528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1A7C47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335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C295D3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9E9686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1</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A5759C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90</w:t>
            </w:r>
          </w:p>
        </w:tc>
      </w:tr>
      <w:tr w:rsidR="007A07F8" w:rsidRPr="007A07F8" w14:paraId="57ADD362"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06D39DC" w14:textId="77777777" w:rsidR="007A07F8" w:rsidRPr="00411BF4" w:rsidRDefault="007A07F8" w:rsidP="00AD727F">
            <w:pPr>
              <w:spacing w:after="0" w:line="264" w:lineRule="auto"/>
              <w:jc w:val="center"/>
              <w:rPr>
                <w:rFonts w:ascii="Calibri" w:hAnsi="Calibri" w:cs="Calibri"/>
                <w:b/>
                <w:lang w:eastAsia="fr-FR"/>
              </w:rPr>
            </w:pPr>
            <w:r w:rsidRPr="00411BF4">
              <w:rPr>
                <w:rFonts w:ascii="Calibri" w:hAnsi="Calibri" w:cs="Calibri"/>
                <w:b/>
                <w:lang w:eastAsia="nl"/>
              </w:rPr>
              <w:t>1</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951662B"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nl"/>
              </w:rPr>
              <w:t>&gt; 335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2C950C4"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nl"/>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2C648A"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nl"/>
              </w:rPr>
              <w:t>&gt; 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219ED35" w14:textId="77777777" w:rsidR="007A07F8" w:rsidRPr="00411BF4" w:rsidRDefault="007A07F8" w:rsidP="00AD727F">
            <w:pPr>
              <w:spacing w:after="0" w:line="264" w:lineRule="auto"/>
              <w:jc w:val="center"/>
              <w:rPr>
                <w:rFonts w:ascii="Calibri" w:hAnsi="Calibri" w:cs="Calibri"/>
                <w:lang w:eastAsia="fr-FR"/>
              </w:rPr>
            </w:pPr>
            <w:r w:rsidRPr="00411BF4">
              <w:rPr>
                <w:rFonts w:ascii="Calibri" w:hAnsi="Calibri" w:cs="Calibri"/>
                <w:lang w:eastAsia="nl"/>
              </w:rPr>
              <w:t>&gt; 90</w:t>
            </w:r>
          </w:p>
        </w:tc>
      </w:tr>
      <w:tr w:rsidR="007A07F8" w:rsidRPr="007A07F8" w14:paraId="6E866C25"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2933B3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541E1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670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71392DB"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4F5930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C15771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180</w:t>
            </w:r>
          </w:p>
        </w:tc>
      </w:tr>
      <w:tr w:rsidR="007A07F8" w:rsidRPr="007A07F8" w14:paraId="5026BBBD"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5EFA98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3</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6474AAD"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1005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808B64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13,5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44823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C43CD4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270</w:t>
            </w:r>
          </w:p>
        </w:tc>
      </w:tr>
      <w:tr w:rsidR="007A07F8" w:rsidRPr="007A07F8" w14:paraId="44DF0792"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8FD1C3F"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1318DE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1340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51CC74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C15E72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F50ABE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360</w:t>
            </w:r>
          </w:p>
        </w:tc>
      </w:tr>
      <w:tr w:rsidR="007A07F8" w:rsidRPr="007A07F8" w14:paraId="3309FA06"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B32394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5</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0CCB02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1675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78E09E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22,5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F1EBEE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98F8C67"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450</w:t>
            </w:r>
          </w:p>
        </w:tc>
      </w:tr>
      <w:tr w:rsidR="007A07F8" w:rsidRPr="007A07F8" w14:paraId="5DE19C75"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0C99146"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FD6DCC7"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2010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0E0C0E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27</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954DBB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77EFDF5"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540</w:t>
            </w:r>
          </w:p>
        </w:tc>
      </w:tr>
      <w:tr w:rsidR="007A07F8" w:rsidRPr="007A07F8" w14:paraId="5EE8789A"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33C297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7</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60FA8D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2345</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1CC846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31</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DFFACB8"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7</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491F81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630</w:t>
            </w:r>
          </w:p>
        </w:tc>
      </w:tr>
      <w:tr w:rsidR="007A07F8" w:rsidRPr="007A07F8" w14:paraId="641CB4AE"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767A6C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E7508C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libri"/>
                <w:color w:val="000000" w:themeColor="dark1"/>
                <w:kern w:val="24"/>
                <w:lang w:val="en-GB" w:eastAsia="nl"/>
              </w:rPr>
              <w:t xml:space="preserve">&gt; 2680 </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ADEFC9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36</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8CB9D2"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8</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CC1711A"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720</w:t>
            </w:r>
          </w:p>
        </w:tc>
      </w:tr>
      <w:tr w:rsidR="007A07F8" w:rsidRPr="007A07F8" w14:paraId="3402DAB9"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3C4C66E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Calibri" w:hAnsi="Calibri" w:cs="Cambria"/>
                <w:b/>
                <w:bCs/>
                <w:color w:val="000000"/>
                <w:kern w:val="24"/>
                <w:lang w:eastAsia="nl"/>
              </w:rPr>
              <w:t>9</w:t>
            </w:r>
          </w:p>
        </w:tc>
        <w:tc>
          <w:tcPr>
            <w:tcW w:w="159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A158BA1"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nl"/>
              </w:rPr>
              <w:t xml:space="preserve">&gt; 3015 </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79A9129"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nl"/>
              </w:rPr>
              <w:t>&gt; 40</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FBF7410" w14:textId="77777777" w:rsidR="007A07F8" w:rsidRPr="007A07F8" w:rsidRDefault="00D2409A" w:rsidP="00AD727F">
            <w:pPr>
              <w:spacing w:after="0" w:line="264" w:lineRule="auto"/>
              <w:jc w:val="center"/>
              <w:rPr>
                <w:rFonts w:ascii="Arial" w:eastAsia="Times New Roman" w:hAnsi="Arial" w:cs="Arial"/>
                <w:sz w:val="36"/>
                <w:szCs w:val="36"/>
                <w:lang w:eastAsia="fr-FR"/>
              </w:rPr>
            </w:pPr>
            <w:r>
              <w:rPr>
                <w:rFonts w:ascii="Calibri" w:eastAsia="Calibri" w:hAnsi="Calibri" w:cs="Calibri"/>
                <w:color w:val="000000" w:themeColor="dark1"/>
                <w:kern w:val="24"/>
                <w:lang w:val="en-GB" w:eastAsia="nl"/>
              </w:rPr>
              <w:t>&gt; 9</w:t>
            </w:r>
          </w:p>
        </w:tc>
        <w:tc>
          <w:tcPr>
            <w:tcW w:w="1594"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ED45D0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ascii="Calibri" w:eastAsia="Calibri" w:hAnsi="Calibri" w:cs="Calibri"/>
                <w:color w:val="000000" w:themeColor="dark1"/>
                <w:kern w:val="24"/>
                <w:lang w:val="en-GB" w:eastAsia="nl"/>
              </w:rPr>
              <w:t xml:space="preserve">&gt; 810 </w:t>
            </w:r>
          </w:p>
        </w:tc>
      </w:tr>
      <w:tr w:rsidR="007A07F8" w:rsidRPr="007A07F8" w14:paraId="289E9818" w14:textId="77777777" w:rsidTr="00B96335">
        <w:trPr>
          <w:trHeight w:val="20"/>
          <w:jc w:val="center"/>
        </w:trPr>
        <w:tc>
          <w:tcPr>
            <w:tcW w:w="12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C8DAFC4"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10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29CD3C3"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3350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574A680"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45</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243AFE"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10</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3F7E87C" w14:textId="77777777" w:rsidR="007A07F8" w:rsidRPr="007A07F8" w:rsidRDefault="007A07F8"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900</w:t>
            </w:r>
          </w:p>
        </w:tc>
      </w:tr>
    </w:tbl>
    <w:p w14:paraId="673D894A" w14:textId="77777777" w:rsidR="007A07F8" w:rsidRPr="009B21B5" w:rsidRDefault="007A07F8" w:rsidP="00AD727F">
      <w:pPr>
        <w:spacing w:before="120" w:after="120" w:line="264" w:lineRule="auto"/>
        <w:rPr>
          <w:lang w:val="nl-BE"/>
        </w:rPr>
      </w:pPr>
      <w:r w:rsidRPr="009B21B5">
        <w:rPr>
          <w:vertAlign w:val="superscript"/>
          <w:lang w:val="nl-BE"/>
        </w:rPr>
        <w:t>1</w:t>
      </w:r>
      <w:r w:rsidRPr="009B21B5">
        <w:rPr>
          <w:sz w:val="18"/>
          <w:szCs w:val="18"/>
          <w:lang w:val="nl-BE"/>
        </w:rPr>
        <w:t>: het natriumgehalte stemt overeen met het zoutgehalte op de verplichte voedingswaardevermelding, gedeeld door 2,5</w:t>
      </w:r>
      <w:r w:rsidRPr="009B21B5">
        <w:rPr>
          <w:lang w:val="nl-BE"/>
        </w:rPr>
        <w:t>.</w:t>
      </w:r>
    </w:p>
    <w:p w14:paraId="3EC8BB0B" w14:textId="77777777" w:rsidR="007A07F8" w:rsidRPr="009B21B5" w:rsidRDefault="007A07F8" w:rsidP="00AD727F">
      <w:pPr>
        <w:numPr>
          <w:ilvl w:val="0"/>
          <w:numId w:val="31"/>
        </w:num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Toewijzing van de punten voor de gunstige nutriënten in de voedingsscore (P) </w:t>
      </w:r>
    </w:p>
    <w:tbl>
      <w:tblPr>
        <w:tblW w:w="6055" w:type="dxa"/>
        <w:jc w:val="center"/>
        <w:tblCellMar>
          <w:left w:w="0" w:type="dxa"/>
          <w:right w:w="0" w:type="dxa"/>
        </w:tblCellMar>
        <w:tblLook w:val="04A0" w:firstRow="1" w:lastRow="0" w:firstColumn="1" w:lastColumn="0" w:noHBand="0" w:noVBand="1"/>
      </w:tblPr>
      <w:tblGrid>
        <w:gridCol w:w="983"/>
        <w:gridCol w:w="1705"/>
        <w:gridCol w:w="1529"/>
        <w:gridCol w:w="1838"/>
      </w:tblGrid>
      <w:tr w:rsidR="00A73CA1" w:rsidRPr="007A07F8" w14:paraId="73BA9BA1" w14:textId="77777777" w:rsidTr="0050175E">
        <w:trPr>
          <w:trHeight w:val="1772"/>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35BC62B3" w14:textId="77777777" w:rsidR="00A73CA1" w:rsidRPr="007A07F8" w:rsidRDefault="00A73CA1" w:rsidP="00AD727F">
            <w:pPr>
              <w:spacing w:after="0" w:line="264" w:lineRule="auto"/>
              <w:jc w:val="center"/>
              <w:rPr>
                <w:rFonts w:ascii="Arial" w:eastAsia="Times New Roman" w:hAnsi="Arial" w:cs="Arial"/>
                <w:sz w:val="36"/>
                <w:szCs w:val="36"/>
                <w:lang w:eastAsia="fr-FR"/>
              </w:rPr>
            </w:pPr>
            <w:proofErr w:type="spellStart"/>
            <w:r w:rsidRPr="007A07F8">
              <w:rPr>
                <w:rFonts w:eastAsia="Times New Roman" w:hAnsi="Calibri" w:cs="Calibri"/>
                <w:b/>
                <w:bCs/>
                <w:color w:val="000000" w:themeColor="text1"/>
                <w:kern w:val="24"/>
                <w:lang w:eastAsia="nl"/>
              </w:rPr>
              <w:lastRenderedPageBreak/>
              <w:t>Punten</w:t>
            </w:r>
            <w:proofErr w:type="spellEnd"/>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7232E5E" w14:textId="77777777" w:rsidR="00A73CA1" w:rsidRPr="009B21B5" w:rsidRDefault="00A73CA1" w:rsidP="00AD727F">
            <w:pPr>
              <w:spacing w:after="0" w:line="264" w:lineRule="auto"/>
              <w:jc w:val="center"/>
              <w:rPr>
                <w:rFonts w:ascii="Arial" w:eastAsia="Times New Roman" w:hAnsi="Arial" w:cs="Arial"/>
                <w:sz w:val="36"/>
                <w:szCs w:val="36"/>
                <w:lang w:val="nl-BE" w:eastAsia="fr-FR"/>
              </w:rPr>
            </w:pPr>
            <w:r w:rsidRPr="009B21B5">
              <w:rPr>
                <w:rFonts w:ascii="Calibri" w:eastAsia="Times New Roman" w:hAnsi="Calibri" w:cs="Calibri"/>
                <w:b/>
                <w:bCs/>
                <w:kern w:val="24"/>
                <w:lang w:val="nl-BE" w:eastAsia="nl"/>
              </w:rPr>
              <w:t>Fruit, groenten, peulvruchten, noten en koolzaad-, noten- en olijfolie (%)</w:t>
            </w:r>
          </w:p>
        </w:tc>
        <w:tc>
          <w:tcPr>
            <w:tcW w:w="1529" w:type="dxa"/>
            <w:tcBorders>
              <w:top w:val="single" w:sz="8" w:space="0" w:color="000000"/>
              <w:left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19A6BE8A" w14:textId="77777777" w:rsidR="00A73CA1" w:rsidRPr="00917635" w:rsidRDefault="00A73CA1" w:rsidP="00AD727F">
            <w:pPr>
              <w:spacing w:after="0" w:line="264" w:lineRule="auto"/>
              <w:jc w:val="center"/>
              <w:rPr>
                <w:rFonts w:eastAsia="Times New Roman" w:hAnsi="Calibri" w:cs="Calibri"/>
                <w:b/>
                <w:bCs/>
                <w:kern w:val="24"/>
                <w:lang w:eastAsia="fr-FR"/>
              </w:rPr>
            </w:pPr>
            <w:proofErr w:type="spellStart"/>
            <w:r w:rsidRPr="00917635">
              <w:rPr>
                <w:rFonts w:ascii="Calibri" w:eastAsia="Times New Roman" w:hAnsi="Calibri" w:cs="Calibri"/>
                <w:b/>
                <w:bCs/>
                <w:kern w:val="24"/>
                <w:lang w:eastAsia="nl"/>
              </w:rPr>
              <w:t>Vezels</w:t>
            </w:r>
            <w:proofErr w:type="spellEnd"/>
            <w:r w:rsidRPr="00917635">
              <w:rPr>
                <w:rFonts w:ascii="Calibri" w:eastAsia="Times New Roman" w:hAnsi="Calibri" w:cs="Calibri"/>
                <w:b/>
                <w:bCs/>
                <w:kern w:val="24"/>
                <w:lang w:eastAsia="nl"/>
              </w:rPr>
              <w:t xml:space="preserve"> (g/100 g)</w:t>
            </w:r>
          </w:p>
          <w:p w14:paraId="3BB68E9C" w14:textId="06CBA0EF" w:rsidR="00A73CA1" w:rsidRPr="00917635" w:rsidRDefault="00A73CA1" w:rsidP="00AD727F">
            <w:pPr>
              <w:spacing w:after="0" w:line="264" w:lineRule="auto"/>
              <w:jc w:val="center"/>
              <w:rPr>
                <w:rFonts w:eastAsia="Times New Roman" w:hAnsi="Calibri" w:cs="Calibri"/>
                <w:b/>
                <w:bCs/>
                <w:kern w:val="24"/>
                <w:lang w:eastAsia="fr-FR"/>
              </w:rPr>
            </w:pP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vAlign w:val="center"/>
            <w:hideMark/>
          </w:tcPr>
          <w:p w14:paraId="6589D4EE" w14:textId="77777777" w:rsidR="00A73CA1" w:rsidRPr="00917635" w:rsidRDefault="00A73CA1" w:rsidP="00AD727F">
            <w:pPr>
              <w:spacing w:after="0" w:line="264" w:lineRule="auto"/>
              <w:jc w:val="center"/>
              <w:rPr>
                <w:rFonts w:ascii="Arial" w:eastAsia="Times New Roman" w:hAnsi="Arial" w:cs="Arial"/>
                <w:sz w:val="36"/>
                <w:szCs w:val="36"/>
                <w:lang w:eastAsia="fr-FR"/>
              </w:rPr>
            </w:pPr>
            <w:proofErr w:type="spellStart"/>
            <w:r w:rsidRPr="00917635">
              <w:rPr>
                <w:rFonts w:eastAsia="Times New Roman" w:hAnsi="Calibri" w:cs="Calibri"/>
                <w:b/>
                <w:bCs/>
                <w:kern w:val="24"/>
                <w:lang w:eastAsia="nl"/>
              </w:rPr>
              <w:t>Eiwitten</w:t>
            </w:r>
            <w:proofErr w:type="spellEnd"/>
            <w:r w:rsidRPr="00917635">
              <w:rPr>
                <w:rFonts w:eastAsia="Times New Roman" w:hAnsi="Calibri" w:cs="Calibri"/>
                <w:b/>
                <w:bCs/>
                <w:kern w:val="24"/>
                <w:lang w:eastAsia="nl"/>
              </w:rPr>
              <w:t xml:space="preserve"> (g/100 g)</w:t>
            </w:r>
          </w:p>
        </w:tc>
      </w:tr>
      <w:tr w:rsidR="007B03DF" w:rsidRPr="007A07F8" w14:paraId="5DFDFD00" w14:textId="77777777" w:rsidTr="00644EBB">
        <w:trPr>
          <w:trHeight w:val="247"/>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3EB38F9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0</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99964E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40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CC00CB0"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0,9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4EB3ACE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u w:val="single"/>
                <w:lang w:eastAsia="nl"/>
              </w:rPr>
              <w:t>&lt;</w:t>
            </w:r>
            <w:r w:rsidRPr="007A07F8">
              <w:rPr>
                <w:rFonts w:eastAsia="Times New Roman" w:hAnsi="Calibri" w:cs="Calibri"/>
                <w:color w:val="000000" w:themeColor="dark1"/>
                <w:kern w:val="24"/>
                <w:lang w:eastAsia="nl"/>
              </w:rPr>
              <w:t xml:space="preserve"> 1,6</w:t>
            </w:r>
          </w:p>
        </w:tc>
      </w:tr>
      <w:tr w:rsidR="007B03DF" w:rsidRPr="007A07F8" w14:paraId="27C6922B"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3DFE15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1</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ED46F24"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6B89C4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0,9</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534F644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1,6</w:t>
            </w:r>
          </w:p>
        </w:tc>
      </w:tr>
      <w:tr w:rsidR="007B03DF" w:rsidRPr="007A07F8" w14:paraId="4623A23A" w14:textId="77777777" w:rsidTr="00644EBB">
        <w:trPr>
          <w:trHeight w:val="27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07E2531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09965A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60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7DE880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1,9</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5F15106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3,2</w:t>
            </w:r>
          </w:p>
        </w:tc>
      </w:tr>
      <w:tr w:rsidR="007B03DF" w:rsidRPr="007A07F8" w14:paraId="79789014" w14:textId="77777777" w:rsidTr="00644EBB">
        <w:trPr>
          <w:trHeight w:val="25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0135E3D"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3</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62133BD3"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6EAFC8D"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2,8</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4FE75A1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4,8</w:t>
            </w:r>
          </w:p>
        </w:tc>
      </w:tr>
      <w:tr w:rsidR="007B03DF" w:rsidRPr="007A07F8" w14:paraId="0D262C57" w14:textId="77777777" w:rsidTr="00644EBB">
        <w:trPr>
          <w:trHeight w:val="26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13C3A0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4</w:t>
            </w:r>
          </w:p>
        </w:tc>
        <w:tc>
          <w:tcPr>
            <w:tcW w:w="170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E8B6555"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64BB1D3B"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3,7</w:t>
            </w:r>
          </w:p>
        </w:tc>
        <w:tc>
          <w:tcPr>
            <w:tcW w:w="18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795D58D7"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6,4</w:t>
            </w:r>
          </w:p>
        </w:tc>
      </w:tr>
      <w:tr w:rsidR="007B03DF" w:rsidRPr="007A07F8" w14:paraId="09F886D7" w14:textId="77777777" w:rsidTr="00644EBB">
        <w:trPr>
          <w:trHeight w:val="326"/>
          <w:jc w:val="center"/>
        </w:trPr>
        <w:tc>
          <w:tcPr>
            <w:tcW w:w="983"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0C7FBF6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b/>
                <w:bCs/>
                <w:color w:val="000000"/>
                <w:kern w:val="24"/>
                <w:lang w:eastAsia="nl"/>
              </w:rPr>
              <w:t>5</w:t>
            </w:r>
          </w:p>
        </w:tc>
        <w:tc>
          <w:tcPr>
            <w:tcW w:w="1705"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1BDDA171"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80</w:t>
            </w:r>
          </w:p>
        </w:tc>
        <w:tc>
          <w:tcPr>
            <w:tcW w:w="1529"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20871E2E"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4,7</w:t>
            </w:r>
          </w:p>
        </w:tc>
        <w:tc>
          <w:tcPr>
            <w:tcW w:w="1838"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15" w:type="dxa"/>
              <w:left w:w="108" w:type="dxa"/>
              <w:bottom w:w="0" w:type="dxa"/>
              <w:right w:w="108" w:type="dxa"/>
            </w:tcMar>
            <w:hideMark/>
          </w:tcPr>
          <w:p w14:paraId="7A9D920A" w14:textId="77777777" w:rsidR="007B03DF" w:rsidRPr="007A07F8" w:rsidRDefault="007B03DF" w:rsidP="00AD727F">
            <w:pPr>
              <w:spacing w:after="0" w:line="264" w:lineRule="auto"/>
              <w:jc w:val="center"/>
              <w:rPr>
                <w:rFonts w:ascii="Arial" w:eastAsia="Times New Roman" w:hAnsi="Arial" w:cs="Arial"/>
                <w:sz w:val="36"/>
                <w:szCs w:val="36"/>
                <w:lang w:eastAsia="fr-FR"/>
              </w:rPr>
            </w:pPr>
            <w:r w:rsidRPr="007A07F8">
              <w:rPr>
                <w:rFonts w:eastAsia="Times New Roman" w:hAnsi="Calibri" w:cs="Calibri"/>
                <w:color w:val="000000" w:themeColor="dark1"/>
                <w:kern w:val="24"/>
                <w:lang w:eastAsia="nl"/>
              </w:rPr>
              <w:t>&gt; 8,0</w:t>
            </w:r>
          </w:p>
        </w:tc>
      </w:tr>
    </w:tbl>
    <w:p w14:paraId="1E59ADAA" w14:textId="77777777" w:rsidR="007A07F8" w:rsidRDefault="007A07F8" w:rsidP="00AD727F">
      <w:pPr>
        <w:spacing w:before="120" w:after="120" w:line="264" w:lineRule="auto"/>
        <w:jc w:val="both"/>
        <w:rPr>
          <w:rFonts w:ascii="Calibri" w:hAnsi="Calibri" w:cs="Calibri"/>
          <w:sz w:val="8"/>
          <w:szCs w:val="8"/>
          <w:lang w:eastAsia="fr-FR"/>
        </w:rPr>
      </w:pPr>
    </w:p>
    <w:p w14:paraId="71681824" w14:textId="77777777" w:rsidR="00B96335" w:rsidRDefault="00B96335" w:rsidP="00AD727F">
      <w:pPr>
        <w:spacing w:before="120" w:after="120" w:line="264" w:lineRule="auto"/>
        <w:jc w:val="both"/>
        <w:rPr>
          <w:rFonts w:ascii="Calibri" w:hAnsi="Calibri" w:cs="Calibri"/>
          <w:sz w:val="8"/>
          <w:szCs w:val="8"/>
          <w:lang w:eastAsia="fr-FR"/>
        </w:rPr>
      </w:pPr>
    </w:p>
    <w:p w14:paraId="4172FE8F" w14:textId="77777777" w:rsidR="00AD727F" w:rsidRPr="007A07F8" w:rsidRDefault="00AD727F" w:rsidP="00AD727F">
      <w:pPr>
        <w:spacing w:before="120" w:after="120" w:line="264" w:lineRule="auto"/>
        <w:jc w:val="both"/>
        <w:rPr>
          <w:rFonts w:ascii="Calibri" w:hAnsi="Calibri" w:cs="Calibri"/>
          <w:sz w:val="8"/>
          <w:szCs w:val="8"/>
          <w:lang w:eastAsia="fr-FR"/>
        </w:rPr>
      </w:pPr>
    </w:p>
    <w:p w14:paraId="739C99EC" w14:textId="77777777" w:rsidR="007A07F8" w:rsidRPr="009B21B5" w:rsidRDefault="006018D1" w:rsidP="00AD727F">
      <w:pPr>
        <w:pStyle w:val="Paragraphedeliste"/>
        <w:numPr>
          <w:ilvl w:val="0"/>
          <w:numId w:val="54"/>
        </w:numPr>
        <w:spacing w:before="120" w:after="120" w:line="264" w:lineRule="auto"/>
        <w:contextualSpacing w:val="0"/>
        <w:rPr>
          <w:b/>
          <w:u w:val="single"/>
          <w:lang w:val="nl-BE"/>
        </w:rPr>
      </w:pPr>
      <w:bookmarkStart w:id="81" w:name="_Toc489544834"/>
      <w:r w:rsidRPr="009B21B5">
        <w:rPr>
          <w:b/>
          <w:u w:val="single"/>
          <w:lang w:val="nl-BE"/>
        </w:rPr>
        <w:t>De berekeningsmodaliteiten voor de score: aanpassingen</w:t>
      </w:r>
      <w:bookmarkEnd w:id="81"/>
    </w:p>
    <w:p w14:paraId="59C9FB1A" w14:textId="77777777" w:rsidR="007A07F8" w:rsidRPr="009B21B5" w:rsidRDefault="007A07F8" w:rsidP="00AD727F">
      <w:pPr>
        <w:spacing w:before="120" w:after="120" w:line="264" w:lineRule="auto"/>
        <w:jc w:val="both"/>
        <w:rPr>
          <w:lang w:val="nl-BE"/>
        </w:rPr>
      </w:pPr>
      <w:r w:rsidRPr="009B21B5">
        <w:rPr>
          <w:lang w:val="nl-BE"/>
        </w:rPr>
        <w:t xml:space="preserve">Het voornaamste doel van de </w:t>
      </w:r>
      <w:proofErr w:type="spellStart"/>
      <w:r w:rsidRPr="009B21B5">
        <w:rPr>
          <w:lang w:val="nl-BE"/>
        </w:rPr>
        <w:t>Nutri</w:t>
      </w:r>
      <w:proofErr w:type="spellEnd"/>
      <w:r w:rsidRPr="009B21B5">
        <w:rPr>
          <w:lang w:val="nl-BE"/>
        </w:rPr>
        <w:t xml:space="preserve">-Score is om de consument te helpen de gezondheidsbijdrage van een voedingsmiddel in een evenwichtige voeding te beoordelen, op basis van de voedingssamenstelling van dat product. Voor elke productcategorie is de </w:t>
      </w:r>
      <w:proofErr w:type="spellStart"/>
      <w:r w:rsidRPr="009B21B5">
        <w:rPr>
          <w:lang w:val="nl-BE"/>
        </w:rPr>
        <w:t>Nutri</w:t>
      </w:r>
      <w:proofErr w:type="spellEnd"/>
      <w:r w:rsidRPr="009B21B5">
        <w:rPr>
          <w:lang w:val="nl-BE"/>
        </w:rPr>
        <w:t xml:space="preserve">-Score handig om de verscheidenheid aan productsamenstellingen voor de belangrijke nutriënten beter te belichten: de producten strekken zich naargelang de categorieën uit over 3 tot 5 klassen. </w:t>
      </w:r>
      <w:r w:rsidRPr="009B21B5">
        <w:rPr>
          <w:b/>
          <w:lang w:val="nl-BE"/>
        </w:rPr>
        <w:t xml:space="preserve">Dat geldt niet voor toegevoegde vetten </w:t>
      </w:r>
      <w:r w:rsidRPr="009B21B5">
        <w:rPr>
          <w:lang w:val="nl-BE"/>
        </w:rPr>
        <w:t xml:space="preserve">(oliën, boter, room), die nagenoeg uitsluitend vetzuren bevatten, en </w:t>
      </w:r>
      <w:r w:rsidRPr="009B21B5">
        <w:rPr>
          <w:b/>
          <w:lang w:val="nl-BE"/>
        </w:rPr>
        <w:t>kazen</w:t>
      </w:r>
      <w:r w:rsidRPr="009B21B5">
        <w:rPr>
          <w:lang w:val="nl-BE"/>
        </w:rPr>
        <w:t xml:space="preserve">, die slechts over 1 en 2 klassen verdeeld zijn </w:t>
      </w:r>
      <w:r w:rsidRPr="007A07F8">
        <w:fldChar w:fldCharType="begin"/>
      </w:r>
      <w:r w:rsidRPr="009B21B5">
        <w:rPr>
          <w:lang w:val="nl-BE"/>
        </w:rPr>
        <w:instrText xml:space="preserve"> ADDIN REFMGR.CITE &lt;Refman&gt;&lt;Cite&gt;&lt;Author&gt;ANSES&lt;/Author&gt;&lt;Year&gt;2015&lt;/Year&gt;&lt;RecNum&gt;19650&lt;/RecNum&gt;&lt;IDText&gt;Evaluation de la faisabilité du calcul d&amp;apos;un score nutritionnel tel qu&amp;apos;élaboré par Rayner et al. Rapport d&amp;apos;appui scientifique et technique&lt;/IDText&gt;&lt;MDL Ref_Type="Report"&gt;&lt;Ref_Type&gt;Report&lt;/Ref_Type&gt;&lt;Ref_ID&gt;19650&lt;/Ref_ID&gt;&lt;Title_Primary&gt;Evaluation de la faisabilit&amp;#xE9; du calcul d&amp;apos;un score nutritionnel tel qu&amp;apos;&amp;#xE9;labor&amp;#xE9; par Rayner et al. Rapport d&amp;apos;appui scientifique et technique&lt;/Title_Primary&gt;&lt;Authors_Primary&gt;ANSES&lt;/Authors_Primary&gt;&lt;Date_Primary&gt;2015&lt;/Date_Primary&gt;&lt;Reprint&gt;Not in File&lt;/Reprint&gt;&lt;Pub_Place&gt;Maison Alfort&lt;/Pub_Place&gt;&lt;Publisher&gt;ANSES&lt;/Publisher&gt;&lt;Date_Secondary&gt;2015/11/9&lt;/Date_Secondary&gt;&lt;ZZ_WorkformID&gt;24&lt;/ZZ_WorkformID&gt;&lt;/MDL&gt;&lt;/Cite&gt;&lt;/Refman&gt;</w:instrText>
      </w:r>
      <w:r w:rsidRPr="007A07F8">
        <w:fldChar w:fldCharType="separate"/>
      </w:r>
      <w:r w:rsidRPr="009B21B5">
        <w:rPr>
          <w:lang w:val="nl-BE"/>
        </w:rPr>
        <w:t>(ANSES 2015a)</w:t>
      </w:r>
      <w:r w:rsidRPr="007A07F8">
        <w:fldChar w:fldCharType="end"/>
      </w:r>
      <w:r w:rsidRPr="009B21B5">
        <w:rPr>
          <w:lang w:val="nl-BE"/>
        </w:rPr>
        <w:t xml:space="preserve">. Voor </w:t>
      </w:r>
      <w:r w:rsidRPr="009B21B5">
        <w:rPr>
          <w:b/>
          <w:lang w:val="nl-BE"/>
        </w:rPr>
        <w:t>dranken</w:t>
      </w:r>
      <w:r w:rsidRPr="009B21B5">
        <w:rPr>
          <w:lang w:val="nl-BE"/>
        </w:rPr>
        <w:t xml:space="preserve">, gelet op het feit dat ze van de meeste elementen die meetellen in de berekening van de voedingsscore maar een heel laag gehalte bevatten, en gezien de vloeibare aard van de producten, moet voor de berekening van de voedingsscore rekening worden gehouden met de elementen die eigen zijn aan deze categorie (suikers en energie). Dat maakt dat de nodige aanpassingen zijn aangebracht voor een betere samenhang tussen de indeling volgens de </w:t>
      </w:r>
      <w:proofErr w:type="spellStart"/>
      <w:r w:rsidRPr="009B21B5">
        <w:rPr>
          <w:lang w:val="nl-BE"/>
        </w:rPr>
        <w:t>Nutri</w:t>
      </w:r>
      <w:proofErr w:type="spellEnd"/>
      <w:r w:rsidRPr="009B21B5">
        <w:rPr>
          <w:lang w:val="nl-BE"/>
        </w:rPr>
        <w:t xml:space="preserve">-Score en de voedingsrichtlijnen </w:t>
      </w:r>
      <w:r w:rsidRPr="007A07F8">
        <w:fldChar w:fldCharType="begin"/>
      </w:r>
      <w:r w:rsidRPr="009B21B5">
        <w:rPr>
          <w:lang w:val="nl-BE"/>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fldChar w:fldCharType="separate"/>
      </w:r>
      <w:r w:rsidRPr="009B21B5">
        <w:rPr>
          <w:lang w:val="nl-BE"/>
        </w:rPr>
        <w:t>(Franse Hoge Raad voor Volksgezondheid, 2015)</w:t>
      </w:r>
      <w:r w:rsidRPr="007A07F8">
        <w:fldChar w:fldCharType="end"/>
      </w:r>
      <w:r w:rsidRPr="009B21B5">
        <w:rPr>
          <w:lang w:val="nl-BE"/>
        </w:rPr>
        <w:t>.</w:t>
      </w:r>
    </w:p>
    <w:p w14:paraId="34B304C4" w14:textId="77777777" w:rsidR="000D6973" w:rsidRPr="009B21B5" w:rsidRDefault="000D6973" w:rsidP="00AD727F">
      <w:pPr>
        <w:spacing w:before="120" w:after="120" w:line="264" w:lineRule="auto"/>
        <w:rPr>
          <w:rFonts w:ascii="Calibri" w:hAnsi="Calibri" w:cs="Calibri"/>
          <w:lang w:val="nl-BE" w:eastAsia="fr-FR"/>
        </w:rPr>
      </w:pPr>
    </w:p>
    <w:p w14:paraId="52CA9165" w14:textId="77777777" w:rsidR="007A07F8" w:rsidRPr="009B21B5" w:rsidRDefault="007A07F8" w:rsidP="00AD727F">
      <w:pPr>
        <w:spacing w:before="120" w:after="120" w:line="264" w:lineRule="auto"/>
        <w:rPr>
          <w:b/>
          <w:u w:val="single"/>
          <w:lang w:val="nl-BE"/>
        </w:rPr>
      </w:pPr>
      <w:bookmarkStart w:id="82" w:name="_Toc489544835"/>
      <w:r w:rsidRPr="006A159F">
        <w:rPr>
          <w:b/>
          <w:u w:val="single"/>
        </w:rPr>
        <w:sym w:font="Wingdings" w:char="F0C4"/>
      </w:r>
      <w:r w:rsidRPr="009B21B5">
        <w:rPr>
          <w:b/>
          <w:u w:val="single"/>
          <w:lang w:val="nl-BE"/>
        </w:rPr>
        <w:t xml:space="preserve"> Kazen</w:t>
      </w:r>
      <w:bookmarkEnd w:id="82"/>
    </w:p>
    <w:p w14:paraId="4038A064" w14:textId="77777777" w:rsidR="007A07F8" w:rsidRPr="009B21B5" w:rsidRDefault="007A07F8" w:rsidP="00AD727F">
      <w:pPr>
        <w:spacing w:before="120" w:after="120" w:line="264" w:lineRule="auto"/>
        <w:jc w:val="both"/>
        <w:rPr>
          <w:lang w:val="nl-BE"/>
        </w:rPr>
      </w:pPr>
      <w:r w:rsidRPr="009B21B5">
        <w:rPr>
          <w:lang w:val="nl-BE"/>
        </w:rPr>
        <w:t xml:space="preserve">Kazen vallen onder de definitie van zuivelproducten, en er wordt aanbevolen om meerdere zuivelproducten per dag te consumeren. Die aanbeveling noopt er wel toe om rekening te houden met de hoeveelheid vetten (te beperken) en calcium (te promoten) in kazen. </w:t>
      </w:r>
    </w:p>
    <w:p w14:paraId="576DE7DB" w14:textId="77777777" w:rsidR="007A07F8" w:rsidRPr="009B21B5" w:rsidRDefault="007A07F8" w:rsidP="00AD727F">
      <w:pPr>
        <w:spacing w:before="120" w:after="120" w:line="264" w:lineRule="auto"/>
        <w:jc w:val="both"/>
        <w:rPr>
          <w:lang w:val="nl-BE"/>
        </w:rPr>
      </w:pPr>
      <w:r w:rsidRPr="009B21B5">
        <w:rPr>
          <w:lang w:val="nl-BE"/>
        </w:rPr>
        <w:t xml:space="preserve">Er bestaat een sterk verband tussen het eiwit- en het calciumgehalte in zuivel </w:t>
      </w:r>
      <w:r w:rsidRPr="007A07F8">
        <w:fldChar w:fldCharType="begin"/>
      </w:r>
      <w:r w:rsidRPr="009B21B5">
        <w:rPr>
          <w:lang w:val="nl-BE"/>
        </w:rPr>
        <w:instrText xml:space="preserve"> ADDIN REFMGR.CITE &lt;Refman&gt;&lt;Cite&gt;&lt;Author&gt;Rayner&lt;/Author&gt;&lt;Year&gt;2005&lt;/Year&gt;&lt;RecNum&gt;19756&lt;/RecNum&gt;&lt;IDText&gt;Nutrient profiles: Further refinement and testing of Model SSCg3d. Final report [online]&lt;/IDText&gt;&lt;MDL Ref_Type="Online Source"&gt;&lt;Ref_Type&gt;Online Source&lt;/Ref_Type&gt;&lt;Ref_ID&gt;19756&lt;/Ref_ID&gt;&lt;Title_Primary&gt;Nutrient profiles: Further refinement and testing of Model SSCg3d. Final report [online]&lt;/Title_Primary&gt;&lt;Authors_Primary&gt;Rayner,M.&lt;/Authors_Primary&gt;&lt;Authors_Primary&gt;Scarborough,P.&lt;/Authors_Primary&gt;&lt;Authors_Primary&gt;Stockley,L.&lt;/Authors_Primary&gt;&lt;Authors_Primary&gt;Boxer,A.&lt;/Authors_Primary&gt;&lt;Date_Primary&gt;2005&lt;/Date_Primary&gt;&lt;Keywords&gt;MODEL&lt;/Keywords&gt;&lt;Keywords&gt;nutrient profile&lt;/Keywords&gt;&lt;Keywords&gt;nutrient profiles&lt;/Keywords&gt;&lt;Keywords&gt;NUTRIENT&lt;/Keywords&gt;&lt;Keywords&gt;PROFILE&lt;/Keywords&gt;&lt;Reprint&gt;Not in File&lt;/Reprint&gt;&lt;Pub_Place&gt;London&lt;/Pub_Place&gt;&lt;Publisher&gt;FSA&lt;/Publisher&gt;&lt;Date_Secondary&gt;2017/8/9&lt;/Date_Secondary&gt;&lt;Web_URL&gt;&lt;u&gt;https://pdfs.semanticscholar.org/4706/6da35c963017cd4591deaac5601faab61237.pdf?_ga=2.258719242.1839505482.1502197023-1332816662.1502197023&lt;/u&gt;&lt;/Web_URL&gt;&lt;ZZ_WorkformID&gt;31&lt;/ZZ_WorkformID&gt;&lt;/MDL&gt;&lt;/Cite&gt;&lt;/Refman&gt;</w:instrText>
      </w:r>
      <w:r w:rsidRPr="007A07F8">
        <w:fldChar w:fldCharType="separate"/>
      </w:r>
      <w:r w:rsidRPr="009B21B5">
        <w:rPr>
          <w:lang w:val="nl-BE"/>
        </w:rPr>
        <w:t>(</w:t>
      </w:r>
      <w:proofErr w:type="spellStart"/>
      <w:r w:rsidRPr="009B21B5">
        <w:rPr>
          <w:lang w:val="nl-BE"/>
        </w:rPr>
        <w:t>Rayner</w:t>
      </w:r>
      <w:proofErr w:type="spellEnd"/>
      <w:r w:rsidRPr="009B21B5">
        <w:rPr>
          <w:lang w:val="nl-BE"/>
        </w:rPr>
        <w:t xml:space="preserve"> et </w:t>
      </w:r>
      <w:proofErr w:type="spellStart"/>
      <w:r w:rsidRPr="009B21B5">
        <w:rPr>
          <w:lang w:val="nl-BE"/>
        </w:rPr>
        <w:t>coll</w:t>
      </w:r>
      <w:proofErr w:type="spellEnd"/>
      <w:r w:rsidRPr="009B21B5">
        <w:rPr>
          <w:lang w:val="nl-BE"/>
        </w:rPr>
        <w:t>. 2005)</w:t>
      </w:r>
      <w:r w:rsidRPr="007A07F8">
        <w:fldChar w:fldCharType="end"/>
      </w:r>
      <w:r w:rsidRPr="009B21B5">
        <w:rPr>
          <w:lang w:val="nl-BE"/>
        </w:rPr>
        <w:t>. Calcium is geen voedingsstof die verplicht moet worden vermeld. Daarom bestaat de aanpassing van de score er louter in om steeds rekening te houden met het eiwitgehalte van kazen (wat hun hoeveelheid zout, energie en verzadigde vetzuren niet zou toelaten, omdat het N-totaal dan uitkomt boven de 11). Op die manier wordt ook het relatieve calciumgehalte in rekening gebracht.</w:t>
      </w:r>
    </w:p>
    <w:p w14:paraId="2E6499FF" w14:textId="77777777" w:rsidR="007A07F8" w:rsidRPr="009B21B5" w:rsidRDefault="007A07F8" w:rsidP="00A80CDA">
      <w:pPr>
        <w:spacing w:before="120" w:after="120" w:line="264" w:lineRule="auto"/>
        <w:jc w:val="both"/>
        <w:rPr>
          <w:rFonts w:ascii="Calibri" w:hAnsi="Calibri" w:cs="Calibri"/>
          <w:lang w:val="nl-BE" w:eastAsia="fr-FR"/>
        </w:rPr>
      </w:pPr>
      <w:r w:rsidRPr="009B21B5">
        <w:rPr>
          <w:lang w:val="nl-BE"/>
        </w:rPr>
        <w:t xml:space="preserve">Kortom, de hoeveelheid eiwitten wordt dus meegerekend ongeacht of het puntentotaal N kleiner is dan 11, en de drempelwaarden voor de andere voedingsmiddelencategorieën worden behouden. Kazen worden derhalve opgesplitst in drie klassen binnen de </w:t>
      </w:r>
      <w:proofErr w:type="spellStart"/>
      <w:r w:rsidRPr="009B21B5">
        <w:rPr>
          <w:lang w:val="nl-BE"/>
        </w:rPr>
        <w:t>Nutri</w:t>
      </w:r>
      <w:proofErr w:type="spellEnd"/>
      <w:r w:rsidRPr="009B21B5">
        <w:rPr>
          <w:lang w:val="nl-BE"/>
        </w:rPr>
        <w:t>-Score.</w:t>
      </w:r>
    </w:p>
    <w:p w14:paraId="64749284" w14:textId="77777777" w:rsidR="007A07F8" w:rsidRPr="009B21B5" w:rsidRDefault="007A07F8" w:rsidP="00AD727F">
      <w:pPr>
        <w:pBdr>
          <w:top w:val="single" w:sz="4" w:space="1" w:color="auto"/>
          <w:left w:val="single" w:sz="4" w:space="4" w:color="auto"/>
          <w:bottom w:val="single" w:sz="4" w:space="1" w:color="auto"/>
          <w:right w:val="single" w:sz="4" w:space="4" w:color="auto"/>
        </w:pBdr>
        <w:shd w:val="clear" w:color="auto" w:fill="C4BC96" w:themeFill="background2" w:themeFillShade="BF"/>
        <w:spacing w:before="120" w:after="120" w:line="264" w:lineRule="auto"/>
        <w:jc w:val="center"/>
        <w:rPr>
          <w:rFonts w:ascii="Calibri" w:hAnsi="Calibri" w:cs="Calibri"/>
          <w:b/>
          <w:lang w:val="nl-BE" w:eastAsia="fr-FR"/>
        </w:rPr>
      </w:pPr>
      <w:r w:rsidRPr="009B21B5">
        <w:rPr>
          <w:rFonts w:ascii="Calibri" w:hAnsi="Calibri" w:cs="Calibri"/>
          <w:b/>
          <w:lang w:val="nl-BE" w:eastAsia="nl"/>
        </w:rPr>
        <w:t>Voedingsscore van kazen = Totaal N-punten - Totaal P-punten</w:t>
      </w:r>
    </w:p>
    <w:p w14:paraId="6725CBB6" w14:textId="77777777" w:rsidR="00644EBB" w:rsidRPr="009B21B5" w:rsidRDefault="00644EBB" w:rsidP="00AD727F">
      <w:pPr>
        <w:spacing w:before="120" w:after="120" w:line="264" w:lineRule="auto"/>
        <w:rPr>
          <w:b/>
          <w:u w:val="single"/>
          <w:lang w:val="nl-BE"/>
        </w:rPr>
      </w:pPr>
      <w:bookmarkStart w:id="83" w:name="_Toc489544836"/>
    </w:p>
    <w:p w14:paraId="3004E554" w14:textId="77777777" w:rsidR="007A07F8" w:rsidRPr="009B21B5" w:rsidRDefault="007A07F8" w:rsidP="00AD727F">
      <w:pPr>
        <w:spacing w:before="120" w:after="120" w:line="264" w:lineRule="auto"/>
        <w:rPr>
          <w:b/>
          <w:u w:val="single"/>
          <w:lang w:val="nl-BE"/>
        </w:rPr>
      </w:pPr>
      <w:r w:rsidRPr="006A159F">
        <w:rPr>
          <w:b/>
          <w:u w:val="single"/>
        </w:rPr>
        <w:lastRenderedPageBreak/>
        <w:sym w:font="Wingdings" w:char="F0C4"/>
      </w:r>
      <w:r w:rsidRPr="009B21B5">
        <w:rPr>
          <w:b/>
          <w:u w:val="single"/>
          <w:lang w:val="nl-BE"/>
        </w:rPr>
        <w:t xml:space="preserve"> Toegevoegde vetten</w:t>
      </w:r>
      <w:bookmarkEnd w:id="83"/>
    </w:p>
    <w:p w14:paraId="46DE83AF" w14:textId="77777777" w:rsidR="007A07F8" w:rsidRPr="009B21B5" w:rsidRDefault="006018D1"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De voedingsaanbevelingen van de Hoge Gezondheidsraad raden aan om de voorkeur te geven aan vetten van plantaardige oorsprong en om zuinig om te springen met dierlijke vetten (zoals boter, room). De classificatie op basis van de oorspronkelijke berekening van de FSA-score deelt toegevoegde vetten in onder klasse 'donkeroranje/E', wat dus niet in de lijn lijkt te liggen van wat de voedingsrichtlijnen voorschrijven. Anders gezegd, het FSA-algoritme moet bijgeschaafd worden om beter rekening te houden met</w:t>
      </w:r>
      <w:r w:rsidR="007A07F8" w:rsidRPr="009B21B5">
        <w:rPr>
          <w:rFonts w:ascii="Calibri" w:hAnsi="Calibri" w:cs="Calibri"/>
          <w:b/>
          <w:lang w:val="nl-BE" w:eastAsia="nl"/>
        </w:rPr>
        <w:t xml:space="preserve"> </w:t>
      </w:r>
      <w:r w:rsidR="007A07F8" w:rsidRPr="009B21B5">
        <w:rPr>
          <w:rFonts w:ascii="Calibri" w:hAnsi="Calibri" w:cs="Calibri"/>
          <w:lang w:val="nl-BE" w:eastAsia="nl"/>
        </w:rPr>
        <w:t>het gehalte aan verzadigde vetzuren</w:t>
      </w:r>
      <w:r w:rsidR="007A07F8" w:rsidRPr="00DC7BBC">
        <w:rPr>
          <w:rStyle w:val="Appelnotedebasdep"/>
        </w:rPr>
        <w:footnoteReference w:id="5"/>
      </w:r>
      <w:r w:rsidR="007A07F8" w:rsidRPr="009B21B5">
        <w:rPr>
          <w:rFonts w:ascii="Calibri" w:hAnsi="Calibri" w:cs="Calibri"/>
          <w:b/>
          <w:lang w:val="nl-BE" w:eastAsia="nl"/>
        </w:rPr>
        <w:t xml:space="preserve">. </w:t>
      </w:r>
      <w:r w:rsidR="007A07F8" w:rsidRPr="009B21B5">
        <w:rPr>
          <w:rFonts w:ascii="Calibri" w:hAnsi="Calibri" w:cs="Calibri"/>
          <w:lang w:val="nl-BE" w:eastAsia="nl"/>
        </w:rPr>
        <w:t>De tabel om de punten voor vetzuren toe te kennen is opgesteld op basis van de component verzadigde vetzuren/totale vetten (in percentage). De tabel voor puntentoekenning begint bij 10 % en stijgt per stapje van 6 %.</w:t>
      </w:r>
    </w:p>
    <w:p w14:paraId="616EA4F1" w14:textId="77777777" w:rsidR="000D6973" w:rsidRPr="009B21B5" w:rsidRDefault="000D6973"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De berekening van de verzadigde vetzuren/totale vetten vervangt de kolom verzadigde vetzuren maar de andere kolommen moeten worden gebruikt.</w:t>
      </w:r>
    </w:p>
    <w:p w14:paraId="6CBA9F9E" w14:textId="77777777" w:rsidR="00E245C4" w:rsidRPr="009B21B5" w:rsidRDefault="00E245C4" w:rsidP="00AD727F">
      <w:pPr>
        <w:spacing w:after="0" w:line="264" w:lineRule="auto"/>
        <w:jc w:val="both"/>
        <w:rPr>
          <w:rFonts w:ascii="Calibri" w:hAnsi="Calibri" w:cs="Calibri"/>
          <w:color w:val="548DD4" w:themeColor="text2" w:themeTint="99"/>
          <w:lang w:val="nl-BE" w:eastAsia="fr-FR"/>
        </w:rPr>
      </w:pPr>
    </w:p>
    <w:tbl>
      <w:tblPr>
        <w:tblStyle w:val="Ombrageclair1"/>
        <w:tblW w:w="3681" w:type="dxa"/>
        <w:jc w:val="center"/>
        <w:tblLook w:val="0620" w:firstRow="1" w:lastRow="0" w:firstColumn="0" w:lastColumn="0" w:noHBand="1" w:noVBand="1"/>
      </w:tblPr>
      <w:tblGrid>
        <w:gridCol w:w="1040"/>
        <w:gridCol w:w="2641"/>
      </w:tblGrid>
      <w:tr w:rsidR="007A07F8" w:rsidRPr="009B21B5" w14:paraId="6ED87CF7" w14:textId="77777777" w:rsidTr="00B96335">
        <w:trPr>
          <w:cnfStyle w:val="100000000000" w:firstRow="1" w:lastRow="0" w:firstColumn="0" w:lastColumn="0" w:oddVBand="0" w:evenVBand="0" w:oddHBand="0" w:evenHBand="0" w:firstRowFirstColumn="0" w:firstRowLastColumn="0" w:lastRowFirstColumn="0" w:lastRowLastColumn="0"/>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E8A6A15" w14:textId="77777777" w:rsidR="007A07F8" w:rsidRPr="00411BF4" w:rsidRDefault="007A07F8" w:rsidP="00AD727F">
            <w:pPr>
              <w:spacing w:line="264" w:lineRule="auto"/>
              <w:jc w:val="center"/>
              <w:rPr>
                <w:rFonts w:ascii="Calibri" w:hAnsi="Calibri" w:cs="Calibri"/>
                <w:lang w:eastAsia="fr-FR"/>
              </w:rPr>
            </w:pPr>
            <w:proofErr w:type="spellStart"/>
            <w:r w:rsidRPr="00411BF4">
              <w:rPr>
                <w:rFonts w:ascii="Calibri" w:hAnsi="Calibri" w:cs="Calibri"/>
                <w:lang w:eastAsia="nl"/>
              </w:rPr>
              <w:t>Punten</w:t>
            </w:r>
            <w:proofErr w:type="spellEnd"/>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1480DF" w14:textId="77777777" w:rsidR="007A07F8" w:rsidRPr="009B21B5" w:rsidRDefault="007A07F8" w:rsidP="00AD727F">
            <w:pPr>
              <w:spacing w:line="264" w:lineRule="auto"/>
              <w:jc w:val="center"/>
              <w:rPr>
                <w:rFonts w:ascii="Calibri" w:hAnsi="Calibri" w:cs="Calibri"/>
                <w:lang w:val="nl-BE" w:eastAsia="fr-FR"/>
              </w:rPr>
            </w:pPr>
            <w:r w:rsidRPr="009B21B5">
              <w:rPr>
                <w:rFonts w:ascii="Calibri" w:hAnsi="Calibri" w:cs="Calibri"/>
                <w:lang w:val="nl-BE" w:eastAsia="nl"/>
              </w:rPr>
              <w:t>Verhouding</w:t>
            </w:r>
          </w:p>
          <w:p w14:paraId="40A0AB4D" w14:textId="77777777" w:rsidR="007A07F8" w:rsidRPr="009B21B5" w:rsidRDefault="007A07F8" w:rsidP="00AD727F">
            <w:pPr>
              <w:spacing w:line="264" w:lineRule="auto"/>
              <w:jc w:val="center"/>
              <w:rPr>
                <w:rFonts w:ascii="Calibri" w:hAnsi="Calibri" w:cs="Calibri"/>
                <w:lang w:val="nl-BE" w:eastAsia="fr-FR"/>
              </w:rPr>
            </w:pPr>
            <w:r w:rsidRPr="009B21B5">
              <w:rPr>
                <w:rFonts w:ascii="Calibri" w:hAnsi="Calibri" w:cs="Calibri"/>
                <w:lang w:val="nl-BE" w:eastAsia="nl"/>
              </w:rPr>
              <w:t>verzadigde vetzuren/totaal vetten (%)</w:t>
            </w:r>
          </w:p>
        </w:tc>
      </w:tr>
      <w:tr w:rsidR="007A07F8" w:rsidRPr="006018D1" w14:paraId="36C9D9DA"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23F0153"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0</w:t>
            </w:r>
          </w:p>
        </w:tc>
        <w:tc>
          <w:tcPr>
            <w:tcW w:w="2641" w:type="dxa"/>
            <w:tcBorders>
              <w:top w:val="single" w:sz="4" w:space="0" w:color="auto"/>
              <w:left w:val="single" w:sz="4" w:space="0" w:color="auto"/>
              <w:bottom w:val="single" w:sz="4" w:space="0" w:color="auto"/>
              <w:right w:val="single" w:sz="4" w:space="0" w:color="auto"/>
            </w:tcBorders>
            <w:hideMark/>
          </w:tcPr>
          <w:p w14:paraId="46228EB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&lt;10</w:t>
            </w:r>
          </w:p>
        </w:tc>
      </w:tr>
      <w:tr w:rsidR="007A07F8" w:rsidRPr="006018D1" w14:paraId="5D6F3F04"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8B742BA"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1</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987E52A"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(&lt;16</w:t>
            </w:r>
          </w:p>
        </w:tc>
      </w:tr>
      <w:tr w:rsidR="007A07F8" w:rsidRPr="006018D1" w14:paraId="4F67F3A3"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FD17697"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2</w:t>
            </w:r>
          </w:p>
        </w:tc>
        <w:tc>
          <w:tcPr>
            <w:tcW w:w="2641" w:type="dxa"/>
            <w:tcBorders>
              <w:top w:val="single" w:sz="4" w:space="0" w:color="auto"/>
              <w:left w:val="single" w:sz="4" w:space="0" w:color="auto"/>
              <w:bottom w:val="single" w:sz="4" w:space="0" w:color="auto"/>
              <w:right w:val="single" w:sz="4" w:space="0" w:color="auto"/>
            </w:tcBorders>
            <w:hideMark/>
          </w:tcPr>
          <w:p w14:paraId="71BF352D"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&lt;22</w:t>
            </w:r>
          </w:p>
        </w:tc>
      </w:tr>
      <w:tr w:rsidR="007A07F8" w:rsidRPr="006018D1" w14:paraId="53AC911D"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FA8A75"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3</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9E86F7"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&lt;28</w:t>
            </w:r>
          </w:p>
        </w:tc>
      </w:tr>
      <w:tr w:rsidR="007A07F8" w:rsidRPr="006018D1" w14:paraId="1AFB347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1E47E825"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4</w:t>
            </w:r>
          </w:p>
        </w:tc>
        <w:tc>
          <w:tcPr>
            <w:tcW w:w="2641" w:type="dxa"/>
            <w:tcBorders>
              <w:top w:val="single" w:sz="4" w:space="0" w:color="auto"/>
              <w:left w:val="single" w:sz="4" w:space="0" w:color="auto"/>
              <w:bottom w:val="single" w:sz="4" w:space="0" w:color="auto"/>
              <w:right w:val="single" w:sz="4" w:space="0" w:color="auto"/>
            </w:tcBorders>
            <w:hideMark/>
          </w:tcPr>
          <w:p w14:paraId="47A1886A"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&lt;34</w:t>
            </w:r>
          </w:p>
        </w:tc>
      </w:tr>
      <w:tr w:rsidR="007A07F8" w:rsidRPr="006018D1" w14:paraId="77ECD4EE"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184033"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5</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763BA3E"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&lt;40</w:t>
            </w:r>
          </w:p>
        </w:tc>
      </w:tr>
      <w:tr w:rsidR="007A07F8" w:rsidRPr="006018D1" w14:paraId="089205E4"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3B1AAB1"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6</w:t>
            </w:r>
          </w:p>
        </w:tc>
        <w:tc>
          <w:tcPr>
            <w:tcW w:w="2641" w:type="dxa"/>
            <w:tcBorders>
              <w:top w:val="single" w:sz="4" w:space="0" w:color="auto"/>
              <w:left w:val="single" w:sz="4" w:space="0" w:color="auto"/>
              <w:bottom w:val="single" w:sz="4" w:space="0" w:color="auto"/>
              <w:right w:val="single" w:sz="4" w:space="0" w:color="auto"/>
            </w:tcBorders>
            <w:hideMark/>
          </w:tcPr>
          <w:p w14:paraId="61EE286F"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&lt;46</w:t>
            </w:r>
          </w:p>
        </w:tc>
      </w:tr>
      <w:tr w:rsidR="007A07F8" w:rsidRPr="006018D1" w14:paraId="46C1551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F8ADF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7</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3365756"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&lt;52</w:t>
            </w:r>
          </w:p>
        </w:tc>
      </w:tr>
      <w:tr w:rsidR="007A07F8" w:rsidRPr="006018D1" w14:paraId="5626D3E7"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01E9F47A"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8</w:t>
            </w:r>
          </w:p>
        </w:tc>
        <w:tc>
          <w:tcPr>
            <w:tcW w:w="2641" w:type="dxa"/>
            <w:tcBorders>
              <w:top w:val="single" w:sz="4" w:space="0" w:color="auto"/>
              <w:left w:val="single" w:sz="4" w:space="0" w:color="auto"/>
              <w:bottom w:val="single" w:sz="4" w:space="0" w:color="auto"/>
              <w:right w:val="single" w:sz="4" w:space="0" w:color="auto"/>
            </w:tcBorders>
            <w:hideMark/>
          </w:tcPr>
          <w:p w14:paraId="0754AABD"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&lt;58</w:t>
            </w:r>
          </w:p>
        </w:tc>
      </w:tr>
      <w:tr w:rsidR="007A07F8" w:rsidRPr="006018D1" w14:paraId="2097C75E"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9C1B14"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9</w:t>
            </w:r>
          </w:p>
        </w:tc>
        <w:tc>
          <w:tcPr>
            <w:tcW w:w="26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C79479"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&lt;64</w:t>
            </w:r>
          </w:p>
        </w:tc>
      </w:tr>
      <w:tr w:rsidR="007A07F8" w:rsidRPr="006018D1" w14:paraId="793AFF36" w14:textId="77777777" w:rsidTr="00B9633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79C819B7" w14:textId="77777777" w:rsidR="007A07F8" w:rsidRPr="0098437F" w:rsidRDefault="007A07F8" w:rsidP="00AD727F">
            <w:pPr>
              <w:spacing w:line="264" w:lineRule="auto"/>
              <w:jc w:val="center"/>
              <w:rPr>
                <w:rFonts w:ascii="Calibri" w:hAnsi="Calibri" w:cs="Calibri"/>
                <w:b/>
                <w:lang w:eastAsia="fr-FR"/>
              </w:rPr>
            </w:pPr>
            <w:r w:rsidRPr="0098437F">
              <w:rPr>
                <w:rFonts w:ascii="Calibri" w:hAnsi="Calibri" w:cs="Calibri"/>
                <w:b/>
                <w:lang w:eastAsia="nl"/>
              </w:rPr>
              <w:t>10</w:t>
            </w:r>
          </w:p>
        </w:tc>
        <w:tc>
          <w:tcPr>
            <w:tcW w:w="2641" w:type="dxa"/>
            <w:tcBorders>
              <w:top w:val="single" w:sz="4" w:space="0" w:color="auto"/>
              <w:left w:val="single" w:sz="4" w:space="0" w:color="auto"/>
              <w:bottom w:val="single" w:sz="4" w:space="0" w:color="auto"/>
              <w:right w:val="single" w:sz="4" w:space="0" w:color="auto"/>
            </w:tcBorders>
            <w:hideMark/>
          </w:tcPr>
          <w:p w14:paraId="0C8F8702" w14:textId="77777777" w:rsidR="007A07F8" w:rsidRPr="006018D1" w:rsidRDefault="007A07F8" w:rsidP="00AD727F">
            <w:pPr>
              <w:spacing w:line="264" w:lineRule="auto"/>
              <w:jc w:val="center"/>
              <w:rPr>
                <w:rFonts w:ascii="Calibri" w:hAnsi="Calibri" w:cs="Calibri"/>
                <w:lang w:eastAsia="fr-FR"/>
              </w:rPr>
            </w:pPr>
            <w:r w:rsidRPr="006018D1">
              <w:rPr>
                <w:rFonts w:ascii="Calibri" w:hAnsi="Calibri" w:cs="Calibri"/>
                <w:lang w:eastAsia="nl"/>
              </w:rPr>
              <w:t>≥64</w:t>
            </w:r>
          </w:p>
        </w:tc>
      </w:tr>
    </w:tbl>
    <w:p w14:paraId="675DB041" w14:textId="77777777" w:rsidR="007A07F8" w:rsidRDefault="007A07F8" w:rsidP="00AD727F">
      <w:pPr>
        <w:spacing w:before="120" w:after="120" w:line="264" w:lineRule="auto"/>
        <w:rPr>
          <w:rFonts w:ascii="Calibri" w:hAnsi="Calibri" w:cs="Calibri"/>
          <w:sz w:val="8"/>
          <w:szCs w:val="8"/>
          <w:lang w:eastAsia="fr-FR"/>
        </w:rPr>
      </w:pPr>
    </w:p>
    <w:p w14:paraId="103F8E59" w14:textId="77777777" w:rsidR="00E245C4" w:rsidRDefault="00E245C4" w:rsidP="00AD727F">
      <w:pPr>
        <w:spacing w:before="120" w:after="120" w:line="264" w:lineRule="auto"/>
        <w:rPr>
          <w:rFonts w:ascii="Calibri" w:hAnsi="Calibri" w:cs="Calibri"/>
          <w:sz w:val="8"/>
          <w:szCs w:val="8"/>
          <w:lang w:eastAsia="fr-FR"/>
        </w:rPr>
      </w:pPr>
    </w:p>
    <w:p w14:paraId="7144B2E9" w14:textId="77777777" w:rsidR="00AD727F" w:rsidRPr="007A07F8" w:rsidRDefault="00AD727F" w:rsidP="00AD727F">
      <w:pPr>
        <w:spacing w:before="120" w:after="120" w:line="264" w:lineRule="auto"/>
        <w:rPr>
          <w:rFonts w:ascii="Calibri" w:hAnsi="Calibri" w:cs="Calibri"/>
          <w:sz w:val="8"/>
          <w:szCs w:val="8"/>
          <w:lang w:eastAsia="fr-FR"/>
        </w:rPr>
      </w:pPr>
    </w:p>
    <w:p w14:paraId="739098E4" w14:textId="77777777" w:rsidR="007A07F8" w:rsidRPr="006A159F" w:rsidRDefault="007A07F8" w:rsidP="00AD727F">
      <w:pPr>
        <w:spacing w:before="120" w:after="120" w:line="264" w:lineRule="auto"/>
        <w:rPr>
          <w:b/>
          <w:u w:val="single"/>
        </w:rPr>
      </w:pPr>
      <w:bookmarkStart w:id="84" w:name="_Toc489544837"/>
      <w:r w:rsidRPr="006A159F">
        <w:rPr>
          <w:b/>
          <w:u w:val="single"/>
        </w:rPr>
        <w:sym w:font="Wingdings" w:char="F0C4"/>
      </w:r>
      <w:r w:rsidRPr="006A159F">
        <w:rPr>
          <w:b/>
          <w:u w:val="single"/>
        </w:rPr>
        <w:t xml:space="preserve"> </w:t>
      </w:r>
      <w:proofErr w:type="spellStart"/>
      <w:r w:rsidRPr="006A159F">
        <w:rPr>
          <w:b/>
          <w:u w:val="single"/>
        </w:rPr>
        <w:t>Dranken</w:t>
      </w:r>
      <w:proofErr w:type="spellEnd"/>
      <w:r w:rsidRPr="006A159F">
        <w:rPr>
          <w:b/>
          <w:u w:val="single"/>
        </w:rPr>
        <w:t>:</w:t>
      </w:r>
      <w:bookmarkEnd w:id="84"/>
    </w:p>
    <w:p w14:paraId="0D465399" w14:textId="77777777"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Voor dranken moet de specifieke voedingssamenstelling van deze categorie in aanmerking worden genomen, in het bijzonder dan het suikergehalte. De aanpassingen zijn gedaan voor een betere samenhang tussen de indeling volgens de </w:t>
      </w:r>
      <w:proofErr w:type="spellStart"/>
      <w:r w:rsidRPr="009B21B5">
        <w:rPr>
          <w:rFonts w:ascii="Calibri" w:hAnsi="Calibri" w:cs="Calibri"/>
          <w:lang w:val="nl-BE" w:eastAsia="nl"/>
        </w:rPr>
        <w:t>Nutri</w:t>
      </w:r>
      <w:proofErr w:type="spellEnd"/>
      <w:r w:rsidRPr="009B21B5">
        <w:rPr>
          <w:rFonts w:ascii="Calibri" w:hAnsi="Calibri" w:cs="Calibri"/>
          <w:lang w:val="nl-BE" w:eastAsia="nl"/>
        </w:rPr>
        <w:t xml:space="preserve">-Score en de geldende voedingsrichtlijnen </w:t>
      </w:r>
      <w:r w:rsidRPr="007A07F8">
        <w:rPr>
          <w:rFonts w:ascii="Calibri" w:hAnsi="Calibri" w:cs="Calibri"/>
          <w:lang w:eastAsia="nl"/>
        </w:rPr>
        <w:fldChar w:fldCharType="begin"/>
      </w:r>
      <w:r w:rsidRPr="009B21B5">
        <w:rPr>
          <w:rFonts w:ascii="Calibri" w:hAnsi="Calibri" w:cs="Calibri"/>
          <w:lang w:val="nl-BE" w:eastAsia="nl"/>
        </w:rPr>
        <w:instrText xml:space="preserve"> ADDIN REFMGR.CITE &lt;Refman&gt;&lt;Cite&gt;&lt;Author&gt;Haut Conseil de la Santé Publique&lt;/Author&gt;&lt;Year&gt;2015&lt;/Year&gt;&lt;RecNum&gt;41&lt;/RecNum&gt;&lt;IDText&gt;Avis relatif à l&amp;apos;information sur la qualité nutritionnelle des produits alimentaires&lt;/IDText&gt;&lt;MDL Ref_Type="Report"&gt;&lt;Ref_Type&gt;Report&lt;/Ref_Type&gt;&lt;Ref_ID&gt;41&lt;/Ref_ID&gt;&lt;Title_Primary&gt;Avis relatif &amp;#xE0; l&amp;apos;information sur la qualit&amp;#xE9; nutritionnelle des produits alimentaires&lt;/Title_Primary&gt;&lt;Authors_Primary&gt;Haut Conseil de la Sant&amp;#xE9; Publique&lt;/Authors_Primary&gt;&lt;Date_Primary&gt;2015&lt;/Date_Primary&gt;&lt;Reprint&gt;Not in File&lt;/Reprint&gt;&lt;Pub_Place&gt;Paris&lt;/Pub_Place&gt;&lt;Publisher&gt;HCSP&lt;/Publisher&gt;&lt;Date_Secondary&gt;2015/11/9&lt;/Date_Secondary&gt;&lt;Web_URL&gt;&lt;u&gt;http://www.hcsp.fr/Explore.cgi/avisrapportsdomaine?clefr=519&lt;/u&gt;&lt;/Web_URL&gt;&lt;ZZ_WorkformID&gt;24&lt;/ZZ_WorkformID&gt;&lt;/MDL&gt;&lt;/Cite&gt;&lt;/Refman&gt;</w:instrText>
      </w:r>
      <w:r w:rsidRPr="007A07F8">
        <w:rPr>
          <w:rFonts w:ascii="Calibri" w:hAnsi="Calibri" w:cs="Calibri"/>
          <w:lang w:eastAsia="nl"/>
        </w:rPr>
        <w:fldChar w:fldCharType="separate"/>
      </w:r>
      <w:r w:rsidRPr="009B21B5">
        <w:rPr>
          <w:rFonts w:ascii="Calibri" w:hAnsi="Calibri" w:cs="Calibri"/>
          <w:noProof/>
          <w:lang w:val="nl-BE" w:eastAsia="nl"/>
        </w:rPr>
        <w:t>(Franse Hoge Raad voor Volksgezondheid, 2015)</w:t>
      </w:r>
      <w:r w:rsidRPr="007A07F8">
        <w:rPr>
          <w:rFonts w:ascii="Calibri" w:hAnsi="Calibri" w:cs="Calibri"/>
          <w:lang w:eastAsia="nl"/>
        </w:rPr>
        <w:fldChar w:fldCharType="end"/>
      </w:r>
      <w:r w:rsidRPr="009B21B5">
        <w:rPr>
          <w:rFonts w:ascii="Calibri" w:hAnsi="Calibri" w:cs="Calibri"/>
          <w:lang w:val="nl-BE" w:eastAsia="nl"/>
        </w:rPr>
        <w:t>.</w:t>
      </w:r>
      <w:r w:rsidRPr="009B21B5">
        <w:rPr>
          <w:lang w:val="nl-BE"/>
        </w:rPr>
        <w:t xml:space="preserve"> </w:t>
      </w:r>
      <w:r w:rsidRPr="009B21B5">
        <w:rPr>
          <w:rFonts w:ascii="Calibri" w:hAnsi="Calibri" w:cs="Calibri"/>
          <w:lang w:val="nl-BE" w:eastAsia="nl"/>
        </w:rPr>
        <w:t xml:space="preserve">Water is de enige drank die door internationale instellingen wordt aanbevolen. Dat onderscheid rechtvaardigt dat water steeds los van alle andere dranken wordt gezien (ook die met 0 calorieën). Recent wetenschappelijk onderzoek suggereert trouwens dat de consumptie van dranken die gezoet zijn zonder suiker (dus zonder energiewaarde) negatieve gevolgen kunnen hebben op de gezondheid </w:t>
      </w:r>
      <w:r w:rsidRPr="007A07F8">
        <w:rPr>
          <w:rFonts w:ascii="Calibri" w:hAnsi="Calibri" w:cs="Calibri"/>
          <w:lang w:eastAsia="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9B21B5">
        <w:rPr>
          <w:rFonts w:ascii="Calibri" w:hAnsi="Calibri" w:cs="Calibri"/>
          <w:lang w:val="nl-BE" w:eastAsia="nl"/>
        </w:rPr>
        <w:instrText xml:space="preserve"> ADDIN REFMGR.CITE </w:instrText>
      </w:r>
      <w:r w:rsidRPr="007A07F8">
        <w:rPr>
          <w:rFonts w:ascii="Calibri" w:hAnsi="Calibri" w:cs="Calibri"/>
          <w:lang w:eastAsia="nl"/>
        </w:rPr>
        <w:fldChar w:fldCharType="begin">
          <w:fldData xml:space="preserve">PFJlZm1hbj48Q2l0ZT48QXV0aG9yPkZvd2xlcjwvQXV0aG9yPjxZZWFyPjIwMDg8L1llYXI+PFJl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</w:fldData>
        </w:fldChar>
      </w:r>
      <w:r w:rsidRPr="009B21B5">
        <w:rPr>
          <w:rFonts w:ascii="Calibri" w:hAnsi="Calibri" w:cs="Calibri"/>
          <w:lang w:val="nl-BE" w:eastAsia="nl"/>
        </w:rPr>
        <w:instrText xml:space="preserve"> ADDIN EN.CITE.DATA </w:instrText>
      </w:r>
      <w:r w:rsidRPr="007A07F8">
        <w:rPr>
          <w:rFonts w:ascii="Calibri" w:hAnsi="Calibri" w:cs="Calibri"/>
          <w:lang w:eastAsia="nl"/>
        </w:rPr>
      </w:r>
      <w:r w:rsidRPr="007A07F8">
        <w:rPr>
          <w:rFonts w:ascii="Calibri" w:hAnsi="Calibri" w:cs="Calibri"/>
          <w:lang w:eastAsia="nl"/>
        </w:rPr>
        <w:fldChar w:fldCharType="end"/>
      </w:r>
      <w:r w:rsidRPr="007A07F8">
        <w:rPr>
          <w:rFonts w:ascii="Calibri" w:hAnsi="Calibri" w:cs="Calibri"/>
          <w:lang w:eastAsia="nl"/>
        </w:rPr>
      </w:r>
      <w:r w:rsidRPr="007A07F8">
        <w:rPr>
          <w:rFonts w:ascii="Calibri" w:hAnsi="Calibri" w:cs="Calibri"/>
          <w:lang w:eastAsia="nl"/>
        </w:rPr>
        <w:fldChar w:fldCharType="separate"/>
      </w:r>
      <w:r w:rsidRPr="009B21B5">
        <w:rPr>
          <w:rFonts w:ascii="Calibri" w:hAnsi="Calibri" w:cs="Calibri"/>
          <w:noProof/>
          <w:lang w:val="nl-BE" w:eastAsia="nl"/>
        </w:rPr>
        <w:t>(Fowler et coll., 2008, Narain et coll. 2017))</w:t>
      </w:r>
      <w:r w:rsidRPr="007A07F8">
        <w:rPr>
          <w:rFonts w:ascii="Calibri" w:hAnsi="Calibri" w:cs="Calibri"/>
          <w:lang w:eastAsia="nl"/>
        </w:rPr>
        <w:fldChar w:fldCharType="end"/>
      </w:r>
      <w:r w:rsidRPr="009B21B5">
        <w:rPr>
          <w:rFonts w:ascii="Calibri" w:hAnsi="Calibri" w:cs="Calibri"/>
          <w:lang w:val="nl-BE" w:eastAsia="nl"/>
        </w:rPr>
        <w:t xml:space="preserve">  of dat dergelijke dranken in elk geval geen enkel voordeel bieden </w:t>
      </w:r>
      <w:r w:rsidRPr="00917635">
        <w:rPr>
          <w:rFonts w:ascii="Calibri" w:hAnsi="Calibri" w:cs="Calibri"/>
          <w:lang w:eastAsia="nl"/>
        </w:rPr>
        <w:fldChar w:fldCharType="begin"/>
      </w:r>
      <w:r w:rsidRPr="009B21B5">
        <w:rPr>
          <w:rFonts w:ascii="Calibri" w:hAnsi="Calibri" w:cs="Calibri"/>
          <w:lang w:val="nl-BE" w:eastAsia="nl"/>
        </w:rPr>
        <w:instrText xml:space="preserve"> ADDIN REFMGR.CITE &lt;Refman&gt;&lt;Cite&gt;&lt;Author&gt;ANSES&lt;/Author&gt;&lt;Year&gt;2015&lt;/Year&gt;&lt;RecNum&gt;19757&lt;/RecNum&gt;&lt;IDText&gt;Evaluation des bénéfices et des risques nutritionnels des édulcorants intenses. Rapport d&amp;apos;expertise collective&lt;/IDText&gt;&lt;MDL Ref_Type="Report"&gt;&lt;Ref_Type&gt;Report&lt;/Ref_Type&gt;&lt;Ref_ID&gt;19757&lt;/Ref_ID&gt;&lt;Title_Primary&gt;Evaluation des b&amp;#xE9;n&amp;#xE9;fices et des risques nutritionnels des &amp;#xE9;dulcorants intenses. Rapport d&amp;apos;expertise collective&lt;/Title_Primary&gt;&lt;Authors_Primary&gt;ANSES&lt;/Authors_Primary&gt;&lt;Date_Primary&gt;2015&lt;/Date_Primary&gt;&lt;Reprint&gt;Not in File&lt;/Reprint&gt;&lt;Pub_Place&gt;Maison Alfort&lt;/Pub_Place&gt;&lt;Publisher&gt;Agence Nationale de S&amp;#xE9;curit&amp;#xE9; Sanitaire de l&amp;apos;Alimentation, de l&amp;apos;Environnement et du Travail&lt;/Publisher&gt;&lt;Web_URL&gt;&lt;u&gt;https://www.anses.fr/fr/system/files/NUT2011sa0161Ra.pdf&lt;/u&gt;&lt;/Web_URL&gt;&lt;ZZ_WorkformID&gt;24&lt;/ZZ_WorkformID&gt;&lt;/MDL&gt;&lt;/Cite&gt;&lt;/Refman&gt;</w:instrText>
      </w:r>
      <w:r w:rsidRPr="00917635">
        <w:rPr>
          <w:rFonts w:ascii="Calibri" w:hAnsi="Calibri" w:cs="Calibri"/>
          <w:lang w:eastAsia="nl"/>
        </w:rPr>
        <w:fldChar w:fldCharType="separate"/>
      </w:r>
      <w:r w:rsidRPr="009B21B5">
        <w:rPr>
          <w:rFonts w:ascii="Calibri" w:hAnsi="Calibri" w:cs="Calibri"/>
          <w:noProof/>
          <w:lang w:val="nl-BE" w:eastAsia="nl"/>
        </w:rPr>
        <w:t>(ANSES 2015b)</w:t>
      </w:r>
      <w:r w:rsidRPr="00917635">
        <w:rPr>
          <w:rFonts w:ascii="Calibri" w:hAnsi="Calibri" w:cs="Calibri"/>
          <w:lang w:eastAsia="nl"/>
        </w:rPr>
        <w:fldChar w:fldCharType="end"/>
      </w:r>
      <w:r w:rsidRPr="009B21B5">
        <w:rPr>
          <w:rFonts w:ascii="Calibri" w:hAnsi="Calibri" w:cs="Calibri"/>
          <w:lang w:val="nl-BE" w:eastAsia="nl"/>
        </w:rPr>
        <w:t>.</w:t>
      </w:r>
    </w:p>
    <w:p w14:paraId="5E01D64B" w14:textId="77777777" w:rsidR="007A07F8" w:rsidRPr="009B21B5" w:rsidRDefault="007A07F8"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De score voor dranken wordt berekend op basis van de onderstaande tabellen.</w:t>
      </w:r>
    </w:p>
    <w:p w14:paraId="0786E08E" w14:textId="77777777" w:rsidR="00C95AA9" w:rsidRPr="009B21B5" w:rsidRDefault="00C95AA9" w:rsidP="00AD727F">
      <w:pPr>
        <w:spacing w:before="120" w:after="120" w:line="264" w:lineRule="auto"/>
        <w:jc w:val="both"/>
        <w:rPr>
          <w:rFonts w:ascii="Calibri" w:hAnsi="Calibri" w:cs="Calibri"/>
          <w:lang w:val="nl-BE" w:eastAsia="fr-FR"/>
        </w:rPr>
      </w:pPr>
      <w:r w:rsidRPr="009B21B5">
        <w:rPr>
          <w:rFonts w:ascii="Calibri" w:hAnsi="Calibri" w:cs="Calibri"/>
          <w:lang w:val="nl-BE" w:eastAsia="nl"/>
        </w:rPr>
        <w:t xml:space="preserve">De kolommen energie, suikers en fruit, groenten, peulvruchten, noten en koolzaad-, noten- en olijfolie vervangen de vorige kolommen maar de andere kolommen moeten worden gebruikt. </w:t>
      </w:r>
    </w:p>
    <w:p w14:paraId="5C614AE0" w14:textId="77777777" w:rsidR="00E245C4" w:rsidRPr="009B21B5" w:rsidRDefault="00E245C4" w:rsidP="00AD727F">
      <w:pPr>
        <w:spacing w:after="0" w:line="264" w:lineRule="auto"/>
        <w:jc w:val="both"/>
        <w:rPr>
          <w:rFonts w:ascii="Calibri" w:hAnsi="Calibri" w:cs="Calibri"/>
          <w:color w:val="548DD4" w:themeColor="text2" w:themeTint="99"/>
          <w:lang w:val="nl-BE" w:eastAsia="fr-FR"/>
        </w:rPr>
      </w:pPr>
    </w:p>
    <w:p w14:paraId="1B82626C" w14:textId="77777777" w:rsidR="00AD727F" w:rsidRPr="009B21B5" w:rsidRDefault="00AD727F" w:rsidP="00AD727F">
      <w:pPr>
        <w:spacing w:after="0" w:line="264" w:lineRule="auto"/>
        <w:jc w:val="both"/>
        <w:rPr>
          <w:rFonts w:ascii="Calibri" w:hAnsi="Calibri" w:cs="Calibri"/>
          <w:color w:val="548DD4" w:themeColor="text2" w:themeTint="99"/>
          <w:lang w:val="nl-BE" w:eastAsia="fr-FR"/>
        </w:rPr>
      </w:pPr>
    </w:p>
    <w:p w14:paraId="7406840D" w14:textId="77777777" w:rsidR="00AD727F" w:rsidRPr="009B21B5" w:rsidRDefault="00AD727F" w:rsidP="00AD727F">
      <w:pPr>
        <w:spacing w:after="0" w:line="264" w:lineRule="auto"/>
        <w:jc w:val="both"/>
        <w:rPr>
          <w:rFonts w:ascii="Calibri" w:hAnsi="Calibri" w:cs="Calibri"/>
          <w:color w:val="548DD4" w:themeColor="text2" w:themeTint="99"/>
          <w:lang w:val="nl-BE" w:eastAsia="fr-FR"/>
        </w:rPr>
      </w:pPr>
    </w:p>
    <w:p w14:paraId="3904D71E" w14:textId="77777777" w:rsidR="00AD727F" w:rsidRPr="009B21B5" w:rsidRDefault="00AD727F" w:rsidP="00AD727F">
      <w:pPr>
        <w:spacing w:after="0" w:line="264" w:lineRule="auto"/>
        <w:jc w:val="both"/>
        <w:rPr>
          <w:rFonts w:ascii="Calibri" w:hAnsi="Calibri" w:cs="Calibri"/>
          <w:color w:val="548DD4" w:themeColor="text2" w:themeTint="99"/>
          <w:lang w:val="nl-BE" w:eastAsia="fr-FR"/>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843"/>
        <w:gridCol w:w="2268"/>
      </w:tblGrid>
      <w:tr w:rsidR="007A07F8" w:rsidRPr="009B21B5" w14:paraId="3648A528"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9BD5F10" w14:textId="77777777" w:rsidR="007A07F8" w:rsidRPr="00917635" w:rsidRDefault="007A07F8" w:rsidP="00AD727F">
            <w:pPr>
              <w:spacing w:after="0" w:line="264" w:lineRule="auto"/>
              <w:jc w:val="center"/>
              <w:rPr>
                <w:rFonts w:ascii="Calibri" w:hAnsi="Calibri" w:cs="Calibri"/>
                <w:b/>
                <w:lang w:eastAsia="fr-FR"/>
              </w:rPr>
            </w:pPr>
            <w:proofErr w:type="spellStart"/>
            <w:r w:rsidRPr="00917635">
              <w:rPr>
                <w:rFonts w:ascii="Calibri" w:hAnsi="Calibri" w:cs="Calibri"/>
                <w:b/>
                <w:lang w:eastAsia="nl"/>
              </w:rPr>
              <w:t>Punten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0F48F07" w14:textId="77777777" w:rsidR="007A07F8" w:rsidRPr="009B21B5" w:rsidRDefault="004E6A38" w:rsidP="00AD727F">
            <w:pPr>
              <w:spacing w:after="0" w:line="264" w:lineRule="auto"/>
              <w:jc w:val="center"/>
              <w:rPr>
                <w:rFonts w:ascii="Calibri" w:hAnsi="Calibri" w:cs="Calibri"/>
                <w:b/>
                <w:lang w:val="nl-BE" w:eastAsia="fr-FR"/>
              </w:rPr>
            </w:pPr>
            <w:r w:rsidRPr="009B21B5">
              <w:rPr>
                <w:rFonts w:ascii="Calibri" w:hAnsi="Calibri" w:cs="Calibri"/>
                <w:b/>
                <w:lang w:val="nl-BE" w:eastAsia="nl"/>
              </w:rPr>
              <w:t>Energie (kJ/100 g of 100 ml)</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11FCB73" w14:textId="77777777" w:rsidR="007A07F8" w:rsidRPr="00917635" w:rsidRDefault="007A07F8" w:rsidP="00AD727F">
            <w:pPr>
              <w:spacing w:after="0" w:line="264" w:lineRule="auto"/>
              <w:jc w:val="center"/>
              <w:rPr>
                <w:rFonts w:ascii="Calibri" w:hAnsi="Calibri" w:cs="Calibri"/>
                <w:b/>
                <w:lang w:eastAsia="fr-FR"/>
              </w:rPr>
            </w:pPr>
            <w:proofErr w:type="spellStart"/>
            <w:r w:rsidRPr="00917635">
              <w:rPr>
                <w:rFonts w:ascii="Calibri" w:hAnsi="Calibri" w:cs="Calibri"/>
                <w:b/>
                <w:lang w:eastAsia="nl"/>
              </w:rPr>
              <w:t>Suikers</w:t>
            </w:r>
            <w:proofErr w:type="spellEnd"/>
            <w:r w:rsidRPr="00917635">
              <w:rPr>
                <w:rFonts w:ascii="Calibri" w:hAnsi="Calibri" w:cs="Calibri"/>
                <w:b/>
                <w:lang w:eastAsia="nl"/>
              </w:rPr>
              <w:t xml:space="preserve"> (g/100 g of 100 ml)</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CCAE54" w14:textId="77777777" w:rsidR="007A07F8" w:rsidRPr="009B21B5" w:rsidRDefault="007A07F8" w:rsidP="00AD727F">
            <w:pPr>
              <w:spacing w:after="0" w:line="264" w:lineRule="auto"/>
              <w:jc w:val="center"/>
              <w:rPr>
                <w:rFonts w:ascii="Calibri" w:hAnsi="Calibri" w:cs="Calibri"/>
                <w:b/>
                <w:lang w:val="nl-BE" w:eastAsia="fr-FR"/>
              </w:rPr>
            </w:pPr>
            <w:r w:rsidRPr="009B21B5">
              <w:rPr>
                <w:rFonts w:ascii="Calibri" w:hAnsi="Calibri" w:cs="Calibri"/>
                <w:b/>
                <w:lang w:val="nl-BE" w:eastAsia="nl"/>
              </w:rPr>
              <w:t>Fruit, groenten, peulvruchten, noten en koolzaad-, noten- en olijfolie (%)</w:t>
            </w:r>
          </w:p>
        </w:tc>
      </w:tr>
      <w:tr w:rsidR="007A07F8" w:rsidRPr="007A07F8" w14:paraId="155F5435"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BF4D044"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E6874A"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E0D96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≤0</w:t>
            </w:r>
          </w:p>
        </w:tc>
        <w:tc>
          <w:tcPr>
            <w:tcW w:w="2268" w:type="dxa"/>
            <w:tcBorders>
              <w:top w:val="single" w:sz="4" w:space="0" w:color="auto"/>
              <w:left w:val="single" w:sz="4" w:space="0" w:color="auto"/>
              <w:bottom w:val="single" w:sz="4" w:space="0" w:color="auto"/>
              <w:right w:val="single" w:sz="4" w:space="0" w:color="auto"/>
            </w:tcBorders>
            <w:hideMark/>
          </w:tcPr>
          <w:p w14:paraId="3C01351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≤40</w:t>
            </w:r>
          </w:p>
        </w:tc>
      </w:tr>
      <w:tr w:rsidR="007A07F8" w:rsidRPr="007A07F8" w14:paraId="64878BC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2E315A"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1</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27F0B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≤30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F4B2821"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14F2692"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28DD1AA9"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3F0B0C5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64446"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≤60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D5E7E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≤3</w:t>
            </w:r>
          </w:p>
        </w:tc>
        <w:tc>
          <w:tcPr>
            <w:tcW w:w="2268" w:type="dxa"/>
            <w:tcBorders>
              <w:top w:val="single" w:sz="4" w:space="0" w:color="auto"/>
              <w:left w:val="single" w:sz="4" w:space="0" w:color="auto"/>
              <w:bottom w:val="single" w:sz="4" w:space="0" w:color="auto"/>
              <w:right w:val="single" w:sz="4" w:space="0" w:color="auto"/>
            </w:tcBorders>
            <w:hideMark/>
          </w:tcPr>
          <w:p w14:paraId="622E64C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&gt;40</w:t>
            </w:r>
          </w:p>
        </w:tc>
      </w:tr>
      <w:tr w:rsidR="007A07F8" w:rsidRPr="007A07F8" w14:paraId="5492915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547C3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3</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52F2ED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≤90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E25B40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≤4,5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778E914"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7D99B2F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15DF623F"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C8CCF9"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C4E3C"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≤6</w:t>
            </w:r>
          </w:p>
        </w:tc>
        <w:tc>
          <w:tcPr>
            <w:tcW w:w="2268" w:type="dxa"/>
            <w:tcBorders>
              <w:top w:val="single" w:sz="4" w:space="0" w:color="auto"/>
              <w:left w:val="single" w:sz="4" w:space="0" w:color="auto"/>
              <w:bottom w:val="single" w:sz="4" w:space="0" w:color="auto"/>
              <w:right w:val="single" w:sz="4" w:space="0" w:color="auto"/>
            </w:tcBorders>
            <w:hideMark/>
          </w:tcPr>
          <w:p w14:paraId="1D025593"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&gt;60</w:t>
            </w:r>
          </w:p>
        </w:tc>
      </w:tr>
      <w:tr w:rsidR="007A07F8" w:rsidRPr="007A07F8" w14:paraId="28999FE5"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C733095"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1B7402"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A3E4D30"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≤7,5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532409D2"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6EB3AE9B"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2897EF88"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CCF7F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529EF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≤9</w:t>
            </w:r>
          </w:p>
        </w:tc>
        <w:tc>
          <w:tcPr>
            <w:tcW w:w="2268" w:type="dxa"/>
            <w:tcBorders>
              <w:top w:val="single" w:sz="4" w:space="0" w:color="auto"/>
              <w:left w:val="single" w:sz="4" w:space="0" w:color="auto"/>
              <w:bottom w:val="single" w:sz="4" w:space="0" w:color="auto"/>
              <w:right w:val="single" w:sz="4" w:space="0" w:color="auto"/>
            </w:tcBorders>
          </w:tcPr>
          <w:p w14:paraId="25A965D0"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00055264"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E3E6C89"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7</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D6CA44"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≤210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A1A6E57"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≤10,5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2307DF11"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0874B5BD"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vAlign w:val="center"/>
            <w:hideMark/>
          </w:tcPr>
          <w:p w14:paraId="6736772E"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870A09"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≤240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98D94D"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≤12</w:t>
            </w:r>
          </w:p>
        </w:tc>
        <w:tc>
          <w:tcPr>
            <w:tcW w:w="2268" w:type="dxa"/>
            <w:tcBorders>
              <w:top w:val="single" w:sz="4" w:space="0" w:color="auto"/>
              <w:left w:val="single" w:sz="4" w:space="0" w:color="auto"/>
              <w:bottom w:val="single" w:sz="4" w:space="0" w:color="auto"/>
              <w:right w:val="single" w:sz="4" w:space="0" w:color="auto"/>
            </w:tcBorders>
          </w:tcPr>
          <w:p w14:paraId="04D55D9B"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962EC9C" w14:textId="77777777" w:rsidTr="00522A12">
        <w:trPr>
          <w:trHeight w:val="284"/>
        </w:trPr>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6CD082"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9</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987AB38"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≤270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4C072B1"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≤13,5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35FCAC18" w14:textId="77777777" w:rsidR="007A07F8" w:rsidRPr="007A07F8" w:rsidRDefault="007A07F8" w:rsidP="00AD727F">
            <w:pPr>
              <w:spacing w:after="0" w:line="264" w:lineRule="auto"/>
              <w:jc w:val="center"/>
              <w:rPr>
                <w:rFonts w:ascii="Calibri" w:hAnsi="Calibri" w:cs="Calibri"/>
                <w:lang w:eastAsia="fr-FR"/>
              </w:rPr>
            </w:pPr>
          </w:p>
        </w:tc>
      </w:tr>
      <w:tr w:rsidR="007A07F8" w:rsidRPr="007A07F8" w14:paraId="3EF31ED4" w14:textId="77777777" w:rsidTr="004674A3">
        <w:trPr>
          <w:trHeight w:val="204"/>
        </w:trPr>
        <w:tc>
          <w:tcPr>
            <w:tcW w:w="2126" w:type="dxa"/>
            <w:tcBorders>
              <w:top w:val="single" w:sz="4" w:space="0" w:color="auto"/>
              <w:left w:val="single" w:sz="4" w:space="0" w:color="auto"/>
              <w:bottom w:val="single" w:sz="4" w:space="0" w:color="auto"/>
              <w:right w:val="single" w:sz="4" w:space="0" w:color="auto"/>
            </w:tcBorders>
            <w:vAlign w:val="center"/>
            <w:hideMark/>
          </w:tcPr>
          <w:p w14:paraId="231BF8FC" w14:textId="77777777" w:rsidR="007A07F8" w:rsidRPr="0098437F" w:rsidRDefault="007A07F8" w:rsidP="00AD727F">
            <w:pPr>
              <w:spacing w:after="0" w:line="264" w:lineRule="auto"/>
              <w:jc w:val="center"/>
              <w:rPr>
                <w:rFonts w:ascii="Calibri" w:hAnsi="Calibri" w:cs="Calibri"/>
                <w:b/>
                <w:lang w:eastAsia="fr-FR"/>
              </w:rPr>
            </w:pPr>
            <w:r w:rsidRPr="0098437F">
              <w:rPr>
                <w:rFonts w:ascii="Calibri" w:hAnsi="Calibri" w:cs="Calibri"/>
                <w:b/>
                <w:lang w:eastAsia="nl"/>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BACF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&gt;270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98771F"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&gt; 13,5</w:t>
            </w:r>
          </w:p>
        </w:tc>
        <w:tc>
          <w:tcPr>
            <w:tcW w:w="2268" w:type="dxa"/>
            <w:tcBorders>
              <w:top w:val="single" w:sz="4" w:space="0" w:color="auto"/>
              <w:left w:val="single" w:sz="4" w:space="0" w:color="auto"/>
              <w:bottom w:val="single" w:sz="4" w:space="0" w:color="auto"/>
              <w:right w:val="single" w:sz="4" w:space="0" w:color="auto"/>
            </w:tcBorders>
            <w:hideMark/>
          </w:tcPr>
          <w:p w14:paraId="1D1EBADB" w14:textId="77777777" w:rsidR="007A07F8" w:rsidRPr="007A07F8" w:rsidRDefault="007A07F8" w:rsidP="00AD727F">
            <w:pPr>
              <w:spacing w:after="0" w:line="264" w:lineRule="auto"/>
              <w:jc w:val="center"/>
              <w:rPr>
                <w:rFonts w:ascii="Calibri" w:hAnsi="Calibri" w:cs="Calibri"/>
                <w:lang w:eastAsia="fr-FR"/>
              </w:rPr>
            </w:pPr>
            <w:r w:rsidRPr="007A07F8">
              <w:rPr>
                <w:rFonts w:ascii="Calibri" w:hAnsi="Calibri" w:cs="Calibri"/>
                <w:lang w:eastAsia="nl"/>
              </w:rPr>
              <w:t>&gt;80</w:t>
            </w:r>
          </w:p>
        </w:tc>
      </w:tr>
    </w:tbl>
    <w:p w14:paraId="0FF2787F" w14:textId="77777777" w:rsidR="007A07F8" w:rsidRDefault="007A07F8" w:rsidP="00AD727F">
      <w:pPr>
        <w:spacing w:before="120" w:after="120" w:line="264" w:lineRule="auto"/>
        <w:jc w:val="both"/>
        <w:rPr>
          <w:rFonts w:ascii="Calibri" w:hAnsi="Calibri" w:cs="Calibri"/>
          <w:b/>
          <w:u w:val="single"/>
          <w:lang w:eastAsia="fr-FR"/>
        </w:rPr>
      </w:pPr>
    </w:p>
    <w:p w14:paraId="64054C91" w14:textId="77777777" w:rsidR="00AD727F" w:rsidRDefault="00AD727F" w:rsidP="00AD727F">
      <w:pPr>
        <w:spacing w:before="120" w:after="120" w:line="264" w:lineRule="auto"/>
        <w:jc w:val="both"/>
        <w:rPr>
          <w:rFonts w:ascii="Calibri" w:hAnsi="Calibri" w:cs="Calibri"/>
          <w:b/>
          <w:u w:val="single"/>
          <w:lang w:eastAsia="fr-FR"/>
        </w:rPr>
      </w:pPr>
    </w:p>
    <w:p w14:paraId="3A574BDD" w14:textId="77777777" w:rsidR="00AD727F" w:rsidRPr="007A07F8" w:rsidRDefault="00AD727F" w:rsidP="00AD727F">
      <w:pPr>
        <w:spacing w:before="120" w:after="120" w:line="264" w:lineRule="auto"/>
        <w:jc w:val="both"/>
        <w:rPr>
          <w:rFonts w:ascii="Calibri" w:hAnsi="Calibri" w:cs="Calibri"/>
          <w:b/>
          <w:u w:val="single"/>
          <w:lang w:eastAsia="fr-FR"/>
        </w:rPr>
      </w:pPr>
    </w:p>
    <w:p w14:paraId="42063A6C" w14:textId="77777777" w:rsidR="007A07F8" w:rsidRDefault="007A07F8" w:rsidP="00AD727F">
      <w:pPr>
        <w:pStyle w:val="Paragraphedeliste"/>
        <w:numPr>
          <w:ilvl w:val="0"/>
          <w:numId w:val="53"/>
        </w:numPr>
        <w:spacing w:before="120" w:after="120" w:line="264" w:lineRule="auto"/>
        <w:contextualSpacing w:val="0"/>
        <w:rPr>
          <w:b/>
          <w:u w:val="single"/>
        </w:rPr>
      </w:pPr>
      <w:bookmarkStart w:id="85" w:name="_Toc489544838"/>
      <w:proofErr w:type="spellStart"/>
      <w:r w:rsidRPr="00411BF4">
        <w:rPr>
          <w:b/>
          <w:u w:val="single"/>
        </w:rPr>
        <w:t>Toekenning</w:t>
      </w:r>
      <w:proofErr w:type="spellEnd"/>
      <w:r w:rsidRPr="00411BF4">
        <w:rPr>
          <w:b/>
          <w:u w:val="single"/>
        </w:rPr>
        <w:t xml:space="preserve"> van de </w:t>
      </w:r>
      <w:proofErr w:type="spellStart"/>
      <w:r w:rsidRPr="00411BF4">
        <w:rPr>
          <w:b/>
          <w:u w:val="single"/>
        </w:rPr>
        <w:t>kleuren</w:t>
      </w:r>
      <w:bookmarkEnd w:id="85"/>
      <w:proofErr w:type="spellEnd"/>
    </w:p>
    <w:p w14:paraId="03FC129C" w14:textId="77777777" w:rsidR="001E0A52" w:rsidRPr="009B21B5" w:rsidRDefault="001E0A52" w:rsidP="00AD727F">
      <w:pPr>
        <w:spacing w:before="120" w:after="120" w:line="264" w:lineRule="auto"/>
        <w:rPr>
          <w:lang w:val="nl-BE"/>
        </w:rPr>
      </w:pPr>
      <w:r w:rsidRPr="009B21B5">
        <w:rPr>
          <w:lang w:val="nl-BE"/>
        </w:rPr>
        <w:t xml:space="preserve">Vervolgens wordt het </w:t>
      </w:r>
      <w:proofErr w:type="spellStart"/>
      <w:r w:rsidRPr="009B21B5">
        <w:rPr>
          <w:lang w:val="nl-BE"/>
        </w:rPr>
        <w:t>Nutri</w:t>
      </w:r>
      <w:proofErr w:type="spellEnd"/>
      <w:r w:rsidRPr="009B21B5">
        <w:rPr>
          <w:lang w:val="nl-BE"/>
        </w:rPr>
        <w:t>-Score-logo toegekend op basis van de behaalde score (</w:t>
      </w:r>
      <w:proofErr w:type="spellStart"/>
      <w:r w:rsidRPr="009B21B5">
        <w:rPr>
          <w:lang w:val="nl-BE"/>
        </w:rPr>
        <w:t>cfr</w:t>
      </w:r>
      <w:proofErr w:type="spellEnd"/>
      <w:r w:rsidRPr="009B21B5">
        <w:rPr>
          <w:lang w:val="nl-BE"/>
        </w:rPr>
        <w:t>.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707"/>
        <w:gridCol w:w="3102"/>
      </w:tblGrid>
      <w:tr w:rsidR="00661B78" w:rsidRPr="00685E1F" w14:paraId="1F3A3410" w14:textId="77777777" w:rsidTr="00014B7C">
        <w:tc>
          <w:tcPr>
            <w:tcW w:w="618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862A82F" w14:textId="77777777" w:rsidR="00661B78" w:rsidRPr="00411BF4" w:rsidRDefault="00661B78" w:rsidP="00AD727F">
            <w:pPr>
              <w:spacing w:after="0" w:line="264" w:lineRule="auto"/>
              <w:jc w:val="center"/>
              <w:rPr>
                <w:b/>
              </w:rPr>
            </w:pPr>
            <w:proofErr w:type="spellStart"/>
            <w:r w:rsidRPr="00411BF4">
              <w:rPr>
                <w:b/>
              </w:rPr>
              <w:t>Punten</w:t>
            </w:r>
            <w:proofErr w:type="spellEnd"/>
          </w:p>
        </w:tc>
        <w:tc>
          <w:tcPr>
            <w:tcW w:w="3102" w:type="dxa"/>
            <w:vMerge w:val="restart"/>
            <w:tcBorders>
              <w:top w:val="single" w:sz="4" w:space="0" w:color="auto"/>
              <w:left w:val="single" w:sz="4" w:space="0" w:color="auto"/>
              <w:right w:val="single" w:sz="4" w:space="0" w:color="auto"/>
            </w:tcBorders>
            <w:shd w:val="clear" w:color="auto" w:fill="EEECE1"/>
            <w:vAlign w:val="center"/>
          </w:tcPr>
          <w:p w14:paraId="7BDB1825" w14:textId="77777777" w:rsidR="00661B78" w:rsidRPr="00411BF4" w:rsidRDefault="00661B78" w:rsidP="00AD727F">
            <w:pPr>
              <w:spacing w:after="0" w:line="264" w:lineRule="auto"/>
              <w:jc w:val="center"/>
              <w:rPr>
                <w:b/>
              </w:rPr>
            </w:pPr>
            <w:r w:rsidRPr="00411BF4">
              <w:rPr>
                <w:b/>
              </w:rPr>
              <w:t>Logo</w:t>
            </w:r>
          </w:p>
        </w:tc>
      </w:tr>
      <w:tr w:rsidR="00661B78" w:rsidRPr="00685E1F" w14:paraId="6FDA3EEE" w14:textId="77777777" w:rsidTr="00014B7C">
        <w:tc>
          <w:tcPr>
            <w:tcW w:w="247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6EBFD97" w14:textId="77777777" w:rsidR="00661B78" w:rsidRPr="00411BF4" w:rsidRDefault="00661B78" w:rsidP="00AD727F">
            <w:pPr>
              <w:spacing w:after="0" w:line="264" w:lineRule="auto"/>
              <w:jc w:val="center"/>
              <w:rPr>
                <w:b/>
              </w:rPr>
            </w:pPr>
            <w:r w:rsidRPr="00411BF4">
              <w:rPr>
                <w:b/>
              </w:rPr>
              <w:t>Vaste voedingsmiddelen</w:t>
            </w:r>
          </w:p>
        </w:tc>
        <w:tc>
          <w:tcPr>
            <w:tcW w:w="370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66C5109" w14:textId="77777777" w:rsidR="00661B78" w:rsidRPr="00411BF4" w:rsidRDefault="00661B78" w:rsidP="00AD727F">
            <w:pPr>
              <w:spacing w:after="0" w:line="264" w:lineRule="auto"/>
              <w:jc w:val="center"/>
              <w:rPr>
                <w:b/>
              </w:rPr>
            </w:pPr>
            <w:r w:rsidRPr="00411BF4">
              <w:rPr>
                <w:b/>
              </w:rPr>
              <w:t>Dranken</w:t>
            </w:r>
          </w:p>
        </w:tc>
        <w:tc>
          <w:tcPr>
            <w:tcW w:w="3102" w:type="dxa"/>
            <w:vMerge/>
            <w:tcBorders>
              <w:left w:val="single" w:sz="4" w:space="0" w:color="auto"/>
              <w:bottom w:val="single" w:sz="4" w:space="0" w:color="auto"/>
              <w:right w:val="single" w:sz="4" w:space="0" w:color="auto"/>
            </w:tcBorders>
            <w:shd w:val="clear" w:color="auto" w:fill="EEECE1"/>
            <w:vAlign w:val="center"/>
            <w:hideMark/>
          </w:tcPr>
          <w:p w14:paraId="346DB58A" w14:textId="77777777" w:rsidR="00661B78" w:rsidRPr="00411BF4" w:rsidRDefault="00661B78" w:rsidP="00AD727F">
            <w:pPr>
              <w:spacing w:after="0" w:line="264" w:lineRule="auto"/>
              <w:rPr>
                <w:b/>
              </w:rPr>
            </w:pPr>
          </w:p>
        </w:tc>
      </w:tr>
      <w:tr w:rsidR="001E0A52" w:rsidRPr="00685E1F" w14:paraId="4055558A"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D1B76" w14:textId="77777777" w:rsidR="00661B78" w:rsidRPr="00685E1F" w:rsidRDefault="00661B78" w:rsidP="00AD727F">
            <w:pPr>
              <w:spacing w:after="0" w:line="264" w:lineRule="auto"/>
              <w:jc w:val="center"/>
            </w:pPr>
            <w:r w:rsidRPr="00685E1F">
              <w:t>Min tot -1</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34007" w14:textId="77777777" w:rsidR="00661B78" w:rsidRPr="00685E1F" w:rsidRDefault="00661B78" w:rsidP="005F4EDC">
            <w:pPr>
              <w:spacing w:after="0" w:line="264" w:lineRule="auto"/>
              <w:jc w:val="center"/>
            </w:pPr>
            <w:r w:rsidRPr="00685E1F">
              <w:t>Water</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C354B" w14:textId="77777777" w:rsidR="00661B78" w:rsidRPr="00685E1F" w:rsidRDefault="001E0A52" w:rsidP="00AD727F">
            <w:pPr>
              <w:spacing w:after="0" w:line="264" w:lineRule="auto"/>
            </w:pPr>
            <w:r>
              <w:t xml:space="preserve">      </w:t>
            </w:r>
            <w:r w:rsidRPr="001E0A52">
              <w:rPr>
                <w:noProof/>
                <w:lang w:eastAsia="nl"/>
              </w:rPr>
              <w:drawing>
                <wp:inline distT="0" distB="0" distL="0" distR="0" wp14:anchorId="4F435468" wp14:editId="650A0BF8">
                  <wp:extent cx="1338118" cy="540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8118" cy="540000"/>
                          </a:xfrm>
                          <a:prstGeom prst="rect">
                            <a:avLst/>
                          </a:prstGeom>
                          <a:noFill/>
                          <a:ln>
                            <a:noFill/>
                          </a:ln>
                        </pic:spPr>
                      </pic:pic>
                    </a:graphicData>
                  </a:graphic>
                </wp:inline>
              </w:drawing>
            </w:r>
          </w:p>
        </w:tc>
      </w:tr>
      <w:tr w:rsidR="001E0A52" w:rsidRPr="00685E1F" w14:paraId="38D5781D"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F5A10" w14:textId="77777777" w:rsidR="00661B78" w:rsidRPr="00685E1F" w:rsidRDefault="00661B78" w:rsidP="00AD727F">
            <w:pPr>
              <w:spacing w:after="0" w:line="264" w:lineRule="auto"/>
              <w:jc w:val="center"/>
            </w:pPr>
            <w:r w:rsidRPr="00685E1F">
              <w:t>0 tot 2</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EE3DD" w14:textId="77777777" w:rsidR="00661B78" w:rsidRPr="00685E1F" w:rsidRDefault="00661B78" w:rsidP="00AD727F">
            <w:pPr>
              <w:spacing w:after="0" w:line="264" w:lineRule="auto"/>
              <w:jc w:val="center"/>
            </w:pPr>
            <w:r w:rsidRPr="00685E1F">
              <w:t>Min tot 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87D22" w14:textId="77777777" w:rsidR="00661B78" w:rsidRPr="00685E1F" w:rsidRDefault="001E0A52" w:rsidP="00AD727F">
            <w:pPr>
              <w:spacing w:after="0" w:line="264" w:lineRule="auto"/>
            </w:pPr>
            <w:r>
              <w:t xml:space="preserve">           </w:t>
            </w:r>
            <w:r w:rsidRPr="001E0A52">
              <w:rPr>
                <w:noProof/>
                <w:lang w:eastAsia="nl"/>
              </w:rPr>
              <w:drawing>
                <wp:inline distT="0" distB="0" distL="0" distR="0" wp14:anchorId="4D7A2267" wp14:editId="6186A62D">
                  <wp:extent cx="1173026" cy="540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25"/>
                          <a:stretch/>
                        </pic:blipFill>
                        <pic:spPr bwMode="auto">
                          <a:xfrm>
                            <a:off x="0" y="0"/>
                            <a:ext cx="1173026" cy="540000"/>
                          </a:xfrm>
                          <a:prstGeom prst="rect">
                            <a:avLst/>
                          </a:prstGeom>
                          <a:noFill/>
                          <a:ln>
                            <a:noFill/>
                          </a:ln>
                        </pic:spPr>
                      </pic:pic>
                    </a:graphicData>
                  </a:graphic>
                </wp:inline>
              </w:drawing>
            </w:r>
          </w:p>
        </w:tc>
      </w:tr>
      <w:tr w:rsidR="001E0A52" w:rsidRPr="00685E1F" w14:paraId="76A58555"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DC6A0" w14:textId="77777777" w:rsidR="00661B78" w:rsidRPr="00685E1F" w:rsidRDefault="00661B78" w:rsidP="00AD727F">
            <w:pPr>
              <w:spacing w:after="0" w:line="264" w:lineRule="auto"/>
              <w:jc w:val="center"/>
            </w:pPr>
            <w:r w:rsidRPr="00685E1F">
              <w:t>3 tot 10</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9DD03" w14:textId="77777777" w:rsidR="00661B78" w:rsidRPr="00685E1F" w:rsidRDefault="00661B78" w:rsidP="00AD727F">
            <w:pPr>
              <w:spacing w:after="0" w:line="264" w:lineRule="auto"/>
              <w:jc w:val="center"/>
            </w:pPr>
            <w:r w:rsidRPr="00685E1F">
              <w:t>2 tot 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A3B6" w14:textId="77777777" w:rsidR="00661B78" w:rsidRPr="00685E1F" w:rsidRDefault="001E0A52" w:rsidP="00AD727F">
            <w:pPr>
              <w:spacing w:after="0" w:line="264" w:lineRule="auto"/>
            </w:pPr>
            <w:r>
              <w:t xml:space="preserve">            </w:t>
            </w:r>
            <w:r w:rsidRPr="001E0A52">
              <w:rPr>
                <w:noProof/>
                <w:lang w:eastAsia="nl"/>
              </w:rPr>
              <w:drawing>
                <wp:inline distT="0" distB="0" distL="0" distR="0" wp14:anchorId="05A2079C" wp14:editId="340A976E">
                  <wp:extent cx="1130340" cy="5400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l="16219"/>
                          <a:stretch/>
                        </pic:blipFill>
                        <pic:spPr bwMode="auto">
                          <a:xfrm>
                            <a:off x="0" y="0"/>
                            <a:ext cx="1130340" cy="540000"/>
                          </a:xfrm>
                          <a:prstGeom prst="rect">
                            <a:avLst/>
                          </a:prstGeom>
                          <a:noFill/>
                          <a:ln>
                            <a:noFill/>
                          </a:ln>
                        </pic:spPr>
                      </pic:pic>
                    </a:graphicData>
                  </a:graphic>
                </wp:inline>
              </w:drawing>
            </w:r>
          </w:p>
        </w:tc>
      </w:tr>
      <w:tr w:rsidR="001E0A52" w:rsidRPr="00685E1F" w14:paraId="5034AB6C" w14:textId="77777777" w:rsidTr="00661B78">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916C6" w14:textId="77777777" w:rsidR="00661B78" w:rsidRPr="00685E1F" w:rsidRDefault="00661B78" w:rsidP="00AD727F">
            <w:pPr>
              <w:spacing w:after="0" w:line="264" w:lineRule="auto"/>
              <w:jc w:val="center"/>
            </w:pPr>
            <w:r w:rsidRPr="00685E1F">
              <w:t>11 tot 18</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B7E5F" w14:textId="77777777" w:rsidR="00661B78" w:rsidRPr="00685E1F" w:rsidRDefault="00661B78" w:rsidP="00AD727F">
            <w:pPr>
              <w:spacing w:after="0" w:line="264" w:lineRule="auto"/>
              <w:jc w:val="center"/>
            </w:pPr>
            <w:r w:rsidRPr="00685E1F">
              <w:t>6 tot 9</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F78D" w14:textId="77777777" w:rsidR="00661B78" w:rsidRPr="00685E1F" w:rsidRDefault="001E0A52" w:rsidP="00AD727F">
            <w:pPr>
              <w:spacing w:after="0" w:line="264" w:lineRule="auto"/>
            </w:pPr>
            <w:r>
              <w:t xml:space="preserve">          </w:t>
            </w:r>
            <w:r w:rsidRPr="001E0A52">
              <w:rPr>
                <w:noProof/>
                <w:lang w:eastAsia="nl"/>
              </w:rPr>
              <w:drawing>
                <wp:inline distT="0" distB="0" distL="0" distR="0" wp14:anchorId="156033CD" wp14:editId="26AFF4F9">
                  <wp:extent cx="1134001" cy="540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l="12872" r="9350" b="21345"/>
                          <a:stretch/>
                        </pic:blipFill>
                        <pic:spPr bwMode="auto">
                          <a:xfrm>
                            <a:off x="0" y="0"/>
                            <a:ext cx="1134001" cy="540000"/>
                          </a:xfrm>
                          <a:prstGeom prst="rect">
                            <a:avLst/>
                          </a:prstGeom>
                          <a:noFill/>
                          <a:ln>
                            <a:noFill/>
                          </a:ln>
                        </pic:spPr>
                      </pic:pic>
                    </a:graphicData>
                  </a:graphic>
                </wp:inline>
              </w:drawing>
            </w:r>
          </w:p>
        </w:tc>
      </w:tr>
      <w:tr w:rsidR="001E0A52" w:rsidRPr="00685E1F" w14:paraId="6D65EB5C" w14:textId="77777777" w:rsidTr="0098437F">
        <w:trPr>
          <w:trHeight w:val="904"/>
        </w:trPr>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127DA" w14:textId="77777777" w:rsidR="00661B78" w:rsidRPr="00685E1F" w:rsidRDefault="00661B78" w:rsidP="00AD727F">
            <w:pPr>
              <w:spacing w:after="0" w:line="264" w:lineRule="auto"/>
              <w:jc w:val="center"/>
            </w:pPr>
            <w:r w:rsidRPr="00685E1F">
              <w:t>19 tot Max</w:t>
            </w: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292F7" w14:textId="77777777" w:rsidR="00661B78" w:rsidRPr="00685E1F" w:rsidRDefault="00661B78" w:rsidP="00AD727F">
            <w:pPr>
              <w:spacing w:after="0" w:line="264" w:lineRule="auto"/>
              <w:jc w:val="center"/>
            </w:pPr>
            <w:r w:rsidRPr="00685E1F">
              <w:t>10 tot Max</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CD1F" w14:textId="77777777" w:rsidR="00661B78" w:rsidRPr="00685E1F" w:rsidRDefault="001E0A52" w:rsidP="00AD727F">
            <w:pPr>
              <w:spacing w:after="0" w:line="264" w:lineRule="auto"/>
            </w:pPr>
            <w:r>
              <w:t xml:space="preserve">          </w:t>
            </w:r>
            <w:r w:rsidRPr="001E0A52">
              <w:rPr>
                <w:noProof/>
                <w:lang w:eastAsia="nl"/>
              </w:rPr>
              <w:drawing>
                <wp:inline distT="0" distB="0" distL="0" distR="0" wp14:anchorId="4755C275" wp14:editId="4011DFB7">
                  <wp:extent cx="1089815" cy="540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rotWithShape="1">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l="11414" r="11810"/>
                          <a:stretch/>
                        </pic:blipFill>
                        <pic:spPr bwMode="auto">
                          <a:xfrm>
                            <a:off x="0" y="0"/>
                            <a:ext cx="1089815" cy="540000"/>
                          </a:xfrm>
                          <a:prstGeom prst="rect">
                            <a:avLst/>
                          </a:prstGeom>
                          <a:noFill/>
                          <a:ln>
                            <a:noFill/>
                          </a:ln>
                        </pic:spPr>
                      </pic:pic>
                    </a:graphicData>
                  </a:graphic>
                </wp:inline>
              </w:drawing>
            </w:r>
          </w:p>
        </w:tc>
      </w:tr>
    </w:tbl>
    <w:p w14:paraId="7A032519" w14:textId="77777777" w:rsidR="00661B78" w:rsidRPr="00661B78" w:rsidRDefault="00661B78" w:rsidP="00AD727F">
      <w:pPr>
        <w:spacing w:before="120" w:after="120" w:line="264" w:lineRule="auto"/>
      </w:pPr>
    </w:p>
    <w:p w14:paraId="65B339E0" w14:textId="77777777" w:rsidR="007A07F8" w:rsidRPr="007A07F8" w:rsidRDefault="007A07F8" w:rsidP="00AD727F">
      <w:pPr>
        <w:spacing w:before="120" w:after="120" w:line="264" w:lineRule="auto"/>
        <w:rPr>
          <w:rFonts w:ascii="Calibri" w:hAnsi="Calibri" w:cs="Calibri"/>
          <w:lang w:eastAsia="fr-FR"/>
        </w:rPr>
      </w:pPr>
    </w:p>
    <w:p w14:paraId="27C021B7" w14:textId="77777777" w:rsidR="007A07F8" w:rsidRPr="007A07F8" w:rsidRDefault="007A07F8" w:rsidP="00AD727F">
      <w:pPr>
        <w:spacing w:before="120" w:after="120" w:line="264" w:lineRule="auto"/>
        <w:rPr>
          <w:rFonts w:ascii="Calibri" w:hAnsi="Calibri" w:cs="Calibri"/>
          <w:lang w:eastAsia="fr-FR"/>
        </w:rPr>
      </w:pPr>
    </w:p>
    <w:p w14:paraId="10DA2D12" w14:textId="77777777" w:rsidR="007A07F8" w:rsidRPr="004C4B3D" w:rsidRDefault="007A07F8" w:rsidP="00AD727F">
      <w:pPr>
        <w:spacing w:before="120" w:after="120" w:line="264" w:lineRule="auto"/>
        <w:rPr>
          <w:rFonts w:cstheme="minorHAnsi"/>
        </w:rPr>
      </w:pPr>
    </w:p>
    <w:sectPr w:rsidR="007A07F8" w:rsidRPr="004C4B3D" w:rsidSect="003F2C1E">
      <w:headerReference w:type="default" r:id="rId30"/>
      <w:footerReference w:type="default" r:id="rId31"/>
      <w:pgSz w:w="11906" w:h="16838"/>
      <w:pgMar w:top="1134"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C5D1" w14:textId="77777777" w:rsidR="009F1EEE" w:rsidRDefault="009F1EEE" w:rsidP="00A92055">
      <w:pPr>
        <w:spacing w:after="0" w:line="240" w:lineRule="auto"/>
      </w:pPr>
      <w:r>
        <w:separator/>
      </w:r>
    </w:p>
  </w:endnote>
  <w:endnote w:type="continuationSeparator" w:id="0">
    <w:p w14:paraId="6F709385" w14:textId="77777777" w:rsidR="009F1EEE" w:rsidRDefault="009F1EEE" w:rsidP="00A9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47441"/>
      <w:docPartObj>
        <w:docPartGallery w:val="Page Numbers (Bottom of Page)"/>
        <w:docPartUnique/>
      </w:docPartObj>
    </w:sdtPr>
    <w:sdtEndPr/>
    <w:sdtContent>
      <w:p w14:paraId="307A6BF5" w14:textId="18D40333" w:rsidR="008D3AEF" w:rsidRDefault="008D3AEF">
        <w:pPr>
          <w:pStyle w:val="Pieddepage"/>
          <w:jc w:val="right"/>
        </w:pPr>
        <w:r>
          <w:fldChar w:fldCharType="begin"/>
        </w:r>
        <w:r>
          <w:instrText>PAGE   \* MERGEFORMAT</w:instrText>
        </w:r>
        <w:r>
          <w:fldChar w:fldCharType="separate"/>
        </w:r>
        <w:r w:rsidR="00787653">
          <w:rPr>
            <w:noProof/>
          </w:rPr>
          <w:t>20</w:t>
        </w:r>
        <w:r>
          <w:fldChar w:fldCharType="end"/>
        </w:r>
      </w:p>
    </w:sdtContent>
  </w:sdt>
  <w:p w14:paraId="638C65CD" w14:textId="77777777" w:rsidR="008D3AEF" w:rsidRDefault="008D3A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A655" w14:textId="77777777" w:rsidR="009F1EEE" w:rsidRDefault="009F1EEE" w:rsidP="00A92055">
      <w:pPr>
        <w:spacing w:after="0" w:line="240" w:lineRule="auto"/>
      </w:pPr>
      <w:r>
        <w:separator/>
      </w:r>
    </w:p>
  </w:footnote>
  <w:footnote w:type="continuationSeparator" w:id="0">
    <w:p w14:paraId="267C810E" w14:textId="77777777" w:rsidR="009F1EEE" w:rsidRDefault="009F1EEE" w:rsidP="00A92055">
      <w:pPr>
        <w:spacing w:after="0" w:line="240" w:lineRule="auto"/>
      </w:pPr>
      <w:r>
        <w:continuationSeparator/>
      </w:r>
    </w:p>
  </w:footnote>
  <w:footnote w:id="1">
    <w:p w14:paraId="120D49AB" w14:textId="57D7133C" w:rsidR="008D3AEF" w:rsidRPr="00D54006" w:rsidRDefault="008D3AEF" w:rsidP="004765F2">
      <w:pPr>
        <w:pStyle w:val="Pieddepage"/>
        <w:rPr>
          <w:sz w:val="20"/>
          <w:lang w:val="en-US"/>
        </w:rPr>
      </w:pPr>
      <w:r w:rsidRPr="00D54006">
        <w:rPr>
          <w:rStyle w:val="Appelnotedebasdep"/>
        </w:rPr>
        <w:footnoteRef/>
      </w:r>
      <w:r w:rsidRPr="00D54006">
        <w:rPr>
          <w:lang w:val="en-US"/>
        </w:rPr>
        <w:t xml:space="preserve"> </w:t>
      </w:r>
      <w:r w:rsidRPr="00D54006">
        <w:rPr>
          <w:sz w:val="20"/>
          <w:lang w:val="en-US"/>
        </w:rPr>
        <w:t>Guidance document for competent authorities for the control of compliance with EU legislation with regard to methods of analysis for determination of the fibre content declared on a label</w:t>
      </w:r>
    </w:p>
    <w:p w14:paraId="22CFE184" w14:textId="77777777" w:rsidR="008D3AEF" w:rsidRPr="00D54006" w:rsidRDefault="008D3AEF" w:rsidP="004765F2">
      <w:pPr>
        <w:pStyle w:val="Notedebasdepage"/>
        <w:rPr>
          <w:lang w:val="en-US"/>
        </w:rPr>
      </w:pPr>
    </w:p>
  </w:footnote>
  <w:footnote w:id="2">
    <w:p w14:paraId="3B49C6FE" w14:textId="1EE044F9" w:rsidR="008D3AEF" w:rsidRPr="008E2CB4" w:rsidRDefault="008D3AEF" w:rsidP="004765F2">
      <w:pPr>
        <w:pStyle w:val="Notedebasdepage"/>
        <w:rPr>
          <w:lang w:val="en-US"/>
        </w:rPr>
      </w:pPr>
      <w:r w:rsidRPr="00D54006">
        <w:rPr>
          <w:rStyle w:val="Appelnotedebasdep"/>
        </w:rPr>
        <w:footnoteRef/>
      </w:r>
      <w:r w:rsidRPr="00D54006">
        <w:rPr>
          <w:lang w:val="en-US"/>
        </w:rPr>
        <w:t xml:space="preserve"> Guidance document for competent authorities for the control of compliance with EU legislation with regard to the setting of tolerances for nutrient values declared on a label</w:t>
      </w:r>
    </w:p>
  </w:footnote>
  <w:footnote w:id="3">
    <w:p w14:paraId="14622FA7" w14:textId="77777777" w:rsidR="008D3AEF" w:rsidRPr="009B21B5" w:rsidRDefault="008D3AEF" w:rsidP="003740AF">
      <w:pPr>
        <w:pStyle w:val="Notedebasdepage"/>
        <w:rPr>
          <w:lang w:val="nl-BE"/>
        </w:rPr>
      </w:pPr>
      <w:r w:rsidRPr="00DC7BBC">
        <w:rPr>
          <w:rStyle w:val="Appelnotedebasdep"/>
        </w:rPr>
        <w:footnoteRef/>
      </w:r>
      <w:r w:rsidRPr="009B21B5">
        <w:rPr>
          <w:lang w:val="nl-BE"/>
        </w:rPr>
        <w:t xml:space="preserve"> beschikbaar op </w:t>
      </w:r>
      <w:r w:rsidRPr="009B21B5">
        <w:rPr>
          <w:rStyle w:val="Lienhypertexte"/>
          <w:lang w:val="nl-BE"/>
        </w:rPr>
        <w:t>https://www.researchgate.net/publication/267194254_Application_of_the_Nutrient_profiling_model_Definition_of_'fruit_vegetables_and_nuts'_and_guidance_on_quantifying_the_fruit_vegetable_and_nut_content_of_a_processed_product</w:t>
      </w:r>
    </w:p>
  </w:footnote>
  <w:footnote w:id="4">
    <w:p w14:paraId="15CACA99" w14:textId="77777777" w:rsidR="008D3AEF" w:rsidRDefault="008D3AEF" w:rsidP="007A07F8">
      <w:pPr>
        <w:pStyle w:val="Notedebasdepage"/>
        <w:rPr>
          <w:lang w:val="en-US"/>
        </w:rPr>
      </w:pPr>
      <w:r w:rsidRPr="00DC7BBC">
        <w:rPr>
          <w:rStyle w:val="Appelnotedebasdep"/>
        </w:rPr>
        <w:footnoteRef/>
      </w:r>
      <w:r>
        <w:rPr>
          <w:lang w:val="en-US"/>
        </w:rPr>
        <w:t xml:space="preserve"> Zie in het bijzonder: EU framework for national initiatives on selected nutrients (Salt, energy and saturated fatty acids, added sugars (2008, 2011, 2015)</w:t>
      </w:r>
    </w:p>
  </w:footnote>
  <w:footnote w:id="5">
    <w:p w14:paraId="1FCB1A83" w14:textId="77777777" w:rsidR="008D3AEF" w:rsidRDefault="008D3AEF" w:rsidP="007A07F8">
      <w:pPr>
        <w:pStyle w:val="Notedebasdepage"/>
        <w:rPr>
          <w:lang w:val="en-US"/>
        </w:rPr>
      </w:pPr>
      <w:r w:rsidRPr="00DC7BBC">
        <w:rPr>
          <w:rStyle w:val="Appelnotedebasdep"/>
        </w:rPr>
        <w:footnoteRef/>
      </w:r>
      <w:r>
        <w:rPr>
          <w:lang w:val="en-US"/>
        </w:rPr>
        <w:t xml:space="preserve"> EU framework for national initiatives on selected nutrients saturated fatty acids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67A0" w14:textId="77777777" w:rsidR="008D3AEF" w:rsidRPr="00BC010D" w:rsidRDefault="008D3AEF" w:rsidP="003F1EEB">
    <w:pPr>
      <w:pStyle w:val="En-tte"/>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237"/>
    <w:multiLevelType w:val="hybridMultilevel"/>
    <w:tmpl w:val="3610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1B82"/>
    <w:multiLevelType w:val="hybridMultilevel"/>
    <w:tmpl w:val="1034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F063D"/>
    <w:multiLevelType w:val="hybridMultilevel"/>
    <w:tmpl w:val="10E2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E1C3F"/>
    <w:multiLevelType w:val="hybridMultilevel"/>
    <w:tmpl w:val="A5843680"/>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59EF"/>
    <w:multiLevelType w:val="hybridMultilevel"/>
    <w:tmpl w:val="EE84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E035A"/>
    <w:multiLevelType w:val="multilevel"/>
    <w:tmpl w:val="A876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E5233"/>
    <w:multiLevelType w:val="hybridMultilevel"/>
    <w:tmpl w:val="E1A88882"/>
    <w:lvl w:ilvl="0" w:tplc="7120759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631EA"/>
    <w:multiLevelType w:val="hybridMultilevel"/>
    <w:tmpl w:val="28663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E57DA4"/>
    <w:multiLevelType w:val="hybridMultilevel"/>
    <w:tmpl w:val="C1405D76"/>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9" w15:restartNumberingAfterBreak="0">
    <w:nsid w:val="150179A9"/>
    <w:multiLevelType w:val="hybridMultilevel"/>
    <w:tmpl w:val="2C00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65AA1"/>
    <w:multiLevelType w:val="hybridMultilevel"/>
    <w:tmpl w:val="FB58FAC8"/>
    <w:lvl w:ilvl="0" w:tplc="E846817C">
      <w:numFmt w:val="bullet"/>
      <w:lvlText w:val="-"/>
      <w:lvlJc w:val="left"/>
      <w:pPr>
        <w:ind w:left="720" w:hanging="360"/>
      </w:pPr>
      <w:rPr>
        <w:rFonts w:ascii="Calibri" w:eastAsiaTheme="minorHAnsi" w:hAnsi="Calibri" w:cstheme="minorHAnsi" w:hint="default"/>
        <w:b/>
        <w:i/>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2C6FFA"/>
    <w:multiLevelType w:val="hybridMultilevel"/>
    <w:tmpl w:val="7E7CF84A"/>
    <w:lvl w:ilvl="0" w:tplc="0CDEEDEE">
      <w:start w:val="3"/>
      <w:numFmt w:val="bullet"/>
      <w:lvlText w:val="-"/>
      <w:lvlJc w:val="left"/>
      <w:pPr>
        <w:ind w:left="720" w:hanging="360"/>
      </w:pPr>
      <w:rPr>
        <w:rFonts w:ascii="Calibri" w:eastAsiaTheme="minorHAnsi" w:hAnsi="Calibri"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93E89"/>
    <w:multiLevelType w:val="hybridMultilevel"/>
    <w:tmpl w:val="77B25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ED974C1"/>
    <w:multiLevelType w:val="hybridMultilevel"/>
    <w:tmpl w:val="D2E40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5870"/>
    <w:multiLevelType w:val="hybridMultilevel"/>
    <w:tmpl w:val="A3F43C5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9560E"/>
    <w:multiLevelType w:val="hybridMultilevel"/>
    <w:tmpl w:val="19A88D78"/>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2767BC"/>
    <w:multiLevelType w:val="hybridMultilevel"/>
    <w:tmpl w:val="DFC8B246"/>
    <w:lvl w:ilvl="0" w:tplc="013A7B5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5E3007"/>
    <w:multiLevelType w:val="hybridMultilevel"/>
    <w:tmpl w:val="7002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6F55EA"/>
    <w:multiLevelType w:val="hybridMultilevel"/>
    <w:tmpl w:val="D48A5486"/>
    <w:lvl w:ilvl="0" w:tplc="33468D78">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A97F95"/>
    <w:multiLevelType w:val="hybridMultilevel"/>
    <w:tmpl w:val="0EBA4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C94625"/>
    <w:multiLevelType w:val="hybridMultilevel"/>
    <w:tmpl w:val="BD1C6BF8"/>
    <w:lvl w:ilvl="0" w:tplc="F9828E6E">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42602197"/>
    <w:multiLevelType w:val="hybridMultilevel"/>
    <w:tmpl w:val="56B48D3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40253F5"/>
    <w:multiLevelType w:val="hybridMultilevel"/>
    <w:tmpl w:val="71265DA6"/>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B28B1"/>
    <w:multiLevelType w:val="hybridMultilevel"/>
    <w:tmpl w:val="22DA7A00"/>
    <w:lvl w:ilvl="0" w:tplc="D496189E">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C936D0"/>
    <w:multiLevelType w:val="hybridMultilevel"/>
    <w:tmpl w:val="019635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8650717"/>
    <w:multiLevelType w:val="hybridMultilevel"/>
    <w:tmpl w:val="5E9CE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DA2A70"/>
    <w:multiLevelType w:val="hybridMultilevel"/>
    <w:tmpl w:val="56185DBE"/>
    <w:lvl w:ilvl="0" w:tplc="99F247FA">
      <w:start w:val="1"/>
      <w:numFmt w:val="decimal"/>
      <w:lvlText w:val="%1)"/>
      <w:lvlJc w:val="left"/>
      <w:pPr>
        <w:ind w:left="720" w:hanging="360"/>
      </w:pPr>
      <w:rPr>
        <w:rFonts w:hint="default"/>
        <w:color w:val="948A54" w:themeColor="background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A32A50"/>
    <w:multiLevelType w:val="hybridMultilevel"/>
    <w:tmpl w:val="0890F7C0"/>
    <w:lvl w:ilvl="0" w:tplc="73F4B4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C932DF"/>
    <w:multiLevelType w:val="hybridMultilevel"/>
    <w:tmpl w:val="B192C5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9067A09"/>
    <w:multiLevelType w:val="hybridMultilevel"/>
    <w:tmpl w:val="03F8A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1503B4"/>
    <w:multiLevelType w:val="hybridMultilevel"/>
    <w:tmpl w:val="8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1071"/>
    <w:multiLevelType w:val="hybridMultilevel"/>
    <w:tmpl w:val="FEFEF38C"/>
    <w:lvl w:ilvl="0" w:tplc="01380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B5517"/>
    <w:multiLevelType w:val="hybridMultilevel"/>
    <w:tmpl w:val="5C047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4605BF"/>
    <w:multiLevelType w:val="hybridMultilevel"/>
    <w:tmpl w:val="1A802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F459C3"/>
    <w:multiLevelType w:val="hybridMultilevel"/>
    <w:tmpl w:val="431C021A"/>
    <w:lvl w:ilvl="0" w:tplc="0138007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AE10A1A"/>
    <w:multiLevelType w:val="hybridMultilevel"/>
    <w:tmpl w:val="509A7DF0"/>
    <w:lvl w:ilvl="0" w:tplc="B066BDC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257351"/>
    <w:multiLevelType w:val="hybridMultilevel"/>
    <w:tmpl w:val="AE14C240"/>
    <w:lvl w:ilvl="0" w:tplc="AED49054">
      <w:start w:val="1"/>
      <w:numFmt w:val="decimal"/>
      <w:pStyle w:val="titre1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992D66"/>
    <w:multiLevelType w:val="hybridMultilevel"/>
    <w:tmpl w:val="D79CF68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8" w15:restartNumberingAfterBreak="0">
    <w:nsid w:val="6F30433B"/>
    <w:multiLevelType w:val="hybridMultilevel"/>
    <w:tmpl w:val="ED52EE64"/>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070562D"/>
    <w:multiLevelType w:val="hybridMultilevel"/>
    <w:tmpl w:val="5912905C"/>
    <w:lvl w:ilvl="0" w:tplc="94EA41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9D7DA5"/>
    <w:multiLevelType w:val="hybridMultilevel"/>
    <w:tmpl w:val="117E9114"/>
    <w:lvl w:ilvl="0" w:tplc="DEA29784">
      <w:start w:val="1"/>
      <w:numFmt w:val="upperLetter"/>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5A2F46"/>
    <w:multiLevelType w:val="hybridMultilevel"/>
    <w:tmpl w:val="9040899C"/>
    <w:lvl w:ilvl="0" w:tplc="739CA99E">
      <w:numFmt w:val="bullet"/>
      <w:lvlText w:val="-"/>
      <w:lvlJc w:val="left"/>
      <w:pPr>
        <w:ind w:left="720" w:hanging="360"/>
      </w:pPr>
      <w:rPr>
        <w:rFonts w:ascii="Calibri" w:eastAsiaTheme="minorHAnsi" w:hAnsi="Calibri" w:cstheme="minorHAnsi" w:hint="default"/>
        <w:b/>
        <w:i/>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BC3BDF"/>
    <w:multiLevelType w:val="hybridMultilevel"/>
    <w:tmpl w:val="4502C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291FE0"/>
    <w:multiLevelType w:val="hybridMultilevel"/>
    <w:tmpl w:val="7EE816C8"/>
    <w:lvl w:ilvl="0" w:tplc="463C018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8AC3832"/>
    <w:multiLevelType w:val="hybridMultilevel"/>
    <w:tmpl w:val="3EA478DA"/>
    <w:lvl w:ilvl="0" w:tplc="040C0013">
      <w:start w:val="1"/>
      <w:numFmt w:val="upperRoman"/>
      <w:lvlText w:val="%1."/>
      <w:lvlJc w:val="right"/>
      <w:pPr>
        <w:ind w:left="720" w:hanging="360"/>
      </w:pPr>
      <w:rPr>
        <w:rFonts w:hint="default"/>
        <w:b/>
      </w:rPr>
    </w:lvl>
    <w:lvl w:ilvl="1" w:tplc="02B41BFE">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B93530"/>
    <w:multiLevelType w:val="hybridMultilevel"/>
    <w:tmpl w:val="B20CF44C"/>
    <w:lvl w:ilvl="0" w:tplc="B08427D8">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C10412E"/>
    <w:multiLevelType w:val="hybridMultilevel"/>
    <w:tmpl w:val="57303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5C051A"/>
    <w:multiLevelType w:val="hybridMultilevel"/>
    <w:tmpl w:val="F814D812"/>
    <w:lvl w:ilvl="0" w:tplc="ABD8FE6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8"/>
  </w:num>
  <w:num w:numId="4">
    <w:abstractNumId w:val="23"/>
  </w:num>
  <w:num w:numId="5">
    <w:abstractNumId w:val="39"/>
  </w:num>
  <w:num w:numId="6">
    <w:abstractNumId w:val="36"/>
  </w:num>
  <w:num w:numId="7">
    <w:abstractNumId w:val="36"/>
  </w:num>
  <w:num w:numId="8">
    <w:abstractNumId w:val="36"/>
  </w:num>
  <w:num w:numId="9">
    <w:abstractNumId w:val="36"/>
  </w:num>
  <w:num w:numId="10">
    <w:abstractNumId w:val="36"/>
  </w:num>
  <w:num w:numId="11">
    <w:abstractNumId w:val="36"/>
  </w:num>
  <w:num w:numId="12">
    <w:abstractNumId w:val="36"/>
  </w:num>
  <w:num w:numId="13">
    <w:abstractNumId w:val="36"/>
  </w:num>
  <w:num w:numId="14">
    <w:abstractNumId w:val="36"/>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44"/>
  </w:num>
  <w:num w:numId="22">
    <w:abstractNumId w:val="46"/>
  </w:num>
  <w:num w:numId="23">
    <w:abstractNumId w:val="29"/>
  </w:num>
  <w:num w:numId="24">
    <w:abstractNumId w:val="37"/>
  </w:num>
  <w:num w:numId="25">
    <w:abstractNumId w:val="40"/>
  </w:num>
  <w:num w:numId="26">
    <w:abstractNumId w:val="25"/>
  </w:num>
  <w:num w:numId="27">
    <w:abstractNumId w:val="31"/>
  </w:num>
  <w:num w:numId="28">
    <w:abstractNumId w:val="14"/>
  </w:num>
  <w:num w:numId="29">
    <w:abstractNumId w:val="0"/>
  </w:num>
  <w:num w:numId="30">
    <w:abstractNumId w:val="38"/>
  </w:num>
  <w:num w:numId="31">
    <w:abstractNumId w:val="27"/>
  </w:num>
  <w:num w:numId="32">
    <w:abstractNumId w:val="16"/>
  </w:num>
  <w:num w:numId="33">
    <w:abstractNumId w:val="16"/>
    <w:lvlOverride w:ilvl="0">
      <w:startOverride w:val="1"/>
    </w:lvlOverride>
  </w:num>
  <w:num w:numId="34">
    <w:abstractNumId w:val="16"/>
  </w:num>
  <w:num w:numId="35">
    <w:abstractNumId w:val="16"/>
    <w:lvlOverride w:ilvl="0">
      <w:startOverride w:val="1"/>
    </w:lvlOverride>
  </w:num>
  <w:num w:numId="36">
    <w:abstractNumId w:val="36"/>
  </w:num>
  <w:num w:numId="37">
    <w:abstractNumId w:val="35"/>
  </w:num>
  <w:num w:numId="38">
    <w:abstractNumId w:val="42"/>
  </w:num>
  <w:num w:numId="39">
    <w:abstractNumId w:val="19"/>
  </w:num>
  <w:num w:numId="40">
    <w:abstractNumId w:val="43"/>
  </w:num>
  <w:num w:numId="41">
    <w:abstractNumId w:val="11"/>
  </w:num>
  <w:num w:numId="42">
    <w:abstractNumId w:val="7"/>
  </w:num>
  <w:num w:numId="43">
    <w:abstractNumId w:val="3"/>
  </w:num>
  <w:num w:numId="44">
    <w:abstractNumId w:val="22"/>
  </w:num>
  <w:num w:numId="45">
    <w:abstractNumId w:val="15"/>
  </w:num>
  <w:num w:numId="46">
    <w:abstractNumId w:val="33"/>
  </w:num>
  <w:num w:numId="47">
    <w:abstractNumId w:val="1"/>
  </w:num>
  <w:num w:numId="48">
    <w:abstractNumId w:val="4"/>
  </w:num>
  <w:num w:numId="49">
    <w:abstractNumId w:val="2"/>
  </w:num>
  <w:num w:numId="50">
    <w:abstractNumId w:val="24"/>
  </w:num>
  <w:num w:numId="51">
    <w:abstractNumId w:val="28"/>
  </w:num>
  <w:num w:numId="52">
    <w:abstractNumId w:val="13"/>
  </w:num>
  <w:num w:numId="53">
    <w:abstractNumId w:val="17"/>
  </w:num>
  <w:num w:numId="54">
    <w:abstractNumId w:val="12"/>
  </w:num>
  <w:num w:numId="55">
    <w:abstractNumId w:val="9"/>
  </w:num>
  <w:num w:numId="56">
    <w:abstractNumId w:val="41"/>
  </w:num>
  <w:num w:numId="57">
    <w:abstractNumId w:val="10"/>
  </w:num>
  <w:num w:numId="58">
    <w:abstractNumId w:val="32"/>
  </w:num>
  <w:num w:numId="59">
    <w:abstractNumId w:val="30"/>
  </w:num>
  <w:num w:numId="60">
    <w:abstractNumId w:val="8"/>
  </w:num>
  <w:num w:numId="61">
    <w:abstractNumId w:val="21"/>
  </w:num>
  <w:num w:numId="62">
    <w:abstractNumId w:val="5"/>
  </w:num>
  <w:num w:numId="63">
    <w:abstractNumId w:val="20"/>
  </w:num>
  <w:num w:numId="64">
    <w:abstractNumId w:val="45"/>
  </w:num>
  <w:num w:numId="65">
    <w:abstractNumId w:val="34"/>
  </w:num>
  <w:num w:numId="66">
    <w:abstractNumId w:val="47"/>
  </w:num>
  <w:num w:numId="67">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A"/>
    <w:rsid w:val="00007E78"/>
    <w:rsid w:val="00007ED3"/>
    <w:rsid w:val="00011EC4"/>
    <w:rsid w:val="00012E2C"/>
    <w:rsid w:val="00014B7C"/>
    <w:rsid w:val="00015EE2"/>
    <w:rsid w:val="000219B3"/>
    <w:rsid w:val="00032BEC"/>
    <w:rsid w:val="00041EF8"/>
    <w:rsid w:val="00042CB6"/>
    <w:rsid w:val="00044B1C"/>
    <w:rsid w:val="00045B69"/>
    <w:rsid w:val="00046AB1"/>
    <w:rsid w:val="0004791A"/>
    <w:rsid w:val="00050057"/>
    <w:rsid w:val="00051ACD"/>
    <w:rsid w:val="000520CF"/>
    <w:rsid w:val="000578BF"/>
    <w:rsid w:val="0007381E"/>
    <w:rsid w:val="0008256C"/>
    <w:rsid w:val="00082761"/>
    <w:rsid w:val="00084783"/>
    <w:rsid w:val="000871A1"/>
    <w:rsid w:val="00091B80"/>
    <w:rsid w:val="00095902"/>
    <w:rsid w:val="000A41E7"/>
    <w:rsid w:val="000B185C"/>
    <w:rsid w:val="000B3075"/>
    <w:rsid w:val="000B5EBB"/>
    <w:rsid w:val="000B6224"/>
    <w:rsid w:val="000C1EAE"/>
    <w:rsid w:val="000C377E"/>
    <w:rsid w:val="000D106C"/>
    <w:rsid w:val="000D4590"/>
    <w:rsid w:val="000D61E0"/>
    <w:rsid w:val="000D68F6"/>
    <w:rsid w:val="000D6973"/>
    <w:rsid w:val="000E0322"/>
    <w:rsid w:val="000E188E"/>
    <w:rsid w:val="000E1D3C"/>
    <w:rsid w:val="000E3054"/>
    <w:rsid w:val="000E7C27"/>
    <w:rsid w:val="000F1A2E"/>
    <w:rsid w:val="000F2526"/>
    <w:rsid w:val="000F2F14"/>
    <w:rsid w:val="000F4DA1"/>
    <w:rsid w:val="000F6F8A"/>
    <w:rsid w:val="00100512"/>
    <w:rsid w:val="00101644"/>
    <w:rsid w:val="00104C30"/>
    <w:rsid w:val="00106004"/>
    <w:rsid w:val="00107AE8"/>
    <w:rsid w:val="00116E12"/>
    <w:rsid w:val="00117974"/>
    <w:rsid w:val="001338CF"/>
    <w:rsid w:val="00135933"/>
    <w:rsid w:val="00137653"/>
    <w:rsid w:val="00144762"/>
    <w:rsid w:val="00145AE8"/>
    <w:rsid w:val="00145B03"/>
    <w:rsid w:val="00147105"/>
    <w:rsid w:val="001512C1"/>
    <w:rsid w:val="00153A14"/>
    <w:rsid w:val="00153DA3"/>
    <w:rsid w:val="00160142"/>
    <w:rsid w:val="0016120F"/>
    <w:rsid w:val="00165BFC"/>
    <w:rsid w:val="00181E81"/>
    <w:rsid w:val="00192383"/>
    <w:rsid w:val="00192EA4"/>
    <w:rsid w:val="001A7070"/>
    <w:rsid w:val="001A75BA"/>
    <w:rsid w:val="001C4566"/>
    <w:rsid w:val="001C58DA"/>
    <w:rsid w:val="001C7101"/>
    <w:rsid w:val="001D709B"/>
    <w:rsid w:val="001E0A52"/>
    <w:rsid w:val="001E0B77"/>
    <w:rsid w:val="001F271B"/>
    <w:rsid w:val="001F278F"/>
    <w:rsid w:val="001F56FB"/>
    <w:rsid w:val="00202C02"/>
    <w:rsid w:val="00202C6B"/>
    <w:rsid w:val="00204AC4"/>
    <w:rsid w:val="00205AD2"/>
    <w:rsid w:val="002123A0"/>
    <w:rsid w:val="00213A61"/>
    <w:rsid w:val="00223EAF"/>
    <w:rsid w:val="0022588B"/>
    <w:rsid w:val="00225A9E"/>
    <w:rsid w:val="00225C91"/>
    <w:rsid w:val="002276CD"/>
    <w:rsid w:val="00232CE6"/>
    <w:rsid w:val="0023357B"/>
    <w:rsid w:val="00240611"/>
    <w:rsid w:val="002463F7"/>
    <w:rsid w:val="00250922"/>
    <w:rsid w:val="00252611"/>
    <w:rsid w:val="00254A80"/>
    <w:rsid w:val="00262DBA"/>
    <w:rsid w:val="00287C9D"/>
    <w:rsid w:val="002959C6"/>
    <w:rsid w:val="002A0074"/>
    <w:rsid w:val="002A1674"/>
    <w:rsid w:val="002A5724"/>
    <w:rsid w:val="002A7E73"/>
    <w:rsid w:val="002B238B"/>
    <w:rsid w:val="002C25BD"/>
    <w:rsid w:val="002D797F"/>
    <w:rsid w:val="002F2F78"/>
    <w:rsid w:val="002F74C0"/>
    <w:rsid w:val="0030293A"/>
    <w:rsid w:val="003108FD"/>
    <w:rsid w:val="003127F0"/>
    <w:rsid w:val="003268A6"/>
    <w:rsid w:val="00327043"/>
    <w:rsid w:val="00332AE9"/>
    <w:rsid w:val="003358B4"/>
    <w:rsid w:val="00337043"/>
    <w:rsid w:val="00344F2E"/>
    <w:rsid w:val="00346A2F"/>
    <w:rsid w:val="003477B9"/>
    <w:rsid w:val="00355DC9"/>
    <w:rsid w:val="003573E2"/>
    <w:rsid w:val="003575FB"/>
    <w:rsid w:val="00361456"/>
    <w:rsid w:val="00363C71"/>
    <w:rsid w:val="003740AF"/>
    <w:rsid w:val="003765F4"/>
    <w:rsid w:val="003776DD"/>
    <w:rsid w:val="0037773F"/>
    <w:rsid w:val="00383DA3"/>
    <w:rsid w:val="0038694B"/>
    <w:rsid w:val="00394A42"/>
    <w:rsid w:val="003A702E"/>
    <w:rsid w:val="003B045C"/>
    <w:rsid w:val="003B59D1"/>
    <w:rsid w:val="003B7033"/>
    <w:rsid w:val="003C2AAB"/>
    <w:rsid w:val="003C40FE"/>
    <w:rsid w:val="003C476D"/>
    <w:rsid w:val="003D3AD9"/>
    <w:rsid w:val="003E080B"/>
    <w:rsid w:val="003E4456"/>
    <w:rsid w:val="003F1EEB"/>
    <w:rsid w:val="003F2C1E"/>
    <w:rsid w:val="003F33E3"/>
    <w:rsid w:val="003F39AC"/>
    <w:rsid w:val="003F3ABB"/>
    <w:rsid w:val="003F6408"/>
    <w:rsid w:val="003F6F6A"/>
    <w:rsid w:val="004047B7"/>
    <w:rsid w:val="00406E09"/>
    <w:rsid w:val="00407264"/>
    <w:rsid w:val="00411BF4"/>
    <w:rsid w:val="0042208B"/>
    <w:rsid w:val="00424030"/>
    <w:rsid w:val="0042597B"/>
    <w:rsid w:val="00427952"/>
    <w:rsid w:val="0043066C"/>
    <w:rsid w:val="00433C3A"/>
    <w:rsid w:val="0044414A"/>
    <w:rsid w:val="00446CCB"/>
    <w:rsid w:val="00451BD5"/>
    <w:rsid w:val="00454FA1"/>
    <w:rsid w:val="004550E5"/>
    <w:rsid w:val="00457BD6"/>
    <w:rsid w:val="00460123"/>
    <w:rsid w:val="004613DB"/>
    <w:rsid w:val="00461E75"/>
    <w:rsid w:val="00465DB9"/>
    <w:rsid w:val="004667ED"/>
    <w:rsid w:val="004674A3"/>
    <w:rsid w:val="0047506B"/>
    <w:rsid w:val="0047558A"/>
    <w:rsid w:val="004765F2"/>
    <w:rsid w:val="00476717"/>
    <w:rsid w:val="004855DE"/>
    <w:rsid w:val="00486877"/>
    <w:rsid w:val="00486C69"/>
    <w:rsid w:val="0049022A"/>
    <w:rsid w:val="004A1080"/>
    <w:rsid w:val="004B0117"/>
    <w:rsid w:val="004B0282"/>
    <w:rsid w:val="004B7756"/>
    <w:rsid w:val="004B7D63"/>
    <w:rsid w:val="004C1E4A"/>
    <w:rsid w:val="004C226A"/>
    <w:rsid w:val="004C3E7D"/>
    <w:rsid w:val="004C415E"/>
    <w:rsid w:val="004C4310"/>
    <w:rsid w:val="004C4B3D"/>
    <w:rsid w:val="004C58D6"/>
    <w:rsid w:val="004D06A1"/>
    <w:rsid w:val="004D432E"/>
    <w:rsid w:val="004D4E9A"/>
    <w:rsid w:val="004E4A9A"/>
    <w:rsid w:val="004E5925"/>
    <w:rsid w:val="004E6A38"/>
    <w:rsid w:val="004F1958"/>
    <w:rsid w:val="00500243"/>
    <w:rsid w:val="0050175E"/>
    <w:rsid w:val="00503D29"/>
    <w:rsid w:val="00510F24"/>
    <w:rsid w:val="00510F64"/>
    <w:rsid w:val="00513B2E"/>
    <w:rsid w:val="0051618D"/>
    <w:rsid w:val="00522841"/>
    <w:rsid w:val="00522A12"/>
    <w:rsid w:val="00537767"/>
    <w:rsid w:val="005420DF"/>
    <w:rsid w:val="0054438B"/>
    <w:rsid w:val="00547CA1"/>
    <w:rsid w:val="00563E15"/>
    <w:rsid w:val="00566A44"/>
    <w:rsid w:val="00567A47"/>
    <w:rsid w:val="0057550B"/>
    <w:rsid w:val="00575665"/>
    <w:rsid w:val="0057763B"/>
    <w:rsid w:val="00577D00"/>
    <w:rsid w:val="00585DB8"/>
    <w:rsid w:val="005959BC"/>
    <w:rsid w:val="00595EFF"/>
    <w:rsid w:val="005A6C25"/>
    <w:rsid w:val="005B2D3C"/>
    <w:rsid w:val="005B544D"/>
    <w:rsid w:val="005B5FF1"/>
    <w:rsid w:val="005C3B97"/>
    <w:rsid w:val="005C498F"/>
    <w:rsid w:val="005D5CBD"/>
    <w:rsid w:val="005D6203"/>
    <w:rsid w:val="005D6229"/>
    <w:rsid w:val="005E1A5A"/>
    <w:rsid w:val="005E2285"/>
    <w:rsid w:val="005E56ED"/>
    <w:rsid w:val="005E5D4E"/>
    <w:rsid w:val="005E6044"/>
    <w:rsid w:val="005E6E21"/>
    <w:rsid w:val="005F0349"/>
    <w:rsid w:val="005F2621"/>
    <w:rsid w:val="005F3183"/>
    <w:rsid w:val="005F4EDC"/>
    <w:rsid w:val="006018D1"/>
    <w:rsid w:val="00607AA8"/>
    <w:rsid w:val="00611EA0"/>
    <w:rsid w:val="00612E9B"/>
    <w:rsid w:val="00613BD8"/>
    <w:rsid w:val="00614BEA"/>
    <w:rsid w:val="00617E81"/>
    <w:rsid w:val="0062258D"/>
    <w:rsid w:val="00630756"/>
    <w:rsid w:val="006414DF"/>
    <w:rsid w:val="00642D3E"/>
    <w:rsid w:val="00643936"/>
    <w:rsid w:val="00644EBB"/>
    <w:rsid w:val="006474D8"/>
    <w:rsid w:val="00661B78"/>
    <w:rsid w:val="00665419"/>
    <w:rsid w:val="006657A7"/>
    <w:rsid w:val="00665E59"/>
    <w:rsid w:val="006716FE"/>
    <w:rsid w:val="006718DA"/>
    <w:rsid w:val="00680B3A"/>
    <w:rsid w:val="0068142F"/>
    <w:rsid w:val="006821DC"/>
    <w:rsid w:val="00683489"/>
    <w:rsid w:val="0069524E"/>
    <w:rsid w:val="0069698D"/>
    <w:rsid w:val="006969C2"/>
    <w:rsid w:val="00696A20"/>
    <w:rsid w:val="00697907"/>
    <w:rsid w:val="006A06EC"/>
    <w:rsid w:val="006A100C"/>
    <w:rsid w:val="006A1381"/>
    <w:rsid w:val="006A159F"/>
    <w:rsid w:val="006B1783"/>
    <w:rsid w:val="006C129A"/>
    <w:rsid w:val="006D3691"/>
    <w:rsid w:val="006D62B7"/>
    <w:rsid w:val="006D65BF"/>
    <w:rsid w:val="006E1F35"/>
    <w:rsid w:val="006E21B4"/>
    <w:rsid w:val="006E4DE4"/>
    <w:rsid w:val="006F0BF5"/>
    <w:rsid w:val="00711C4E"/>
    <w:rsid w:val="00714DDB"/>
    <w:rsid w:val="00714F48"/>
    <w:rsid w:val="00717C4C"/>
    <w:rsid w:val="00724F5A"/>
    <w:rsid w:val="007273BC"/>
    <w:rsid w:val="00727CAD"/>
    <w:rsid w:val="007342BC"/>
    <w:rsid w:val="00736373"/>
    <w:rsid w:val="00744C6F"/>
    <w:rsid w:val="0074738B"/>
    <w:rsid w:val="0075210C"/>
    <w:rsid w:val="007529D5"/>
    <w:rsid w:val="00752C84"/>
    <w:rsid w:val="00753689"/>
    <w:rsid w:val="00755944"/>
    <w:rsid w:val="00755BE9"/>
    <w:rsid w:val="00756182"/>
    <w:rsid w:val="00764FB2"/>
    <w:rsid w:val="007736E4"/>
    <w:rsid w:val="00774CBE"/>
    <w:rsid w:val="00783362"/>
    <w:rsid w:val="0078350E"/>
    <w:rsid w:val="00783FE8"/>
    <w:rsid w:val="00787653"/>
    <w:rsid w:val="00797100"/>
    <w:rsid w:val="007973AB"/>
    <w:rsid w:val="0079754C"/>
    <w:rsid w:val="007A07A0"/>
    <w:rsid w:val="007A07F8"/>
    <w:rsid w:val="007A610C"/>
    <w:rsid w:val="007B03DF"/>
    <w:rsid w:val="007B18E0"/>
    <w:rsid w:val="007B579F"/>
    <w:rsid w:val="007C2D04"/>
    <w:rsid w:val="007C4E71"/>
    <w:rsid w:val="007C6CD8"/>
    <w:rsid w:val="007D77C5"/>
    <w:rsid w:val="007F2DE8"/>
    <w:rsid w:val="007F518B"/>
    <w:rsid w:val="007F660A"/>
    <w:rsid w:val="007F780C"/>
    <w:rsid w:val="00800B1C"/>
    <w:rsid w:val="00803158"/>
    <w:rsid w:val="0080399F"/>
    <w:rsid w:val="00803A0C"/>
    <w:rsid w:val="00805AAA"/>
    <w:rsid w:val="008363AB"/>
    <w:rsid w:val="00837945"/>
    <w:rsid w:val="00841646"/>
    <w:rsid w:val="0084319F"/>
    <w:rsid w:val="0085255E"/>
    <w:rsid w:val="00861D6A"/>
    <w:rsid w:val="00872D20"/>
    <w:rsid w:val="00873B8A"/>
    <w:rsid w:val="00874684"/>
    <w:rsid w:val="0088250A"/>
    <w:rsid w:val="00893397"/>
    <w:rsid w:val="008954D8"/>
    <w:rsid w:val="008968B8"/>
    <w:rsid w:val="00896CAC"/>
    <w:rsid w:val="008975E9"/>
    <w:rsid w:val="0089776B"/>
    <w:rsid w:val="00897EEF"/>
    <w:rsid w:val="008A4B0E"/>
    <w:rsid w:val="008A57BB"/>
    <w:rsid w:val="008B0277"/>
    <w:rsid w:val="008D3AEF"/>
    <w:rsid w:val="008E12C8"/>
    <w:rsid w:val="008E2CB4"/>
    <w:rsid w:val="008E5C03"/>
    <w:rsid w:val="008F688C"/>
    <w:rsid w:val="008F785B"/>
    <w:rsid w:val="008F7CC1"/>
    <w:rsid w:val="00902772"/>
    <w:rsid w:val="009058CE"/>
    <w:rsid w:val="00905AA3"/>
    <w:rsid w:val="00910460"/>
    <w:rsid w:val="00912BAF"/>
    <w:rsid w:val="00917635"/>
    <w:rsid w:val="00921DC3"/>
    <w:rsid w:val="00921EA1"/>
    <w:rsid w:val="00925774"/>
    <w:rsid w:val="00940442"/>
    <w:rsid w:val="00944855"/>
    <w:rsid w:val="00945EC7"/>
    <w:rsid w:val="00955903"/>
    <w:rsid w:val="00961177"/>
    <w:rsid w:val="0097429C"/>
    <w:rsid w:val="00975EF8"/>
    <w:rsid w:val="009779B0"/>
    <w:rsid w:val="0098437F"/>
    <w:rsid w:val="00987B12"/>
    <w:rsid w:val="00996199"/>
    <w:rsid w:val="009A4574"/>
    <w:rsid w:val="009B21B5"/>
    <w:rsid w:val="009D0DAE"/>
    <w:rsid w:val="009D17AE"/>
    <w:rsid w:val="009E1C49"/>
    <w:rsid w:val="009E2E62"/>
    <w:rsid w:val="009E4A85"/>
    <w:rsid w:val="009E5C71"/>
    <w:rsid w:val="009E72B6"/>
    <w:rsid w:val="009E74F7"/>
    <w:rsid w:val="009F1EEE"/>
    <w:rsid w:val="009F20B1"/>
    <w:rsid w:val="009F6B24"/>
    <w:rsid w:val="00A007C7"/>
    <w:rsid w:val="00A010C8"/>
    <w:rsid w:val="00A03942"/>
    <w:rsid w:val="00A16745"/>
    <w:rsid w:val="00A16DA9"/>
    <w:rsid w:val="00A1775E"/>
    <w:rsid w:val="00A25E81"/>
    <w:rsid w:val="00A30E68"/>
    <w:rsid w:val="00A32F67"/>
    <w:rsid w:val="00A4198D"/>
    <w:rsid w:val="00A47E45"/>
    <w:rsid w:val="00A53C26"/>
    <w:rsid w:val="00A55E28"/>
    <w:rsid w:val="00A66853"/>
    <w:rsid w:val="00A70360"/>
    <w:rsid w:val="00A73CA1"/>
    <w:rsid w:val="00A74569"/>
    <w:rsid w:val="00A74A00"/>
    <w:rsid w:val="00A77CC5"/>
    <w:rsid w:val="00A80CDA"/>
    <w:rsid w:val="00A84199"/>
    <w:rsid w:val="00A92055"/>
    <w:rsid w:val="00A92583"/>
    <w:rsid w:val="00AA0730"/>
    <w:rsid w:val="00AA085C"/>
    <w:rsid w:val="00AA35E7"/>
    <w:rsid w:val="00AB1A62"/>
    <w:rsid w:val="00AB2EAC"/>
    <w:rsid w:val="00AB6F6D"/>
    <w:rsid w:val="00AB7D82"/>
    <w:rsid w:val="00AC2891"/>
    <w:rsid w:val="00AC2B02"/>
    <w:rsid w:val="00AC4089"/>
    <w:rsid w:val="00AD1346"/>
    <w:rsid w:val="00AD3701"/>
    <w:rsid w:val="00AD727F"/>
    <w:rsid w:val="00AE1BD1"/>
    <w:rsid w:val="00AE3520"/>
    <w:rsid w:val="00AF5F6C"/>
    <w:rsid w:val="00B018C0"/>
    <w:rsid w:val="00B0224D"/>
    <w:rsid w:val="00B06904"/>
    <w:rsid w:val="00B06E74"/>
    <w:rsid w:val="00B07149"/>
    <w:rsid w:val="00B12816"/>
    <w:rsid w:val="00B14BEC"/>
    <w:rsid w:val="00B15638"/>
    <w:rsid w:val="00B15DBD"/>
    <w:rsid w:val="00B2102C"/>
    <w:rsid w:val="00B230CC"/>
    <w:rsid w:val="00B26239"/>
    <w:rsid w:val="00B345BB"/>
    <w:rsid w:val="00B3509A"/>
    <w:rsid w:val="00B4610A"/>
    <w:rsid w:val="00B474F0"/>
    <w:rsid w:val="00B64EF4"/>
    <w:rsid w:val="00B735E7"/>
    <w:rsid w:val="00B77A88"/>
    <w:rsid w:val="00B8063C"/>
    <w:rsid w:val="00B86EC5"/>
    <w:rsid w:val="00B9091C"/>
    <w:rsid w:val="00B934A1"/>
    <w:rsid w:val="00B9470D"/>
    <w:rsid w:val="00B96335"/>
    <w:rsid w:val="00BA024D"/>
    <w:rsid w:val="00BA33C9"/>
    <w:rsid w:val="00BB251D"/>
    <w:rsid w:val="00BB37BE"/>
    <w:rsid w:val="00BB5465"/>
    <w:rsid w:val="00BC010D"/>
    <w:rsid w:val="00BC19F1"/>
    <w:rsid w:val="00BC33D4"/>
    <w:rsid w:val="00BC40BF"/>
    <w:rsid w:val="00BC714E"/>
    <w:rsid w:val="00BD481F"/>
    <w:rsid w:val="00BD57FA"/>
    <w:rsid w:val="00BD5B89"/>
    <w:rsid w:val="00BD7465"/>
    <w:rsid w:val="00BE1009"/>
    <w:rsid w:val="00BE63A4"/>
    <w:rsid w:val="00BE7671"/>
    <w:rsid w:val="00BF25BE"/>
    <w:rsid w:val="00BF3E44"/>
    <w:rsid w:val="00C03FFD"/>
    <w:rsid w:val="00C134B1"/>
    <w:rsid w:val="00C172CC"/>
    <w:rsid w:val="00C20CDB"/>
    <w:rsid w:val="00C21E6D"/>
    <w:rsid w:val="00C26A3A"/>
    <w:rsid w:val="00C34C04"/>
    <w:rsid w:val="00C3648D"/>
    <w:rsid w:val="00C544B0"/>
    <w:rsid w:val="00C623E0"/>
    <w:rsid w:val="00C65B37"/>
    <w:rsid w:val="00C76401"/>
    <w:rsid w:val="00C7747D"/>
    <w:rsid w:val="00C80F78"/>
    <w:rsid w:val="00C82794"/>
    <w:rsid w:val="00C86DEC"/>
    <w:rsid w:val="00C87ACC"/>
    <w:rsid w:val="00C93265"/>
    <w:rsid w:val="00C95AA9"/>
    <w:rsid w:val="00CB0659"/>
    <w:rsid w:val="00CB3CA4"/>
    <w:rsid w:val="00CB56DD"/>
    <w:rsid w:val="00CC0324"/>
    <w:rsid w:val="00CC32AF"/>
    <w:rsid w:val="00CC50A9"/>
    <w:rsid w:val="00CE0F16"/>
    <w:rsid w:val="00CF1810"/>
    <w:rsid w:val="00CF308A"/>
    <w:rsid w:val="00CF675F"/>
    <w:rsid w:val="00D00385"/>
    <w:rsid w:val="00D11B82"/>
    <w:rsid w:val="00D12362"/>
    <w:rsid w:val="00D2193A"/>
    <w:rsid w:val="00D2409A"/>
    <w:rsid w:val="00D25C53"/>
    <w:rsid w:val="00D2639A"/>
    <w:rsid w:val="00D26C1C"/>
    <w:rsid w:val="00D30E09"/>
    <w:rsid w:val="00D31062"/>
    <w:rsid w:val="00D315D3"/>
    <w:rsid w:val="00D31FFA"/>
    <w:rsid w:val="00D322DF"/>
    <w:rsid w:val="00D37C6A"/>
    <w:rsid w:val="00D41F1F"/>
    <w:rsid w:val="00D44423"/>
    <w:rsid w:val="00D47C82"/>
    <w:rsid w:val="00D54006"/>
    <w:rsid w:val="00D5648C"/>
    <w:rsid w:val="00D60E19"/>
    <w:rsid w:val="00D626BD"/>
    <w:rsid w:val="00D63A79"/>
    <w:rsid w:val="00D64563"/>
    <w:rsid w:val="00D80B80"/>
    <w:rsid w:val="00D83197"/>
    <w:rsid w:val="00D8325A"/>
    <w:rsid w:val="00D86858"/>
    <w:rsid w:val="00D8695F"/>
    <w:rsid w:val="00D90807"/>
    <w:rsid w:val="00D909B4"/>
    <w:rsid w:val="00D92432"/>
    <w:rsid w:val="00D9422A"/>
    <w:rsid w:val="00D96A03"/>
    <w:rsid w:val="00DB2B9F"/>
    <w:rsid w:val="00DB5D5B"/>
    <w:rsid w:val="00DB6298"/>
    <w:rsid w:val="00DC7BBC"/>
    <w:rsid w:val="00DD1DCA"/>
    <w:rsid w:val="00DD2645"/>
    <w:rsid w:val="00DE0AFE"/>
    <w:rsid w:val="00DE56FE"/>
    <w:rsid w:val="00DE7879"/>
    <w:rsid w:val="00DF0E35"/>
    <w:rsid w:val="00DF0F9A"/>
    <w:rsid w:val="00E03D72"/>
    <w:rsid w:val="00E07CE2"/>
    <w:rsid w:val="00E13152"/>
    <w:rsid w:val="00E13AC1"/>
    <w:rsid w:val="00E203E3"/>
    <w:rsid w:val="00E23F56"/>
    <w:rsid w:val="00E245C4"/>
    <w:rsid w:val="00E2489F"/>
    <w:rsid w:val="00E24BDF"/>
    <w:rsid w:val="00E2734F"/>
    <w:rsid w:val="00E435C7"/>
    <w:rsid w:val="00E439A9"/>
    <w:rsid w:val="00E52705"/>
    <w:rsid w:val="00E55DAE"/>
    <w:rsid w:val="00E560E7"/>
    <w:rsid w:val="00E62042"/>
    <w:rsid w:val="00E64425"/>
    <w:rsid w:val="00E75C07"/>
    <w:rsid w:val="00E777E8"/>
    <w:rsid w:val="00E778E9"/>
    <w:rsid w:val="00E809E1"/>
    <w:rsid w:val="00E81109"/>
    <w:rsid w:val="00E8216F"/>
    <w:rsid w:val="00E87909"/>
    <w:rsid w:val="00E92EC3"/>
    <w:rsid w:val="00E979D4"/>
    <w:rsid w:val="00EA2C12"/>
    <w:rsid w:val="00EA51B5"/>
    <w:rsid w:val="00EA5AA4"/>
    <w:rsid w:val="00EA66AA"/>
    <w:rsid w:val="00EA77EB"/>
    <w:rsid w:val="00EC035A"/>
    <w:rsid w:val="00ED18CE"/>
    <w:rsid w:val="00ED2F44"/>
    <w:rsid w:val="00ED51D4"/>
    <w:rsid w:val="00EE3B12"/>
    <w:rsid w:val="00EF1D24"/>
    <w:rsid w:val="00EF28D7"/>
    <w:rsid w:val="00EF4BB6"/>
    <w:rsid w:val="00EF6532"/>
    <w:rsid w:val="00F00DC5"/>
    <w:rsid w:val="00F0188F"/>
    <w:rsid w:val="00F018D5"/>
    <w:rsid w:val="00F029FE"/>
    <w:rsid w:val="00F10214"/>
    <w:rsid w:val="00F16EF0"/>
    <w:rsid w:val="00F300A7"/>
    <w:rsid w:val="00F326A8"/>
    <w:rsid w:val="00F36B59"/>
    <w:rsid w:val="00F46236"/>
    <w:rsid w:val="00F5609A"/>
    <w:rsid w:val="00F60924"/>
    <w:rsid w:val="00F60CC5"/>
    <w:rsid w:val="00F620CA"/>
    <w:rsid w:val="00F62DD7"/>
    <w:rsid w:val="00F63224"/>
    <w:rsid w:val="00F63935"/>
    <w:rsid w:val="00F63CA8"/>
    <w:rsid w:val="00F6403E"/>
    <w:rsid w:val="00F64AC4"/>
    <w:rsid w:val="00F6647A"/>
    <w:rsid w:val="00F73C81"/>
    <w:rsid w:val="00F74B1D"/>
    <w:rsid w:val="00F75831"/>
    <w:rsid w:val="00F7615D"/>
    <w:rsid w:val="00F813CE"/>
    <w:rsid w:val="00F94A42"/>
    <w:rsid w:val="00F956C3"/>
    <w:rsid w:val="00F956D4"/>
    <w:rsid w:val="00FA7CF1"/>
    <w:rsid w:val="00FB66CE"/>
    <w:rsid w:val="00FC33C6"/>
    <w:rsid w:val="00FC34A3"/>
    <w:rsid w:val="00FC3852"/>
    <w:rsid w:val="00FD2AF1"/>
    <w:rsid w:val="00FD5D27"/>
    <w:rsid w:val="00FE4FF6"/>
    <w:rsid w:val="00FE529F"/>
    <w:rsid w:val="00FF6730"/>
    <w:rsid w:val="00FF7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125C"/>
  <w15:docId w15:val="{6F329CAB-8ACB-4BE1-9D0A-CFDC2668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27"/>
  </w:style>
  <w:style w:type="paragraph" w:styleId="Titre1">
    <w:name w:val="heading 1"/>
    <w:basedOn w:val="Normal"/>
    <w:next w:val="Normal"/>
    <w:link w:val="Titre1Car"/>
    <w:uiPriority w:val="9"/>
    <w:qFormat/>
    <w:rsid w:val="00987B12"/>
    <w:pPr>
      <w:keepNext/>
      <w:keepLines/>
      <w:numPr>
        <w:numId w:val="32"/>
      </w:numPr>
      <w:spacing w:before="480" w:after="0" w:line="360" w:lineRule="auto"/>
      <w:outlineLvl w:val="0"/>
    </w:pPr>
    <w:rPr>
      <w:rFonts w:ascii="Calibri" w:eastAsiaTheme="majorEastAsia" w:hAnsi="Calibri" w:cstheme="majorBidi"/>
      <w:b/>
      <w:bCs/>
      <w:color w:val="948A54" w:themeColor="background2" w:themeShade="80"/>
      <w:sz w:val="36"/>
      <w:szCs w:val="28"/>
    </w:rPr>
  </w:style>
  <w:style w:type="paragraph" w:styleId="Titre2">
    <w:name w:val="heading 2"/>
    <w:basedOn w:val="Normal"/>
    <w:next w:val="Normal"/>
    <w:link w:val="Titre2Car"/>
    <w:uiPriority w:val="9"/>
    <w:unhideWhenUsed/>
    <w:qFormat/>
    <w:rsid w:val="002959C6"/>
    <w:pPr>
      <w:keepNext/>
      <w:keepLines/>
      <w:shd w:val="clear" w:color="auto" w:fill="EEECE1" w:themeFill="background2"/>
      <w:spacing w:before="120" w:after="120"/>
      <w:contextualSpacing/>
      <w:jc w:val="both"/>
      <w:outlineLvl w:val="1"/>
    </w:pPr>
    <w:rPr>
      <w:rFonts w:eastAsiaTheme="majorEastAsia" w:cstheme="majorBidi"/>
      <w:b/>
      <w:bCs/>
      <w:smallCaps/>
      <w:color w:val="4A442A" w:themeColor="background2" w:themeShade="40"/>
      <w:sz w:val="28"/>
      <w:szCs w:val="26"/>
    </w:rPr>
  </w:style>
  <w:style w:type="paragraph" w:styleId="Titre3">
    <w:name w:val="heading 3"/>
    <w:basedOn w:val="Normal"/>
    <w:next w:val="Normal"/>
    <w:link w:val="Titre3Car"/>
    <w:uiPriority w:val="9"/>
    <w:unhideWhenUsed/>
    <w:qFormat/>
    <w:rsid w:val="00EA5AA4"/>
    <w:pPr>
      <w:keepNext/>
      <w:keepLines/>
      <w:spacing w:before="200" w:after="0"/>
      <w:jc w:val="center"/>
      <w:outlineLvl w:val="2"/>
    </w:pPr>
    <w:rPr>
      <w:rFonts w:asciiTheme="majorHAnsi" w:eastAsiaTheme="majorEastAsia" w:hAnsiTheme="majorHAnsi" w:cstheme="majorBidi"/>
      <w:b/>
      <w:bCs/>
      <w:color w:val="948A54" w:themeColor="background2" w:themeShade="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9022A"/>
    <w:pPr>
      <w:ind w:left="720"/>
      <w:contextualSpacing/>
    </w:pPr>
  </w:style>
  <w:style w:type="paragraph" w:customStyle="1" w:styleId="titre10">
    <w:name w:val="titre 1"/>
    <w:basedOn w:val="Paragraphedeliste"/>
    <w:link w:val="titre1Car0"/>
    <w:qFormat/>
    <w:rsid w:val="0049022A"/>
    <w:pPr>
      <w:numPr>
        <w:numId w:val="1"/>
      </w:numPr>
    </w:pPr>
  </w:style>
  <w:style w:type="character" w:styleId="Lienhypertexte">
    <w:name w:val="Hyperlink"/>
    <w:basedOn w:val="Policepardfaut"/>
    <w:uiPriority w:val="99"/>
    <w:unhideWhenUsed/>
    <w:rsid w:val="0049022A"/>
    <w:rPr>
      <w:color w:val="0000FF" w:themeColor="hyperlink"/>
      <w:u w:val="single"/>
    </w:rPr>
  </w:style>
  <w:style w:type="character" w:customStyle="1" w:styleId="ParagraphedelisteCar">
    <w:name w:val="Paragraphe de liste Car"/>
    <w:basedOn w:val="Policepardfaut"/>
    <w:link w:val="Paragraphedeliste"/>
    <w:uiPriority w:val="34"/>
    <w:rsid w:val="0049022A"/>
  </w:style>
  <w:style w:type="character" w:customStyle="1" w:styleId="titre1Car0">
    <w:name w:val="titre 1 Car"/>
    <w:basedOn w:val="ParagraphedelisteCar"/>
    <w:link w:val="titre10"/>
    <w:rsid w:val="0049022A"/>
  </w:style>
  <w:style w:type="paragraph" w:styleId="Textebrut">
    <w:name w:val="Plain Text"/>
    <w:basedOn w:val="Normal"/>
    <w:link w:val="TextebrutCar"/>
    <w:uiPriority w:val="99"/>
    <w:semiHidden/>
    <w:unhideWhenUsed/>
    <w:rsid w:val="0049022A"/>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49022A"/>
    <w:rPr>
      <w:rFonts w:ascii="Calibri" w:hAnsi="Calibri" w:cs="Consolas"/>
      <w:szCs w:val="21"/>
    </w:rPr>
  </w:style>
  <w:style w:type="character" w:customStyle="1" w:styleId="Titre1Car">
    <w:name w:val="Titre 1 Car"/>
    <w:basedOn w:val="Policepardfaut"/>
    <w:link w:val="Titre1"/>
    <w:uiPriority w:val="9"/>
    <w:rsid w:val="00987B12"/>
    <w:rPr>
      <w:rFonts w:ascii="Calibri" w:eastAsiaTheme="majorEastAsia" w:hAnsi="Calibri" w:cstheme="majorBidi"/>
      <w:b/>
      <w:bCs/>
      <w:color w:val="948A54" w:themeColor="background2" w:themeShade="80"/>
      <w:sz w:val="36"/>
      <w:szCs w:val="28"/>
    </w:rPr>
  </w:style>
  <w:style w:type="paragraph" w:styleId="En-ttedetabledesmatires">
    <w:name w:val="TOC Heading"/>
    <w:basedOn w:val="Titre1"/>
    <w:next w:val="Normal"/>
    <w:uiPriority w:val="39"/>
    <w:semiHidden/>
    <w:unhideWhenUsed/>
    <w:qFormat/>
    <w:rsid w:val="0049022A"/>
    <w:pPr>
      <w:outlineLvl w:val="9"/>
    </w:pPr>
    <w:rPr>
      <w:lang w:eastAsia="fr-FR"/>
    </w:rPr>
  </w:style>
  <w:style w:type="paragraph" w:styleId="TM1">
    <w:name w:val="toc 1"/>
    <w:basedOn w:val="Normal"/>
    <w:next w:val="Normal"/>
    <w:autoRedefine/>
    <w:uiPriority w:val="39"/>
    <w:unhideWhenUsed/>
    <w:rsid w:val="0049022A"/>
    <w:pPr>
      <w:spacing w:before="120" w:after="120"/>
    </w:pPr>
    <w:rPr>
      <w:rFonts w:cstheme="minorHAnsi"/>
      <w:b/>
      <w:bCs/>
      <w:caps/>
      <w:sz w:val="20"/>
      <w:szCs w:val="20"/>
    </w:rPr>
  </w:style>
  <w:style w:type="paragraph" w:styleId="Textedebulles">
    <w:name w:val="Balloon Text"/>
    <w:basedOn w:val="Normal"/>
    <w:link w:val="TextedebullesCar"/>
    <w:uiPriority w:val="99"/>
    <w:semiHidden/>
    <w:unhideWhenUsed/>
    <w:rsid w:val="00490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22A"/>
    <w:rPr>
      <w:rFonts w:ascii="Tahoma" w:hAnsi="Tahoma" w:cs="Tahoma"/>
      <w:sz w:val="16"/>
      <w:szCs w:val="16"/>
    </w:rPr>
  </w:style>
  <w:style w:type="character" w:styleId="Marquedecommentaire">
    <w:name w:val="annotation reference"/>
    <w:basedOn w:val="Policepardfaut"/>
    <w:uiPriority w:val="99"/>
    <w:semiHidden/>
    <w:unhideWhenUsed/>
    <w:rsid w:val="00B64EF4"/>
    <w:rPr>
      <w:sz w:val="16"/>
      <w:szCs w:val="16"/>
    </w:rPr>
  </w:style>
  <w:style w:type="paragraph" w:styleId="Commentaire">
    <w:name w:val="annotation text"/>
    <w:basedOn w:val="Normal"/>
    <w:link w:val="CommentaireCar"/>
    <w:uiPriority w:val="99"/>
    <w:unhideWhenUsed/>
    <w:rsid w:val="00B64EF4"/>
    <w:pPr>
      <w:spacing w:line="240" w:lineRule="auto"/>
    </w:pPr>
    <w:rPr>
      <w:sz w:val="20"/>
      <w:szCs w:val="20"/>
    </w:rPr>
  </w:style>
  <w:style w:type="character" w:customStyle="1" w:styleId="CommentaireCar">
    <w:name w:val="Commentaire Car"/>
    <w:basedOn w:val="Policepardfaut"/>
    <w:link w:val="Commentaire"/>
    <w:uiPriority w:val="99"/>
    <w:rsid w:val="00B64EF4"/>
    <w:rPr>
      <w:sz w:val="20"/>
      <w:szCs w:val="20"/>
    </w:rPr>
  </w:style>
  <w:style w:type="paragraph" w:styleId="Objetducommentaire">
    <w:name w:val="annotation subject"/>
    <w:basedOn w:val="Commentaire"/>
    <w:next w:val="Commentaire"/>
    <w:link w:val="ObjetducommentaireCar"/>
    <w:uiPriority w:val="99"/>
    <w:semiHidden/>
    <w:unhideWhenUsed/>
    <w:rsid w:val="00B64EF4"/>
    <w:rPr>
      <w:b/>
      <w:bCs/>
    </w:rPr>
  </w:style>
  <w:style w:type="character" w:customStyle="1" w:styleId="ObjetducommentaireCar">
    <w:name w:val="Objet du commentaire Car"/>
    <w:basedOn w:val="CommentaireCar"/>
    <w:link w:val="Objetducommentaire"/>
    <w:uiPriority w:val="99"/>
    <w:semiHidden/>
    <w:rsid w:val="00B64EF4"/>
    <w:rPr>
      <w:b/>
      <w:bCs/>
      <w:sz w:val="20"/>
      <w:szCs w:val="20"/>
    </w:rPr>
  </w:style>
  <w:style w:type="paragraph" w:styleId="TM2">
    <w:name w:val="toc 2"/>
    <w:basedOn w:val="Normal"/>
    <w:next w:val="Normal"/>
    <w:autoRedefine/>
    <w:uiPriority w:val="39"/>
    <w:unhideWhenUsed/>
    <w:rsid w:val="00145B03"/>
    <w:pPr>
      <w:tabs>
        <w:tab w:val="right" w:leader="dot" w:pos="9488"/>
      </w:tabs>
      <w:spacing w:after="0"/>
      <w:ind w:left="220"/>
    </w:pPr>
    <w:rPr>
      <w:rFonts w:eastAsiaTheme="majorEastAsia" w:cstheme="majorBidi"/>
      <w:bCs/>
      <w:smallCaps/>
      <w:noProof/>
      <w:sz w:val="20"/>
      <w:szCs w:val="20"/>
    </w:rPr>
  </w:style>
  <w:style w:type="paragraph" w:styleId="TM3">
    <w:name w:val="toc 3"/>
    <w:basedOn w:val="Normal"/>
    <w:next w:val="Normal"/>
    <w:autoRedefine/>
    <w:uiPriority w:val="39"/>
    <w:unhideWhenUsed/>
    <w:rsid w:val="007C2D04"/>
    <w:pPr>
      <w:spacing w:after="0"/>
      <w:ind w:left="440"/>
    </w:pPr>
    <w:rPr>
      <w:rFonts w:cstheme="minorHAnsi"/>
      <w:i/>
      <w:iCs/>
      <w:sz w:val="20"/>
      <w:szCs w:val="20"/>
    </w:rPr>
  </w:style>
  <w:style w:type="paragraph" w:styleId="TM4">
    <w:name w:val="toc 4"/>
    <w:basedOn w:val="Normal"/>
    <w:next w:val="Normal"/>
    <w:autoRedefine/>
    <w:uiPriority w:val="39"/>
    <w:unhideWhenUsed/>
    <w:rsid w:val="007C2D04"/>
    <w:pPr>
      <w:spacing w:after="0"/>
      <w:ind w:left="660"/>
    </w:pPr>
    <w:rPr>
      <w:rFonts w:cstheme="minorHAnsi"/>
      <w:sz w:val="18"/>
      <w:szCs w:val="18"/>
    </w:rPr>
  </w:style>
  <w:style w:type="paragraph" w:styleId="TM5">
    <w:name w:val="toc 5"/>
    <w:basedOn w:val="Normal"/>
    <w:next w:val="Normal"/>
    <w:autoRedefine/>
    <w:uiPriority w:val="39"/>
    <w:unhideWhenUsed/>
    <w:rsid w:val="007C2D04"/>
    <w:pPr>
      <w:spacing w:after="0"/>
      <w:ind w:left="880"/>
    </w:pPr>
    <w:rPr>
      <w:rFonts w:cstheme="minorHAnsi"/>
      <w:sz w:val="18"/>
      <w:szCs w:val="18"/>
    </w:rPr>
  </w:style>
  <w:style w:type="paragraph" w:styleId="TM6">
    <w:name w:val="toc 6"/>
    <w:basedOn w:val="Normal"/>
    <w:next w:val="Normal"/>
    <w:autoRedefine/>
    <w:uiPriority w:val="39"/>
    <w:unhideWhenUsed/>
    <w:rsid w:val="007C2D04"/>
    <w:pPr>
      <w:spacing w:after="0"/>
      <w:ind w:left="1100"/>
    </w:pPr>
    <w:rPr>
      <w:rFonts w:cstheme="minorHAnsi"/>
      <w:sz w:val="18"/>
      <w:szCs w:val="18"/>
    </w:rPr>
  </w:style>
  <w:style w:type="paragraph" w:styleId="TM7">
    <w:name w:val="toc 7"/>
    <w:basedOn w:val="Normal"/>
    <w:next w:val="Normal"/>
    <w:autoRedefine/>
    <w:uiPriority w:val="39"/>
    <w:unhideWhenUsed/>
    <w:rsid w:val="007C2D04"/>
    <w:pPr>
      <w:spacing w:after="0"/>
      <w:ind w:left="1320"/>
    </w:pPr>
    <w:rPr>
      <w:rFonts w:cstheme="minorHAnsi"/>
      <w:sz w:val="18"/>
      <w:szCs w:val="18"/>
    </w:rPr>
  </w:style>
  <w:style w:type="paragraph" w:styleId="TM8">
    <w:name w:val="toc 8"/>
    <w:basedOn w:val="Normal"/>
    <w:next w:val="Normal"/>
    <w:autoRedefine/>
    <w:uiPriority w:val="39"/>
    <w:unhideWhenUsed/>
    <w:rsid w:val="007C2D04"/>
    <w:pPr>
      <w:spacing w:after="0"/>
      <w:ind w:left="1540"/>
    </w:pPr>
    <w:rPr>
      <w:rFonts w:cstheme="minorHAnsi"/>
      <w:sz w:val="18"/>
      <w:szCs w:val="18"/>
    </w:rPr>
  </w:style>
  <w:style w:type="paragraph" w:styleId="TM9">
    <w:name w:val="toc 9"/>
    <w:basedOn w:val="Normal"/>
    <w:next w:val="Normal"/>
    <w:autoRedefine/>
    <w:uiPriority w:val="39"/>
    <w:unhideWhenUsed/>
    <w:rsid w:val="007C2D04"/>
    <w:pPr>
      <w:spacing w:after="0"/>
      <w:ind w:left="1760"/>
    </w:pPr>
    <w:rPr>
      <w:rFonts w:cstheme="minorHAnsi"/>
      <w:sz w:val="18"/>
      <w:szCs w:val="18"/>
    </w:rPr>
  </w:style>
  <w:style w:type="character" w:customStyle="1" w:styleId="Titre2Car">
    <w:name w:val="Titre 2 Car"/>
    <w:basedOn w:val="Policepardfaut"/>
    <w:link w:val="Titre2"/>
    <w:uiPriority w:val="9"/>
    <w:rsid w:val="002959C6"/>
    <w:rPr>
      <w:rFonts w:eastAsiaTheme="majorEastAsia" w:cstheme="majorBidi"/>
      <w:b/>
      <w:bCs/>
      <w:smallCaps/>
      <w:color w:val="4A442A" w:themeColor="background2" w:themeShade="40"/>
      <w:sz w:val="28"/>
      <w:szCs w:val="26"/>
      <w:shd w:val="clear" w:color="auto" w:fill="EEECE1" w:themeFill="background2"/>
    </w:rPr>
  </w:style>
  <w:style w:type="paragraph" w:customStyle="1" w:styleId="CM1">
    <w:name w:val="CM1"/>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05AD2"/>
    <w:pPr>
      <w:autoSpaceDE w:val="0"/>
      <w:autoSpaceDN w:val="0"/>
      <w:adjustRightInd w:val="0"/>
      <w:spacing w:after="0" w:line="240" w:lineRule="auto"/>
    </w:pPr>
    <w:rPr>
      <w:rFonts w:ascii="EUAlbertina" w:hAnsi="EUAlbertina"/>
      <w:sz w:val="24"/>
      <w:szCs w:val="24"/>
    </w:rPr>
  </w:style>
  <w:style w:type="paragraph" w:styleId="En-tte">
    <w:name w:val="header"/>
    <w:basedOn w:val="Normal"/>
    <w:link w:val="En-tteCar"/>
    <w:uiPriority w:val="99"/>
    <w:unhideWhenUsed/>
    <w:rsid w:val="00A92055"/>
    <w:pPr>
      <w:tabs>
        <w:tab w:val="center" w:pos="4536"/>
        <w:tab w:val="right" w:pos="9072"/>
      </w:tabs>
      <w:spacing w:after="0" w:line="240" w:lineRule="auto"/>
    </w:pPr>
  </w:style>
  <w:style w:type="character" w:customStyle="1" w:styleId="En-tteCar">
    <w:name w:val="En-tête Car"/>
    <w:basedOn w:val="Policepardfaut"/>
    <w:link w:val="En-tte"/>
    <w:uiPriority w:val="99"/>
    <w:rsid w:val="00A92055"/>
  </w:style>
  <w:style w:type="paragraph" w:styleId="Pieddepage">
    <w:name w:val="footer"/>
    <w:basedOn w:val="Normal"/>
    <w:link w:val="PieddepageCar"/>
    <w:uiPriority w:val="99"/>
    <w:unhideWhenUsed/>
    <w:rsid w:val="00A92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055"/>
  </w:style>
  <w:style w:type="paragraph" w:styleId="Notedebasdepage">
    <w:name w:val="footnote text"/>
    <w:basedOn w:val="Normal"/>
    <w:link w:val="NotedebasdepageCar"/>
    <w:uiPriority w:val="99"/>
    <w:semiHidden/>
    <w:unhideWhenUsed/>
    <w:rsid w:val="003740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740AF"/>
    <w:rPr>
      <w:sz w:val="20"/>
      <w:szCs w:val="20"/>
    </w:rPr>
  </w:style>
  <w:style w:type="character" w:styleId="Appelnotedebasdep">
    <w:name w:val="footnote reference"/>
    <w:basedOn w:val="Policepardfaut"/>
    <w:uiPriority w:val="99"/>
    <w:semiHidden/>
    <w:unhideWhenUsed/>
    <w:rsid w:val="003740AF"/>
    <w:rPr>
      <w:vertAlign w:val="superscript"/>
    </w:rPr>
  </w:style>
  <w:style w:type="table" w:customStyle="1" w:styleId="Ombrageclair1">
    <w:name w:val="Ombrage clair1"/>
    <w:basedOn w:val="TableauNormal"/>
    <w:uiPriority w:val="60"/>
    <w:rsid w:val="007A07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3Car">
    <w:name w:val="Titre 3 Car"/>
    <w:basedOn w:val="Policepardfaut"/>
    <w:link w:val="Titre3"/>
    <w:uiPriority w:val="9"/>
    <w:rsid w:val="00EA5AA4"/>
    <w:rPr>
      <w:rFonts w:asciiTheme="majorHAnsi" w:eastAsiaTheme="majorEastAsia" w:hAnsiTheme="majorHAnsi" w:cstheme="majorBidi"/>
      <w:b/>
      <w:bCs/>
      <w:color w:val="948A54" w:themeColor="background2" w:themeShade="80"/>
      <w:sz w:val="28"/>
    </w:rPr>
  </w:style>
  <w:style w:type="character" w:styleId="lev">
    <w:name w:val="Strong"/>
    <w:basedOn w:val="Policepardfaut"/>
    <w:uiPriority w:val="22"/>
    <w:qFormat/>
    <w:rsid w:val="004E4A9A"/>
    <w:rPr>
      <w:b/>
      <w:bCs/>
    </w:rPr>
  </w:style>
  <w:style w:type="character" w:styleId="Lienhypertextesuivivisit">
    <w:name w:val="FollowedHyperlink"/>
    <w:basedOn w:val="Policepardfaut"/>
    <w:uiPriority w:val="99"/>
    <w:semiHidden/>
    <w:unhideWhenUsed/>
    <w:rsid w:val="00925774"/>
    <w:rPr>
      <w:color w:val="800080" w:themeColor="followedHyperlink"/>
      <w:u w:val="single"/>
    </w:rPr>
  </w:style>
  <w:style w:type="character" w:styleId="Appeldenotedefin">
    <w:name w:val="endnote reference"/>
    <w:basedOn w:val="Policepardfaut"/>
    <w:uiPriority w:val="99"/>
    <w:semiHidden/>
    <w:unhideWhenUsed/>
    <w:rsid w:val="00DC7BBC"/>
    <w:rPr>
      <w:vertAlign w:val="superscript"/>
    </w:rPr>
  </w:style>
  <w:style w:type="paragraph" w:styleId="NormalWeb">
    <w:name w:val="Normal (Web)"/>
    <w:basedOn w:val="Normal"/>
    <w:uiPriority w:val="99"/>
    <w:unhideWhenUsed/>
    <w:rsid w:val="00B26239"/>
    <w:pPr>
      <w:spacing w:before="100" w:beforeAutospacing="1" w:after="100" w:afterAutospacing="1" w:line="240" w:lineRule="auto"/>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8303">
      <w:bodyDiv w:val="1"/>
      <w:marLeft w:val="0"/>
      <w:marRight w:val="0"/>
      <w:marTop w:val="0"/>
      <w:marBottom w:val="0"/>
      <w:divBdr>
        <w:top w:val="none" w:sz="0" w:space="0" w:color="auto"/>
        <w:left w:val="none" w:sz="0" w:space="0" w:color="auto"/>
        <w:bottom w:val="none" w:sz="0" w:space="0" w:color="auto"/>
        <w:right w:val="none" w:sz="0" w:space="0" w:color="auto"/>
      </w:divBdr>
    </w:div>
    <w:div w:id="78020296">
      <w:bodyDiv w:val="1"/>
      <w:marLeft w:val="0"/>
      <w:marRight w:val="0"/>
      <w:marTop w:val="0"/>
      <w:marBottom w:val="0"/>
      <w:divBdr>
        <w:top w:val="none" w:sz="0" w:space="0" w:color="auto"/>
        <w:left w:val="none" w:sz="0" w:space="0" w:color="auto"/>
        <w:bottom w:val="none" w:sz="0" w:space="0" w:color="auto"/>
        <w:right w:val="none" w:sz="0" w:space="0" w:color="auto"/>
      </w:divBdr>
    </w:div>
    <w:div w:id="245848727">
      <w:bodyDiv w:val="1"/>
      <w:marLeft w:val="0"/>
      <w:marRight w:val="0"/>
      <w:marTop w:val="0"/>
      <w:marBottom w:val="0"/>
      <w:divBdr>
        <w:top w:val="none" w:sz="0" w:space="0" w:color="auto"/>
        <w:left w:val="none" w:sz="0" w:space="0" w:color="auto"/>
        <w:bottom w:val="none" w:sz="0" w:space="0" w:color="auto"/>
        <w:right w:val="none" w:sz="0" w:space="0" w:color="auto"/>
      </w:divBdr>
    </w:div>
    <w:div w:id="261693833">
      <w:bodyDiv w:val="1"/>
      <w:marLeft w:val="0"/>
      <w:marRight w:val="0"/>
      <w:marTop w:val="0"/>
      <w:marBottom w:val="0"/>
      <w:divBdr>
        <w:top w:val="none" w:sz="0" w:space="0" w:color="auto"/>
        <w:left w:val="none" w:sz="0" w:space="0" w:color="auto"/>
        <w:bottom w:val="none" w:sz="0" w:space="0" w:color="auto"/>
        <w:right w:val="none" w:sz="0" w:space="0" w:color="auto"/>
      </w:divBdr>
    </w:div>
    <w:div w:id="265508592">
      <w:bodyDiv w:val="1"/>
      <w:marLeft w:val="0"/>
      <w:marRight w:val="0"/>
      <w:marTop w:val="0"/>
      <w:marBottom w:val="0"/>
      <w:divBdr>
        <w:top w:val="none" w:sz="0" w:space="0" w:color="auto"/>
        <w:left w:val="none" w:sz="0" w:space="0" w:color="auto"/>
        <w:bottom w:val="none" w:sz="0" w:space="0" w:color="auto"/>
        <w:right w:val="none" w:sz="0" w:space="0" w:color="auto"/>
      </w:divBdr>
    </w:div>
    <w:div w:id="300118481">
      <w:bodyDiv w:val="1"/>
      <w:marLeft w:val="0"/>
      <w:marRight w:val="0"/>
      <w:marTop w:val="0"/>
      <w:marBottom w:val="0"/>
      <w:divBdr>
        <w:top w:val="none" w:sz="0" w:space="0" w:color="auto"/>
        <w:left w:val="none" w:sz="0" w:space="0" w:color="auto"/>
        <w:bottom w:val="none" w:sz="0" w:space="0" w:color="auto"/>
        <w:right w:val="none" w:sz="0" w:space="0" w:color="auto"/>
      </w:divBdr>
    </w:div>
    <w:div w:id="409544020">
      <w:bodyDiv w:val="1"/>
      <w:marLeft w:val="0"/>
      <w:marRight w:val="0"/>
      <w:marTop w:val="0"/>
      <w:marBottom w:val="0"/>
      <w:divBdr>
        <w:top w:val="none" w:sz="0" w:space="0" w:color="auto"/>
        <w:left w:val="none" w:sz="0" w:space="0" w:color="auto"/>
        <w:bottom w:val="none" w:sz="0" w:space="0" w:color="auto"/>
        <w:right w:val="none" w:sz="0" w:space="0" w:color="auto"/>
      </w:divBdr>
    </w:div>
    <w:div w:id="428892623">
      <w:bodyDiv w:val="1"/>
      <w:marLeft w:val="0"/>
      <w:marRight w:val="0"/>
      <w:marTop w:val="0"/>
      <w:marBottom w:val="0"/>
      <w:divBdr>
        <w:top w:val="none" w:sz="0" w:space="0" w:color="auto"/>
        <w:left w:val="none" w:sz="0" w:space="0" w:color="auto"/>
        <w:bottom w:val="none" w:sz="0" w:space="0" w:color="auto"/>
        <w:right w:val="none" w:sz="0" w:space="0" w:color="auto"/>
      </w:divBdr>
    </w:div>
    <w:div w:id="476604068">
      <w:bodyDiv w:val="1"/>
      <w:marLeft w:val="0"/>
      <w:marRight w:val="0"/>
      <w:marTop w:val="0"/>
      <w:marBottom w:val="0"/>
      <w:divBdr>
        <w:top w:val="none" w:sz="0" w:space="0" w:color="auto"/>
        <w:left w:val="none" w:sz="0" w:space="0" w:color="auto"/>
        <w:bottom w:val="none" w:sz="0" w:space="0" w:color="auto"/>
        <w:right w:val="none" w:sz="0" w:space="0" w:color="auto"/>
      </w:divBdr>
    </w:div>
    <w:div w:id="483932017">
      <w:bodyDiv w:val="1"/>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
      </w:divsChild>
    </w:div>
    <w:div w:id="519003036">
      <w:bodyDiv w:val="1"/>
      <w:marLeft w:val="0"/>
      <w:marRight w:val="0"/>
      <w:marTop w:val="0"/>
      <w:marBottom w:val="0"/>
      <w:divBdr>
        <w:top w:val="none" w:sz="0" w:space="0" w:color="auto"/>
        <w:left w:val="none" w:sz="0" w:space="0" w:color="auto"/>
        <w:bottom w:val="none" w:sz="0" w:space="0" w:color="auto"/>
        <w:right w:val="none" w:sz="0" w:space="0" w:color="auto"/>
      </w:divBdr>
    </w:div>
    <w:div w:id="569777348">
      <w:bodyDiv w:val="1"/>
      <w:marLeft w:val="0"/>
      <w:marRight w:val="0"/>
      <w:marTop w:val="0"/>
      <w:marBottom w:val="0"/>
      <w:divBdr>
        <w:top w:val="none" w:sz="0" w:space="0" w:color="auto"/>
        <w:left w:val="none" w:sz="0" w:space="0" w:color="auto"/>
        <w:bottom w:val="none" w:sz="0" w:space="0" w:color="auto"/>
        <w:right w:val="none" w:sz="0" w:space="0" w:color="auto"/>
      </w:divBdr>
    </w:div>
    <w:div w:id="742222040">
      <w:bodyDiv w:val="1"/>
      <w:marLeft w:val="0"/>
      <w:marRight w:val="0"/>
      <w:marTop w:val="0"/>
      <w:marBottom w:val="0"/>
      <w:divBdr>
        <w:top w:val="none" w:sz="0" w:space="0" w:color="auto"/>
        <w:left w:val="none" w:sz="0" w:space="0" w:color="auto"/>
        <w:bottom w:val="none" w:sz="0" w:space="0" w:color="auto"/>
        <w:right w:val="none" w:sz="0" w:space="0" w:color="auto"/>
      </w:divBdr>
    </w:div>
    <w:div w:id="776677076">
      <w:bodyDiv w:val="1"/>
      <w:marLeft w:val="0"/>
      <w:marRight w:val="0"/>
      <w:marTop w:val="0"/>
      <w:marBottom w:val="0"/>
      <w:divBdr>
        <w:top w:val="none" w:sz="0" w:space="0" w:color="auto"/>
        <w:left w:val="none" w:sz="0" w:space="0" w:color="auto"/>
        <w:bottom w:val="none" w:sz="0" w:space="0" w:color="auto"/>
        <w:right w:val="none" w:sz="0" w:space="0" w:color="auto"/>
      </w:divBdr>
    </w:div>
    <w:div w:id="783428949">
      <w:bodyDiv w:val="1"/>
      <w:marLeft w:val="0"/>
      <w:marRight w:val="0"/>
      <w:marTop w:val="0"/>
      <w:marBottom w:val="0"/>
      <w:divBdr>
        <w:top w:val="none" w:sz="0" w:space="0" w:color="auto"/>
        <w:left w:val="none" w:sz="0" w:space="0" w:color="auto"/>
        <w:bottom w:val="none" w:sz="0" w:space="0" w:color="auto"/>
        <w:right w:val="none" w:sz="0" w:space="0" w:color="auto"/>
      </w:divBdr>
    </w:div>
    <w:div w:id="829830452">
      <w:bodyDiv w:val="1"/>
      <w:marLeft w:val="0"/>
      <w:marRight w:val="0"/>
      <w:marTop w:val="0"/>
      <w:marBottom w:val="0"/>
      <w:divBdr>
        <w:top w:val="none" w:sz="0" w:space="0" w:color="auto"/>
        <w:left w:val="none" w:sz="0" w:space="0" w:color="auto"/>
        <w:bottom w:val="none" w:sz="0" w:space="0" w:color="auto"/>
        <w:right w:val="none" w:sz="0" w:space="0" w:color="auto"/>
      </w:divBdr>
    </w:div>
    <w:div w:id="841506080">
      <w:bodyDiv w:val="1"/>
      <w:marLeft w:val="0"/>
      <w:marRight w:val="0"/>
      <w:marTop w:val="0"/>
      <w:marBottom w:val="0"/>
      <w:divBdr>
        <w:top w:val="none" w:sz="0" w:space="0" w:color="auto"/>
        <w:left w:val="none" w:sz="0" w:space="0" w:color="auto"/>
        <w:bottom w:val="none" w:sz="0" w:space="0" w:color="auto"/>
        <w:right w:val="none" w:sz="0" w:space="0" w:color="auto"/>
      </w:divBdr>
    </w:div>
    <w:div w:id="935821012">
      <w:bodyDiv w:val="1"/>
      <w:marLeft w:val="0"/>
      <w:marRight w:val="0"/>
      <w:marTop w:val="0"/>
      <w:marBottom w:val="0"/>
      <w:divBdr>
        <w:top w:val="none" w:sz="0" w:space="0" w:color="auto"/>
        <w:left w:val="none" w:sz="0" w:space="0" w:color="auto"/>
        <w:bottom w:val="none" w:sz="0" w:space="0" w:color="auto"/>
        <w:right w:val="none" w:sz="0" w:space="0" w:color="auto"/>
      </w:divBdr>
    </w:div>
    <w:div w:id="958071700">
      <w:bodyDiv w:val="1"/>
      <w:marLeft w:val="0"/>
      <w:marRight w:val="0"/>
      <w:marTop w:val="0"/>
      <w:marBottom w:val="0"/>
      <w:divBdr>
        <w:top w:val="none" w:sz="0" w:space="0" w:color="auto"/>
        <w:left w:val="none" w:sz="0" w:space="0" w:color="auto"/>
        <w:bottom w:val="none" w:sz="0" w:space="0" w:color="auto"/>
        <w:right w:val="none" w:sz="0" w:space="0" w:color="auto"/>
      </w:divBdr>
    </w:div>
    <w:div w:id="1006439721">
      <w:bodyDiv w:val="1"/>
      <w:marLeft w:val="0"/>
      <w:marRight w:val="0"/>
      <w:marTop w:val="0"/>
      <w:marBottom w:val="0"/>
      <w:divBdr>
        <w:top w:val="none" w:sz="0" w:space="0" w:color="auto"/>
        <w:left w:val="none" w:sz="0" w:space="0" w:color="auto"/>
        <w:bottom w:val="none" w:sz="0" w:space="0" w:color="auto"/>
        <w:right w:val="none" w:sz="0" w:space="0" w:color="auto"/>
      </w:divBdr>
    </w:div>
    <w:div w:id="1149900070">
      <w:bodyDiv w:val="1"/>
      <w:marLeft w:val="0"/>
      <w:marRight w:val="0"/>
      <w:marTop w:val="0"/>
      <w:marBottom w:val="0"/>
      <w:divBdr>
        <w:top w:val="none" w:sz="0" w:space="0" w:color="auto"/>
        <w:left w:val="none" w:sz="0" w:space="0" w:color="auto"/>
        <w:bottom w:val="none" w:sz="0" w:space="0" w:color="auto"/>
        <w:right w:val="none" w:sz="0" w:space="0" w:color="auto"/>
      </w:divBdr>
    </w:div>
    <w:div w:id="1154763715">
      <w:bodyDiv w:val="1"/>
      <w:marLeft w:val="0"/>
      <w:marRight w:val="0"/>
      <w:marTop w:val="0"/>
      <w:marBottom w:val="0"/>
      <w:divBdr>
        <w:top w:val="none" w:sz="0" w:space="0" w:color="auto"/>
        <w:left w:val="none" w:sz="0" w:space="0" w:color="auto"/>
        <w:bottom w:val="none" w:sz="0" w:space="0" w:color="auto"/>
        <w:right w:val="none" w:sz="0" w:space="0" w:color="auto"/>
      </w:divBdr>
    </w:div>
    <w:div w:id="1226526404">
      <w:bodyDiv w:val="1"/>
      <w:marLeft w:val="0"/>
      <w:marRight w:val="0"/>
      <w:marTop w:val="0"/>
      <w:marBottom w:val="0"/>
      <w:divBdr>
        <w:top w:val="none" w:sz="0" w:space="0" w:color="auto"/>
        <w:left w:val="none" w:sz="0" w:space="0" w:color="auto"/>
        <w:bottom w:val="none" w:sz="0" w:space="0" w:color="auto"/>
        <w:right w:val="none" w:sz="0" w:space="0" w:color="auto"/>
      </w:divBdr>
    </w:div>
    <w:div w:id="1283615557">
      <w:bodyDiv w:val="1"/>
      <w:marLeft w:val="0"/>
      <w:marRight w:val="0"/>
      <w:marTop w:val="0"/>
      <w:marBottom w:val="0"/>
      <w:divBdr>
        <w:top w:val="none" w:sz="0" w:space="0" w:color="auto"/>
        <w:left w:val="none" w:sz="0" w:space="0" w:color="auto"/>
        <w:bottom w:val="none" w:sz="0" w:space="0" w:color="auto"/>
        <w:right w:val="none" w:sz="0" w:space="0" w:color="auto"/>
      </w:divBdr>
    </w:div>
    <w:div w:id="1325625463">
      <w:bodyDiv w:val="1"/>
      <w:marLeft w:val="0"/>
      <w:marRight w:val="0"/>
      <w:marTop w:val="0"/>
      <w:marBottom w:val="0"/>
      <w:divBdr>
        <w:top w:val="none" w:sz="0" w:space="0" w:color="auto"/>
        <w:left w:val="none" w:sz="0" w:space="0" w:color="auto"/>
        <w:bottom w:val="none" w:sz="0" w:space="0" w:color="auto"/>
        <w:right w:val="none" w:sz="0" w:space="0" w:color="auto"/>
      </w:divBdr>
    </w:div>
    <w:div w:id="1480803087">
      <w:bodyDiv w:val="1"/>
      <w:marLeft w:val="0"/>
      <w:marRight w:val="0"/>
      <w:marTop w:val="0"/>
      <w:marBottom w:val="0"/>
      <w:divBdr>
        <w:top w:val="none" w:sz="0" w:space="0" w:color="auto"/>
        <w:left w:val="none" w:sz="0" w:space="0" w:color="auto"/>
        <w:bottom w:val="none" w:sz="0" w:space="0" w:color="auto"/>
        <w:right w:val="none" w:sz="0" w:space="0" w:color="auto"/>
      </w:divBdr>
    </w:div>
    <w:div w:id="1509756547">
      <w:bodyDiv w:val="1"/>
      <w:marLeft w:val="0"/>
      <w:marRight w:val="0"/>
      <w:marTop w:val="0"/>
      <w:marBottom w:val="0"/>
      <w:divBdr>
        <w:top w:val="none" w:sz="0" w:space="0" w:color="auto"/>
        <w:left w:val="none" w:sz="0" w:space="0" w:color="auto"/>
        <w:bottom w:val="none" w:sz="0" w:space="0" w:color="auto"/>
        <w:right w:val="none" w:sz="0" w:space="0" w:color="auto"/>
      </w:divBdr>
    </w:div>
    <w:div w:id="1571042114">
      <w:bodyDiv w:val="1"/>
      <w:marLeft w:val="0"/>
      <w:marRight w:val="0"/>
      <w:marTop w:val="0"/>
      <w:marBottom w:val="0"/>
      <w:divBdr>
        <w:top w:val="none" w:sz="0" w:space="0" w:color="auto"/>
        <w:left w:val="none" w:sz="0" w:space="0" w:color="auto"/>
        <w:bottom w:val="none" w:sz="0" w:space="0" w:color="auto"/>
        <w:right w:val="none" w:sz="0" w:space="0" w:color="auto"/>
      </w:divBdr>
    </w:div>
    <w:div w:id="1796874018">
      <w:bodyDiv w:val="1"/>
      <w:marLeft w:val="0"/>
      <w:marRight w:val="0"/>
      <w:marTop w:val="0"/>
      <w:marBottom w:val="0"/>
      <w:divBdr>
        <w:top w:val="none" w:sz="0" w:space="0" w:color="auto"/>
        <w:left w:val="none" w:sz="0" w:space="0" w:color="auto"/>
        <w:bottom w:val="none" w:sz="0" w:space="0" w:color="auto"/>
        <w:right w:val="none" w:sz="0" w:space="0" w:color="auto"/>
      </w:divBdr>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
    <w:div w:id="2022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marches-simplifiees.fr/commencer/ns_international_registration_procedure" TargetMode="External"/><Relationship Id="rId18" Type="http://schemas.openxmlformats.org/officeDocument/2006/relationships/hyperlink" Target="file:///\\ANSP.LOCAL\ANSP\DIRECTIONS\DPPS\NAP\MARKETING%20SOCIAL\Etiquetage%20Nutritionnel\2021\FAQ\nutriscore.b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nutriscore@santepubliquefrance.fr" TargetMode="External"/><Relationship Id="rId7" Type="http://schemas.openxmlformats.org/officeDocument/2006/relationships/endnotes" Target="endnotes.xml"/><Relationship Id="rId12" Type="http://schemas.openxmlformats.org/officeDocument/2006/relationships/hyperlink" Target="https://www.demarches-simplifiees.fr/commencer/nutri-score_enregistrement_france" TargetMode="External"/><Relationship Id="rId17" Type="http://schemas.openxmlformats.org/officeDocument/2006/relationships/hyperlink" Target="https://www.bmel.de/SharedDocs/Downloads/DE/_Ernaehrung/Lebensmittel-Kennzeichnung/markensatzung.pdf?__blob=publicationFile&amp;v=3"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tepubliquefrance.fr/determinants-de-sante/nutrition-et-activite-physique/articles/nutri-score" TargetMode="External"/><Relationship Id="rId20" Type="http://schemas.openxmlformats.org/officeDocument/2006/relationships/hyperlink" Target="https://mpc.gouvernement.lu/fr/le-ministere/consodur/consommateurs.htm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arches-simplifiees.fr/commencer/ns_international_registration_procedure"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marches-simplifiees.fr/commencer/ns_international_registration_procedure"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www.demarches-simplifiees.fr/commencer/nutri-score_enregistrement_france" TargetMode="External"/><Relationship Id="rId19" Type="http://schemas.openxmlformats.org/officeDocument/2006/relationships/hyperlink" Target="https://www.blv.admin.ch/blv/de/home/lebensmittel-und-ernaehrung/ernaehrung/nutri-score/nutri-score-lebensmittelproduzenten.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ntepubliquefrance.fr/Sante-publique-France/Nutri-Score" TargetMode="External"/><Relationship Id="rId14" Type="http://schemas.openxmlformats.org/officeDocument/2006/relationships/hyperlink" Target="https://www.demarches-simplifiees.fr/commencer/nutri-score_enregistrement_franc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C602A4-206F-4DE7-904A-B5E31E93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13635</Words>
  <Characters>74993</Characters>
  <Application>Microsoft Office Word</Application>
  <DocSecurity>0</DocSecurity>
  <Lines>624</Lines>
  <Paragraphs>176</Paragraphs>
  <ScaleCrop>false</ScaleCrop>
  <HeadingPairs>
    <vt:vector size="2" baseType="variant">
      <vt:variant>
        <vt:lpstr>Titre</vt:lpstr>
      </vt:variant>
      <vt:variant>
        <vt:i4>1</vt:i4>
      </vt:variant>
    </vt:vector>
  </HeadingPairs>
  <TitlesOfParts>
    <vt:vector size="1" baseType="lpstr">
      <vt:lpstr/>
    </vt:vector>
  </TitlesOfParts>
  <Company>InVS</Company>
  <LinksUpToDate>false</LinksUpToDate>
  <CharactersWithSpaces>88452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Manon-Océane Taravella</dc:creator>
  <cp:lastModifiedBy>Dominique Rigaut (SPF Santé Publique - FOD Volksgezondheid)</cp:lastModifiedBy>
  <cp:revision>2</cp:revision>
  <cp:lastPrinted>2021-07-21T15:44:00Z</cp:lastPrinted>
  <dcterms:created xsi:type="dcterms:W3CDTF">2021-09-24T09:25:00Z</dcterms:created>
  <dcterms:modified xsi:type="dcterms:W3CDTF">2021-09-24T09:25:00Z</dcterms:modified>
</cp:coreProperties>
</file>