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58" w:rsidRPr="003F09D9" w:rsidRDefault="008643B4" w:rsidP="00C50059">
      <w:pPr>
        <w:pStyle w:val="Contactgegevens"/>
        <w:jc w:val="left"/>
        <w:rPr>
          <w:sz w:val="20"/>
          <w:szCs w:val="20"/>
        </w:rPr>
      </w:pPr>
      <w:bookmarkStart w:id="0" w:name="_GoBack"/>
      <w:bookmarkEnd w:id="0"/>
      <w:r w:rsidRPr="00C50059">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8265DC">
                              <w:rPr>
                                <w:rStyle w:val="Nadruk"/>
                                <w:sz w:val="20"/>
                                <w:szCs w:val="20"/>
                              </w:rPr>
                              <w:t>-</w:t>
                            </w:r>
                            <w:r w:rsidRPr="003F09D9">
                              <w:rPr>
                                <w:rStyle w:val="Nadruk"/>
                                <w:sz w:val="20"/>
                                <w:szCs w:val="20"/>
                              </w:rPr>
                              <w:t>mail</w:t>
                            </w:r>
                            <w:r w:rsidR="008265DC">
                              <w:rPr>
                                <w:rStyle w:val="Nadruk"/>
                                <w:sz w:val="20"/>
                                <w:szCs w:val="20"/>
                              </w:rPr>
                              <w:t>adres</w:t>
                            </w:r>
                            <w:r w:rsidRPr="003F09D9">
                              <w:rPr>
                                <w:rStyle w:val="Nadruk"/>
                                <w:sz w:val="20"/>
                                <w:szCs w:val="20"/>
                              </w:rPr>
                              <w:t xml:space="preserve"> contactpersoon voor deze template: </w:t>
                            </w:r>
                          </w:p>
                          <w:p w:rsidR="00B14F8C" w:rsidRDefault="00B14F8C" w:rsidP="00C50059">
                            <w:pPr>
                              <w:pStyle w:val="Contactgegevens"/>
                              <w:spacing w:before="0"/>
                              <w:jc w:val="left"/>
                              <w:rPr>
                                <w:rStyle w:val="Nadruk"/>
                                <w:sz w:val="20"/>
                                <w:szCs w:val="20"/>
                              </w:rPr>
                            </w:pPr>
                          </w:p>
                          <w:p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FB35DA">
                              <w:rPr>
                                <w:rStyle w:val="Nadruk"/>
                                <w:b/>
                                <w:sz w:val="20"/>
                                <w:szCs w:val="20"/>
                              </w:rPr>
                              <w:t>2020</w:t>
                            </w:r>
                          </w:p>
                          <w:p w:rsidR="00B14F8C" w:rsidRPr="003F09D9" w:rsidRDefault="00B14F8C" w:rsidP="00C50059">
                            <w:pPr>
                              <w:pStyle w:val="Contactgegevens"/>
                              <w:spacing w:before="0"/>
                              <w:jc w:val="left"/>
                              <w:rPr>
                                <w:rStyle w:val="Nadruk"/>
                                <w:sz w:val="20"/>
                                <w:szCs w:val="20"/>
                              </w:rPr>
                            </w:pPr>
                          </w:p>
                          <w:p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8265DC">
                        <w:rPr>
                          <w:rStyle w:val="Nadruk"/>
                          <w:sz w:val="20"/>
                          <w:szCs w:val="20"/>
                        </w:rPr>
                        <w:t>-</w:t>
                      </w:r>
                      <w:r w:rsidRPr="003F09D9">
                        <w:rPr>
                          <w:rStyle w:val="Nadruk"/>
                          <w:sz w:val="20"/>
                          <w:szCs w:val="20"/>
                        </w:rPr>
                        <w:t>mail</w:t>
                      </w:r>
                      <w:r w:rsidR="008265DC">
                        <w:rPr>
                          <w:rStyle w:val="Nadruk"/>
                          <w:sz w:val="20"/>
                          <w:szCs w:val="20"/>
                        </w:rPr>
                        <w:t>adres</w:t>
                      </w:r>
                      <w:r w:rsidRPr="003F09D9">
                        <w:rPr>
                          <w:rStyle w:val="Nadruk"/>
                          <w:sz w:val="20"/>
                          <w:szCs w:val="20"/>
                        </w:rPr>
                        <w:t xml:space="preserve"> contactpersoon voor deze template: </w:t>
                      </w:r>
                    </w:p>
                    <w:p w:rsidR="00B14F8C" w:rsidRDefault="00B14F8C" w:rsidP="00C50059">
                      <w:pPr>
                        <w:pStyle w:val="Contactgegevens"/>
                        <w:spacing w:before="0"/>
                        <w:jc w:val="left"/>
                        <w:rPr>
                          <w:rStyle w:val="Nadruk"/>
                          <w:sz w:val="20"/>
                          <w:szCs w:val="20"/>
                        </w:rPr>
                      </w:pPr>
                    </w:p>
                    <w:p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FB35DA">
                        <w:rPr>
                          <w:rStyle w:val="Nadruk"/>
                          <w:b/>
                          <w:sz w:val="20"/>
                          <w:szCs w:val="20"/>
                        </w:rPr>
                        <w:t>2020</w:t>
                      </w:r>
                    </w:p>
                    <w:p w:rsidR="00B14F8C" w:rsidRPr="003F09D9" w:rsidRDefault="00B14F8C" w:rsidP="00C50059">
                      <w:pPr>
                        <w:pStyle w:val="Contactgegevens"/>
                        <w:spacing w:before="0"/>
                        <w:jc w:val="left"/>
                        <w:rPr>
                          <w:rStyle w:val="Nadruk"/>
                          <w:sz w:val="20"/>
                          <w:szCs w:val="20"/>
                        </w:rPr>
                      </w:pPr>
                    </w:p>
                    <w:p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pt-PT"/>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rsidR="00AE3D58" w:rsidRPr="005A7995" w:rsidRDefault="000A421D" w:rsidP="003F09D9">
          <w:pPr>
            <w:pStyle w:val="Naam"/>
            <w:jc w:val="both"/>
            <w:rPr>
              <w:sz w:val="28"/>
              <w:lang w:val="pt-PT"/>
            </w:rPr>
          </w:pPr>
          <w:r>
            <w:rPr>
              <w:sz w:val="28"/>
              <w:lang w:val="pt-PT"/>
            </w:rPr>
            <w:t>Template Valincidenten (criteria B4-B8-B12)</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rsidTr="00A87357">
        <w:tc>
          <w:tcPr>
            <w:tcW w:w="1701" w:type="dxa"/>
          </w:tcPr>
          <w:p w:rsidR="0067499A" w:rsidRDefault="0067499A" w:rsidP="0067499A">
            <w:pPr>
              <w:pStyle w:val="Kop1"/>
              <w:jc w:val="left"/>
              <w:rPr>
                <w:lang w:bidi="nl-NL"/>
              </w:rPr>
            </w:pPr>
            <w:r>
              <w:rPr>
                <w:lang w:bidi="nl-NL"/>
              </w:rPr>
              <w:t>INFO</w:t>
            </w:r>
          </w:p>
        </w:tc>
        <w:tc>
          <w:tcPr>
            <w:tcW w:w="445" w:type="dxa"/>
          </w:tcPr>
          <w:p w:rsidR="0067499A" w:rsidRDefault="0067499A"/>
        </w:tc>
        <w:tc>
          <w:tcPr>
            <w:tcW w:w="7530" w:type="dxa"/>
          </w:tcPr>
          <w:p w:rsidR="0012399A" w:rsidRPr="003D799D" w:rsidRDefault="00BC44B2" w:rsidP="0067499A">
            <w:pPr>
              <w:jc w:val="both"/>
              <w:rPr>
                <w:lang w:val="nl-BE"/>
              </w:rPr>
            </w:pPr>
            <w:r w:rsidRPr="00BC44B2">
              <w:rPr>
                <w:lang w:val="nl-BE"/>
              </w:rPr>
              <w:t xml:space="preserve">Voor pijler </w:t>
            </w:r>
            <w:r w:rsidR="000817AD">
              <w:rPr>
                <w:lang w:val="nl-BE"/>
              </w:rPr>
              <w:t>2</w:t>
            </w:r>
            <w:r w:rsidR="0012399A">
              <w:rPr>
                <w:lang w:val="nl-BE"/>
              </w:rPr>
              <w:t xml:space="preserve"> (</w:t>
            </w:r>
            <w:r w:rsidR="000817AD">
              <w:rPr>
                <w:lang w:val="nl-BE"/>
              </w:rPr>
              <w:t>klinisch risicomanagement</w:t>
            </w:r>
            <w:r w:rsidR="0012399A">
              <w:rPr>
                <w:lang w:val="nl-BE"/>
              </w:rPr>
              <w:t>)</w:t>
            </w:r>
            <w:r w:rsidRPr="00BC44B2">
              <w:rPr>
                <w:lang w:val="nl-BE"/>
              </w:rPr>
              <w:t xml:space="preserve"> is het thema ‘</w:t>
            </w:r>
            <w:r w:rsidR="004A16FE">
              <w:rPr>
                <w:lang w:val="nl-BE"/>
              </w:rPr>
              <w:t>valincidenten</w:t>
            </w:r>
            <w:r w:rsidRPr="00BC44B2">
              <w:rPr>
                <w:lang w:val="nl-BE"/>
              </w:rPr>
              <w:t xml:space="preserve">’ een </w:t>
            </w:r>
            <w:r w:rsidR="00E96A6F" w:rsidRPr="00E96A6F">
              <w:rPr>
                <w:b/>
                <w:lang w:val="nl-BE"/>
              </w:rPr>
              <w:t>keuze</w:t>
            </w:r>
            <w:r w:rsidRPr="00E96A6F">
              <w:rPr>
                <w:b/>
                <w:lang w:val="nl-BE"/>
              </w:rPr>
              <w:t>thema</w:t>
            </w:r>
            <w:r w:rsidRPr="00BC44B2">
              <w:rPr>
                <w:lang w:val="nl-BE"/>
              </w:rPr>
              <w:t xml:space="preserve"> voor alle </w:t>
            </w:r>
            <w:r w:rsidRPr="003D799D">
              <w:rPr>
                <w:lang w:val="nl-BE"/>
              </w:rPr>
              <w:t xml:space="preserve">psychiatrische ziekenhuizen. </w:t>
            </w:r>
            <w:r w:rsidR="0012399A" w:rsidRPr="003D799D">
              <w:rPr>
                <w:lang w:val="nl-BE"/>
              </w:rPr>
              <w:t>Er werden drie criteria over geformuleerd (</w:t>
            </w:r>
            <w:r w:rsidR="00D81F79" w:rsidRPr="003D799D">
              <w:rPr>
                <w:lang w:val="nl-BE"/>
              </w:rPr>
              <w:t>B</w:t>
            </w:r>
            <w:r w:rsidR="004A16FE" w:rsidRPr="003D799D">
              <w:rPr>
                <w:lang w:val="nl-BE"/>
              </w:rPr>
              <w:t>4</w:t>
            </w:r>
            <w:r w:rsidR="0012399A" w:rsidRPr="003D799D">
              <w:rPr>
                <w:lang w:val="nl-BE"/>
              </w:rPr>
              <w:t>-</w:t>
            </w:r>
            <w:r w:rsidR="00D81F79" w:rsidRPr="003D799D">
              <w:rPr>
                <w:lang w:val="nl-BE"/>
              </w:rPr>
              <w:t>B</w:t>
            </w:r>
            <w:r w:rsidR="004A16FE" w:rsidRPr="003D799D">
              <w:rPr>
                <w:lang w:val="nl-BE"/>
              </w:rPr>
              <w:t>8</w:t>
            </w:r>
            <w:r w:rsidR="0012399A" w:rsidRPr="003D799D">
              <w:rPr>
                <w:lang w:val="nl-BE"/>
              </w:rPr>
              <w:t>-</w:t>
            </w:r>
            <w:r w:rsidR="00D81F79" w:rsidRPr="003D799D">
              <w:rPr>
                <w:lang w:val="nl-BE"/>
              </w:rPr>
              <w:t>B</w:t>
            </w:r>
            <w:r w:rsidR="004A16FE" w:rsidRPr="003D799D">
              <w:rPr>
                <w:lang w:val="nl-BE"/>
              </w:rPr>
              <w:t>12</w:t>
            </w:r>
            <w:r w:rsidR="0012399A" w:rsidRPr="003D799D">
              <w:rPr>
                <w:lang w:val="nl-BE"/>
              </w:rPr>
              <w:t>)</w:t>
            </w:r>
            <w:r w:rsidR="000A421D">
              <w:rPr>
                <w:lang w:val="nl-BE"/>
              </w:rPr>
              <w:t>.</w:t>
            </w:r>
          </w:p>
          <w:p w:rsidR="0067499A" w:rsidRPr="003D799D" w:rsidRDefault="002A6C12" w:rsidP="0067499A">
            <w:pPr>
              <w:jc w:val="both"/>
              <w:rPr>
                <w:lang w:val="nl-BE"/>
              </w:rPr>
            </w:pPr>
            <w:r w:rsidRPr="003D799D">
              <w:rPr>
                <w:lang w:val="nl-BE"/>
              </w:rPr>
              <w:t xml:space="preserve">Deze template gaat over </w:t>
            </w:r>
            <w:r w:rsidR="00610EF3" w:rsidRPr="003D799D">
              <w:rPr>
                <w:lang w:val="nl-BE"/>
              </w:rPr>
              <w:t>het</w:t>
            </w:r>
            <w:r w:rsidR="00610EF3" w:rsidRPr="003D799D">
              <w:rPr>
                <w:b/>
                <w:lang w:val="nl-BE"/>
              </w:rPr>
              <w:t xml:space="preserve"> thema</w:t>
            </w:r>
            <w:r w:rsidR="0012399A" w:rsidRPr="003D799D">
              <w:rPr>
                <w:b/>
                <w:lang w:val="nl-BE"/>
              </w:rPr>
              <w:t xml:space="preserve"> </w:t>
            </w:r>
            <w:r w:rsidR="004A16FE" w:rsidRPr="003D799D">
              <w:rPr>
                <w:b/>
                <w:lang w:val="nl-BE"/>
              </w:rPr>
              <w:t>valincidenten</w:t>
            </w:r>
            <w:r w:rsidR="00610EF3" w:rsidRPr="003D799D">
              <w:rPr>
                <w:b/>
                <w:lang w:val="nl-BE"/>
              </w:rPr>
              <w:t>.</w:t>
            </w:r>
          </w:p>
          <w:p w:rsidR="0012399A" w:rsidRPr="003D799D" w:rsidRDefault="0012399A" w:rsidP="0067499A">
            <w:pPr>
              <w:jc w:val="both"/>
              <w:rPr>
                <w:lang w:val="nl-BE"/>
              </w:rPr>
            </w:pPr>
            <w:r w:rsidRPr="003D799D">
              <w:rPr>
                <w:lang w:val="nl-BE"/>
              </w:rPr>
              <w:t xml:space="preserve">Op de laatste bladzijde van deze template </w:t>
            </w:r>
            <w:r w:rsidR="008265DC">
              <w:rPr>
                <w:lang w:val="nl-BE"/>
              </w:rPr>
              <w:t>staan</w:t>
            </w:r>
            <w:r w:rsidRPr="003D799D">
              <w:rPr>
                <w:lang w:val="nl-BE"/>
              </w:rPr>
              <w:t xml:space="preserve"> enkele </w:t>
            </w:r>
            <w:r w:rsidR="00D12559" w:rsidRPr="003D799D">
              <w:rPr>
                <w:lang w:val="nl-BE"/>
              </w:rPr>
              <w:t>voorbeelden</w:t>
            </w:r>
            <w:r w:rsidRPr="003D799D">
              <w:rPr>
                <w:lang w:val="nl-BE"/>
              </w:rPr>
              <w:t xml:space="preserve"> die </w:t>
            </w:r>
            <w:r w:rsidR="00610EF3" w:rsidRPr="003D799D">
              <w:rPr>
                <w:lang w:val="nl-BE"/>
              </w:rPr>
              <w:t xml:space="preserve">deze </w:t>
            </w:r>
            <w:r w:rsidR="008265DC">
              <w:rPr>
                <w:lang w:val="nl-BE"/>
              </w:rPr>
              <w:t>drie</w:t>
            </w:r>
            <w:r w:rsidR="00610EF3" w:rsidRPr="003D799D">
              <w:rPr>
                <w:lang w:val="nl-BE"/>
              </w:rPr>
              <w:t xml:space="preserve"> criteria</w:t>
            </w:r>
            <w:r w:rsidRPr="003D799D">
              <w:rPr>
                <w:lang w:val="nl-BE"/>
              </w:rPr>
              <w:t xml:space="preserve"> illustreren. Deze werden geformuleerd door de netwerken van psychiatrische ziekenhuizen bij de opmaak van het </w:t>
            </w:r>
            <w:hyperlink r:id="rId12" w:history="1">
              <w:r w:rsidRPr="003D799D">
                <w:rPr>
                  <w:rStyle w:val="Hyperlink"/>
                  <w:lang w:val="nl-BE"/>
                </w:rPr>
                <w:t>derde meerjarige programma</w:t>
              </w:r>
            </w:hyperlink>
            <w:r w:rsidRPr="003D799D">
              <w:rPr>
                <w:lang w:val="nl-BE"/>
              </w:rPr>
              <w:t xml:space="preserve">. </w:t>
            </w:r>
          </w:p>
          <w:p w:rsidR="00610EF3" w:rsidRPr="003D799D" w:rsidRDefault="00610EF3" w:rsidP="00610EF3">
            <w:pPr>
              <w:jc w:val="both"/>
              <w:rPr>
                <w:b/>
                <w:lang w:val="nl-BE"/>
              </w:rPr>
            </w:pPr>
            <w:r w:rsidRPr="003D799D">
              <w:rPr>
                <w:b/>
                <w:lang w:val="nl-BE"/>
              </w:rPr>
              <w:t>Kruis hieronder aan voor welk criterium uw ziekenhuis heeft gekozen</w:t>
            </w:r>
            <w:r w:rsidR="008265DC">
              <w:rPr>
                <w:b/>
                <w:lang w:val="nl-BE"/>
              </w:rPr>
              <w:t>:</w:t>
            </w:r>
          </w:p>
          <w:tbl>
            <w:tblPr>
              <w:tblStyle w:val="Tabelraster"/>
              <w:tblW w:w="7296" w:type="dxa"/>
              <w:tblLook w:val="04A0" w:firstRow="1" w:lastRow="0" w:firstColumn="1" w:lastColumn="0" w:noHBand="0" w:noVBand="1"/>
            </w:tblPr>
            <w:tblGrid>
              <w:gridCol w:w="780"/>
              <w:gridCol w:w="780"/>
              <w:gridCol w:w="5736"/>
            </w:tblGrid>
            <w:tr w:rsidR="00610EF3" w:rsidRPr="003D799D" w:rsidTr="00F4340C">
              <w:trPr>
                <w:trHeight w:val="274"/>
              </w:trPr>
              <w:tc>
                <w:tcPr>
                  <w:tcW w:w="780" w:type="dxa"/>
                </w:tcPr>
                <w:p w:rsidR="00610EF3" w:rsidRPr="003D799D" w:rsidRDefault="00610EF3" w:rsidP="00610EF3">
                  <w:pPr>
                    <w:jc w:val="both"/>
                    <w:rPr>
                      <w:lang w:val="nl-BE"/>
                    </w:rPr>
                  </w:pPr>
                </w:p>
              </w:tc>
              <w:tc>
                <w:tcPr>
                  <w:tcW w:w="780" w:type="dxa"/>
                </w:tcPr>
                <w:p w:rsidR="00610EF3" w:rsidRPr="003D799D" w:rsidRDefault="00610EF3" w:rsidP="00610EF3">
                  <w:pPr>
                    <w:jc w:val="both"/>
                    <w:rPr>
                      <w:lang w:val="nl-BE"/>
                    </w:rPr>
                  </w:pPr>
                  <w:r w:rsidRPr="003D799D">
                    <w:rPr>
                      <w:lang w:val="nl-BE"/>
                    </w:rPr>
                    <w:t>B</w:t>
                  </w:r>
                  <w:r w:rsidR="00F3323F" w:rsidRPr="003D799D">
                    <w:rPr>
                      <w:lang w:val="nl-BE"/>
                    </w:rPr>
                    <w:t>4</w:t>
                  </w:r>
                </w:p>
              </w:tc>
              <w:tc>
                <w:tcPr>
                  <w:tcW w:w="5736" w:type="dxa"/>
                </w:tcPr>
                <w:p w:rsidR="00610EF3" w:rsidRPr="003D799D" w:rsidRDefault="004A16FE" w:rsidP="00610EF3">
                  <w:pPr>
                    <w:jc w:val="both"/>
                    <w:rPr>
                      <w:lang w:val="nl-BE"/>
                    </w:rPr>
                  </w:pPr>
                  <w:r w:rsidRPr="003D799D">
                    <w:rPr>
                      <w:lang w:val="nl-BE"/>
                    </w:rPr>
                    <w:t>Valincidenten</w:t>
                  </w:r>
                  <w:r w:rsidR="00610EF3" w:rsidRPr="003D799D">
                    <w:rPr>
                      <w:lang w:val="nl-BE"/>
                    </w:rPr>
                    <w:t xml:space="preserve"> in relatie tot informatieoverdracht</w:t>
                  </w:r>
                </w:p>
              </w:tc>
            </w:tr>
            <w:tr w:rsidR="00610EF3" w:rsidRPr="003D799D" w:rsidTr="00F4340C">
              <w:trPr>
                <w:trHeight w:val="260"/>
              </w:trPr>
              <w:tc>
                <w:tcPr>
                  <w:tcW w:w="780" w:type="dxa"/>
                </w:tcPr>
                <w:p w:rsidR="00610EF3" w:rsidRPr="003D799D" w:rsidRDefault="00610EF3" w:rsidP="00610EF3">
                  <w:pPr>
                    <w:jc w:val="both"/>
                    <w:rPr>
                      <w:lang w:val="nl-BE"/>
                    </w:rPr>
                  </w:pPr>
                </w:p>
              </w:tc>
              <w:tc>
                <w:tcPr>
                  <w:tcW w:w="780" w:type="dxa"/>
                </w:tcPr>
                <w:p w:rsidR="00610EF3" w:rsidRPr="003D799D" w:rsidRDefault="00610EF3" w:rsidP="00610EF3">
                  <w:pPr>
                    <w:jc w:val="both"/>
                    <w:rPr>
                      <w:lang w:val="nl-BE"/>
                    </w:rPr>
                  </w:pPr>
                  <w:r w:rsidRPr="003D799D">
                    <w:rPr>
                      <w:lang w:val="nl-BE"/>
                    </w:rPr>
                    <w:t>B</w:t>
                  </w:r>
                  <w:r w:rsidR="00F3323F" w:rsidRPr="003D799D">
                    <w:rPr>
                      <w:lang w:val="nl-BE"/>
                    </w:rPr>
                    <w:t>8</w:t>
                  </w:r>
                </w:p>
              </w:tc>
              <w:tc>
                <w:tcPr>
                  <w:tcW w:w="5736" w:type="dxa"/>
                </w:tcPr>
                <w:p w:rsidR="00610EF3" w:rsidRPr="003D799D" w:rsidRDefault="004A16FE" w:rsidP="00610EF3">
                  <w:pPr>
                    <w:jc w:val="both"/>
                    <w:rPr>
                      <w:lang w:val="nl-BE"/>
                    </w:rPr>
                  </w:pPr>
                  <w:r w:rsidRPr="003D799D">
                    <w:rPr>
                      <w:lang w:val="nl-BE"/>
                    </w:rPr>
                    <w:t>Valincidenten</w:t>
                  </w:r>
                  <w:r w:rsidR="00610EF3" w:rsidRPr="003D799D">
                    <w:rPr>
                      <w:lang w:val="nl-BE"/>
                    </w:rPr>
                    <w:t xml:space="preserve"> in relatie tot patiëntenparticipatie</w:t>
                  </w:r>
                </w:p>
              </w:tc>
            </w:tr>
            <w:tr w:rsidR="00610EF3" w:rsidRPr="003D799D" w:rsidTr="00F4340C">
              <w:trPr>
                <w:trHeight w:val="260"/>
              </w:trPr>
              <w:tc>
                <w:tcPr>
                  <w:tcW w:w="780" w:type="dxa"/>
                </w:tcPr>
                <w:p w:rsidR="00610EF3" w:rsidRPr="003D799D" w:rsidRDefault="00610EF3" w:rsidP="00610EF3">
                  <w:pPr>
                    <w:jc w:val="both"/>
                    <w:rPr>
                      <w:lang w:val="nl-BE"/>
                    </w:rPr>
                  </w:pPr>
                </w:p>
              </w:tc>
              <w:tc>
                <w:tcPr>
                  <w:tcW w:w="780" w:type="dxa"/>
                </w:tcPr>
                <w:p w:rsidR="00610EF3" w:rsidRPr="003D799D" w:rsidRDefault="00610EF3" w:rsidP="00610EF3">
                  <w:pPr>
                    <w:jc w:val="both"/>
                    <w:rPr>
                      <w:lang w:val="nl-BE"/>
                    </w:rPr>
                  </w:pPr>
                  <w:r w:rsidRPr="003D799D">
                    <w:rPr>
                      <w:lang w:val="nl-BE"/>
                    </w:rPr>
                    <w:t>B</w:t>
                  </w:r>
                  <w:r w:rsidR="00F3323F" w:rsidRPr="003D799D">
                    <w:rPr>
                      <w:lang w:val="nl-BE"/>
                    </w:rPr>
                    <w:t>12</w:t>
                  </w:r>
                </w:p>
              </w:tc>
              <w:tc>
                <w:tcPr>
                  <w:tcW w:w="5736" w:type="dxa"/>
                </w:tcPr>
                <w:p w:rsidR="00610EF3" w:rsidRPr="003D799D" w:rsidRDefault="004A16FE" w:rsidP="00610EF3">
                  <w:pPr>
                    <w:jc w:val="both"/>
                    <w:rPr>
                      <w:lang w:val="nl-BE"/>
                    </w:rPr>
                  </w:pPr>
                  <w:r w:rsidRPr="003D799D">
                    <w:rPr>
                      <w:lang w:val="nl-BE"/>
                    </w:rPr>
                    <w:t>Valincidenten</w:t>
                  </w:r>
                  <w:r w:rsidR="00610EF3" w:rsidRPr="003D799D">
                    <w:rPr>
                      <w:lang w:val="nl-BE"/>
                    </w:rPr>
                    <w:t xml:space="preserve"> in relatie tot leiderschap, beleid en strategie</w:t>
                  </w:r>
                </w:p>
              </w:tc>
            </w:tr>
          </w:tbl>
          <w:p w:rsidR="00610EF3" w:rsidRPr="003D799D" w:rsidRDefault="00610EF3" w:rsidP="0067499A">
            <w:pPr>
              <w:jc w:val="both"/>
              <w:rPr>
                <w:lang w:val="nl-BE"/>
              </w:rPr>
            </w:pPr>
          </w:p>
          <w:p w:rsidR="00C50059" w:rsidRPr="0067499A" w:rsidRDefault="00C50059" w:rsidP="0067499A">
            <w:pPr>
              <w:jc w:val="both"/>
            </w:pPr>
            <w:r w:rsidRPr="003D799D">
              <w:rPr>
                <w:lang w:val="nl-BE"/>
              </w:rPr>
              <w:t xml:space="preserve">Hierna wordt gevraagd om </w:t>
            </w:r>
            <w:r w:rsidR="0012399A" w:rsidRPr="003D799D">
              <w:rPr>
                <w:lang w:val="nl-BE"/>
              </w:rPr>
              <w:t xml:space="preserve">de actie/project over </w:t>
            </w:r>
            <w:r w:rsidR="00610EF3" w:rsidRPr="003D799D">
              <w:rPr>
                <w:lang w:val="nl-BE"/>
              </w:rPr>
              <w:t>het gekozen criterium</w:t>
            </w:r>
            <w:r w:rsidR="0012399A" w:rsidRPr="003D799D">
              <w:rPr>
                <w:lang w:val="nl-BE"/>
              </w:rPr>
              <w:t xml:space="preserve"> </w:t>
            </w:r>
            <w:r w:rsidRPr="003D799D">
              <w:rPr>
                <w:lang w:val="nl-BE"/>
              </w:rPr>
              <w:t>meer</w:t>
            </w:r>
            <w:r>
              <w:rPr>
                <w:lang w:val="nl-BE"/>
              </w:rPr>
              <w:t xml:space="preserve"> gedetailleerd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rsidTr="00A87357">
        <w:trPr>
          <w:trHeight w:val="772"/>
        </w:trPr>
        <w:tc>
          <w:tcPr>
            <w:tcW w:w="1701" w:type="dxa"/>
          </w:tcPr>
          <w:p w:rsidR="00AE3D58" w:rsidRDefault="00B64A9C" w:rsidP="0067499A">
            <w:pPr>
              <w:pStyle w:val="Kop1"/>
              <w:jc w:val="left"/>
            </w:pPr>
            <w:bookmarkStart w:id="1" w:name="_Hlk534972443"/>
            <w:r>
              <w:rPr>
                <w:lang w:bidi="nl-NL"/>
              </w:rPr>
              <w:t xml:space="preserve">onderwerp </w:t>
            </w:r>
          </w:p>
        </w:tc>
        <w:tc>
          <w:tcPr>
            <w:tcW w:w="445" w:type="dxa"/>
          </w:tcPr>
          <w:p w:rsidR="00AE3D58" w:rsidRDefault="00AE3D58"/>
        </w:tc>
        <w:tc>
          <w:tcPr>
            <w:tcW w:w="7530" w:type="dxa"/>
          </w:tcPr>
          <w:p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FB35DA">
              <w:t>2020</w:t>
            </w:r>
            <w:r w:rsidR="008979F0">
              <w:t>, over</w:t>
            </w:r>
            <w:r>
              <w:t xml:space="preserve"> </w:t>
            </w:r>
            <w:r w:rsidR="004A16FE">
              <w:t>valincidenten</w:t>
            </w:r>
            <w:r w:rsidR="00902B46">
              <w:t>.</w:t>
            </w:r>
            <w:r>
              <w:t xml:space="preserve"> </w:t>
            </w:r>
          </w:p>
          <w:p w:rsidR="00C50059" w:rsidRDefault="00C50059" w:rsidP="00872F11"/>
        </w:tc>
      </w:tr>
      <w:tr w:rsidR="00AE3D58" w:rsidTr="00A87357">
        <w:tc>
          <w:tcPr>
            <w:tcW w:w="1701" w:type="dxa"/>
          </w:tcPr>
          <w:p w:rsidR="00AE3D58" w:rsidRDefault="00B64A9C" w:rsidP="00BF2785">
            <w:pPr>
              <w:pStyle w:val="Kop1"/>
              <w:jc w:val="left"/>
            </w:pPr>
            <w:bookmarkStart w:id="2" w:name="_Hlk534973794"/>
            <w:r>
              <w:rPr>
                <w:lang w:bidi="nl-NL"/>
              </w:rPr>
              <w:t xml:space="preserve">doelstelling </w:t>
            </w:r>
          </w:p>
        </w:tc>
        <w:tc>
          <w:tcPr>
            <w:tcW w:w="445" w:type="dxa"/>
          </w:tcPr>
          <w:p w:rsidR="00AE3D58" w:rsidRDefault="00AE3D58"/>
        </w:tc>
        <w:tc>
          <w:tcPr>
            <w:tcW w:w="7530" w:type="dxa"/>
          </w:tcPr>
          <w:p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FB35DA">
              <w:t>2020</w:t>
            </w:r>
            <w:r w:rsidR="008979F0">
              <w:t>, over</w:t>
            </w:r>
            <w:r>
              <w:t xml:space="preserve"> </w:t>
            </w:r>
            <w:r w:rsidR="004A16FE">
              <w:t>valincidenten</w:t>
            </w:r>
            <w:r>
              <w:t xml:space="preserve">. </w:t>
            </w:r>
            <w:r w:rsidR="00D12559" w:rsidRPr="00D12559">
              <w:t>Beschrijf deze doelstelling specifiek, meetbaar, acceptabel, realistisch en tijdsgebonden (</w:t>
            </w:r>
            <w:r w:rsidR="00D12559" w:rsidRPr="00D12559">
              <w:rPr>
                <w:b/>
              </w:rPr>
              <w:t>SMART</w:t>
            </w:r>
            <w:r w:rsidR="00D12559" w:rsidRPr="00D12559">
              <w:t>).</w:t>
            </w:r>
          </w:p>
          <w:p w:rsidR="00AE3D58" w:rsidRDefault="00AE3D58" w:rsidP="00872F11">
            <w:pPr>
              <w:pStyle w:val="Cv-tekst"/>
            </w:pPr>
          </w:p>
        </w:tc>
      </w:tr>
      <w:bookmarkEnd w:id="1"/>
      <w:tr w:rsidR="00785A9A" w:rsidTr="00A87357">
        <w:trPr>
          <w:trHeight w:val="772"/>
        </w:trPr>
        <w:tc>
          <w:tcPr>
            <w:tcW w:w="1701" w:type="dxa"/>
          </w:tcPr>
          <w:p w:rsidR="00785A9A" w:rsidRDefault="00B64A9C" w:rsidP="002F5DC9">
            <w:pPr>
              <w:pStyle w:val="Kop1"/>
              <w:jc w:val="left"/>
            </w:pPr>
            <w:r>
              <w:rPr>
                <w:lang w:bidi="nl-NL"/>
              </w:rPr>
              <w:t>doelgroep</w:t>
            </w:r>
          </w:p>
        </w:tc>
        <w:tc>
          <w:tcPr>
            <w:tcW w:w="445" w:type="dxa"/>
          </w:tcPr>
          <w:p w:rsidR="00785A9A" w:rsidRDefault="00785A9A" w:rsidP="002F5DC9"/>
        </w:tc>
        <w:tc>
          <w:tcPr>
            <w:tcW w:w="7530" w:type="dxa"/>
          </w:tcPr>
          <w:p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FB35DA">
              <w:t>2020</w:t>
            </w:r>
            <w:r w:rsidR="0051479A">
              <w:t>,</w:t>
            </w:r>
            <w:r>
              <w:t xml:space="preserve"> over </w:t>
            </w:r>
            <w:r w:rsidR="004A16FE">
              <w:t>valincidenten</w:t>
            </w:r>
            <w:r>
              <w:t xml:space="preserve">. </w:t>
            </w:r>
          </w:p>
          <w:p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rsidR="00785A9A" w:rsidRDefault="00785A9A" w:rsidP="002F5DC9"/>
        </w:tc>
      </w:tr>
      <w:bookmarkEnd w:id="2"/>
      <w:tr w:rsidR="00785A9A" w:rsidTr="00A87357">
        <w:tc>
          <w:tcPr>
            <w:tcW w:w="1701" w:type="dxa"/>
          </w:tcPr>
          <w:p w:rsidR="00785A9A" w:rsidRDefault="00076643" w:rsidP="002F5DC9">
            <w:pPr>
              <w:pStyle w:val="Kop1"/>
              <w:jc w:val="left"/>
            </w:pPr>
            <w:r>
              <w:rPr>
                <w:lang w:bidi="nl-NL"/>
              </w:rPr>
              <w:lastRenderedPageBreak/>
              <w:t>interne actoren</w:t>
            </w:r>
          </w:p>
        </w:tc>
        <w:tc>
          <w:tcPr>
            <w:tcW w:w="445" w:type="dxa"/>
          </w:tcPr>
          <w:p w:rsidR="00785A9A" w:rsidRDefault="00785A9A" w:rsidP="002F5DC9"/>
        </w:tc>
        <w:tc>
          <w:tcPr>
            <w:tcW w:w="7530" w:type="dxa"/>
          </w:tcPr>
          <w:p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rsidR="004C594A" w:rsidRDefault="004C594A" w:rsidP="00785A9A"/>
          <w:p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rsidR="004C594A" w:rsidRPr="00785A9A" w:rsidRDefault="004C594A" w:rsidP="00785A9A">
            <w:pPr>
              <w:rPr>
                <w:b/>
                <w:u w:val="single"/>
              </w:rPr>
            </w:pPr>
          </w:p>
          <w:p w:rsidR="00785A9A" w:rsidRDefault="00785A9A" w:rsidP="00785A9A">
            <w:r w:rsidRPr="00785A9A">
              <w:rPr>
                <w:b/>
                <w:u w:val="single"/>
              </w:rPr>
              <w:t>Wat zal uw ziekenhuis ondernemen</w:t>
            </w:r>
            <w:r>
              <w:t xml:space="preserve"> om deze interne actoren in de toekomst wel te laten participeren?</w:t>
            </w:r>
          </w:p>
          <w:p w:rsidR="003D5030" w:rsidRDefault="003D5030" w:rsidP="00785A9A"/>
          <w:p w:rsidR="003D5030" w:rsidRDefault="003D5030" w:rsidP="00785A9A"/>
          <w:p w:rsidR="00D12559" w:rsidRDefault="00D12559" w:rsidP="00D12559">
            <w:r>
              <w:t xml:space="preserve">Beschrijf hieronder </w:t>
            </w:r>
            <w:r w:rsidRPr="00D12559">
              <w:rPr>
                <w:b/>
              </w:rPr>
              <w:t>expliciet</w:t>
            </w:r>
            <w:r>
              <w:t xml:space="preserve"> de rol van:</w:t>
            </w:r>
          </w:p>
          <w:p w:rsidR="00D12559" w:rsidRDefault="00D12559" w:rsidP="00D12559">
            <w:r>
              <w:t>•</w:t>
            </w:r>
            <w:r>
              <w:tab/>
              <w:t>de directie:</w:t>
            </w:r>
          </w:p>
          <w:p w:rsidR="00D12559" w:rsidRDefault="00D12559" w:rsidP="00D12559">
            <w:r>
              <w:t>•</w:t>
            </w:r>
            <w:r>
              <w:tab/>
              <w:t>de (hoofd) arts:</w:t>
            </w:r>
          </w:p>
          <w:p w:rsidR="00D12559" w:rsidRDefault="00D12559" w:rsidP="00D12559">
            <w:r>
              <w:t>•</w:t>
            </w:r>
            <w:r>
              <w:tab/>
              <w:t>de (hoofd) verpleegkundige:</w:t>
            </w:r>
          </w:p>
          <w:p w:rsidR="00D12559" w:rsidRDefault="00D12559" w:rsidP="00D12559">
            <w:r>
              <w:t>•</w:t>
            </w:r>
            <w:r>
              <w:tab/>
              <w:t>de ziekenhuisapotheker :</w:t>
            </w:r>
          </w:p>
          <w:p w:rsidR="00785A9A" w:rsidRDefault="00D12559" w:rsidP="00D12559">
            <w:pPr>
              <w:pStyle w:val="Cv-tekst"/>
            </w:pPr>
            <w:r>
              <w:t>•</w:t>
            </w:r>
            <w:r>
              <w:tab/>
              <w:t>andere actoren (welke):</w:t>
            </w:r>
          </w:p>
          <w:p w:rsidR="00D12559" w:rsidRDefault="00D12559" w:rsidP="00D12559">
            <w:pPr>
              <w:pStyle w:val="Cv-tekst"/>
            </w:pPr>
          </w:p>
        </w:tc>
      </w:tr>
      <w:tr w:rsidR="00785A9A" w:rsidTr="00A87357">
        <w:trPr>
          <w:trHeight w:val="772"/>
        </w:trPr>
        <w:tc>
          <w:tcPr>
            <w:tcW w:w="1701" w:type="dxa"/>
          </w:tcPr>
          <w:p w:rsidR="00785A9A" w:rsidRDefault="00785A9A" w:rsidP="00785A9A">
            <w:pPr>
              <w:pStyle w:val="Kop1"/>
              <w:jc w:val="left"/>
            </w:pPr>
            <w:bookmarkStart w:id="3" w:name="_Hlk534974350"/>
            <w:r>
              <w:rPr>
                <w:lang w:bidi="nl-NL"/>
              </w:rPr>
              <w:t>Externe actoren</w:t>
            </w:r>
          </w:p>
        </w:tc>
        <w:tc>
          <w:tcPr>
            <w:tcW w:w="445" w:type="dxa"/>
          </w:tcPr>
          <w:p w:rsidR="00785A9A" w:rsidRDefault="00785A9A" w:rsidP="00785A9A"/>
        </w:tc>
        <w:tc>
          <w:tcPr>
            <w:tcW w:w="7530" w:type="dxa"/>
          </w:tcPr>
          <w:p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rsidR="004C594A" w:rsidRDefault="004C594A" w:rsidP="00785A9A"/>
          <w:p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rsidR="004C594A" w:rsidRPr="00785A9A" w:rsidRDefault="004C594A" w:rsidP="00785A9A">
            <w:pPr>
              <w:rPr>
                <w:b/>
                <w:u w:val="single"/>
              </w:rPr>
            </w:pPr>
          </w:p>
          <w:p w:rsidR="00785A9A" w:rsidRDefault="00785A9A" w:rsidP="00785A9A">
            <w:r w:rsidRPr="00785A9A">
              <w:rPr>
                <w:b/>
                <w:u w:val="single"/>
              </w:rPr>
              <w:t>Wat zal uw ziekenhuis ondernemen</w:t>
            </w:r>
            <w:r>
              <w:t xml:space="preserve"> om deze externe actoren in de toekomst wel te laten participeren?</w:t>
            </w:r>
          </w:p>
          <w:p w:rsidR="00785A9A" w:rsidRDefault="00785A9A" w:rsidP="00785A9A">
            <w:pPr>
              <w:pStyle w:val="Cv-tekst"/>
            </w:pPr>
          </w:p>
        </w:tc>
      </w:tr>
      <w:tr w:rsidR="004C594A" w:rsidTr="00A87357">
        <w:tc>
          <w:tcPr>
            <w:tcW w:w="1701" w:type="dxa"/>
          </w:tcPr>
          <w:p w:rsidR="004C594A" w:rsidRDefault="004C594A" w:rsidP="004C594A">
            <w:pPr>
              <w:pStyle w:val="Kop1"/>
              <w:jc w:val="left"/>
            </w:pPr>
            <w:r>
              <w:rPr>
                <w:lang w:bidi="nl-NL"/>
              </w:rPr>
              <w:t>indicatoren</w:t>
            </w:r>
          </w:p>
        </w:tc>
        <w:tc>
          <w:tcPr>
            <w:tcW w:w="445" w:type="dxa"/>
          </w:tcPr>
          <w:p w:rsidR="004C594A" w:rsidRDefault="004C594A" w:rsidP="004C594A"/>
        </w:tc>
        <w:tc>
          <w:tcPr>
            <w:tcW w:w="7530" w:type="dxa"/>
          </w:tcPr>
          <w:p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rsidR="004C594A" w:rsidRDefault="004C594A" w:rsidP="004C594A">
            <w:pPr>
              <w:pStyle w:val="Cv-tekst"/>
              <w:ind w:right="105"/>
              <w:jc w:val="both"/>
            </w:pPr>
          </w:p>
          <w:p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rsidR="004C594A" w:rsidRDefault="004C594A" w:rsidP="004C594A">
            <w:pPr>
              <w:pStyle w:val="Cv-tekst"/>
              <w:ind w:right="105"/>
              <w:jc w:val="both"/>
            </w:pPr>
          </w:p>
          <w:p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p>
          <w:p w:rsidR="004C594A" w:rsidRDefault="004C594A" w:rsidP="004C594A">
            <w:pPr>
              <w:pStyle w:val="Cv-tekst"/>
              <w:ind w:right="105"/>
              <w:jc w:val="both"/>
            </w:pPr>
          </w:p>
        </w:tc>
      </w:tr>
      <w:bookmarkEnd w:id="3"/>
      <w:tr w:rsidR="004C594A" w:rsidTr="00A87357">
        <w:trPr>
          <w:trHeight w:val="772"/>
        </w:trPr>
        <w:tc>
          <w:tcPr>
            <w:tcW w:w="1701" w:type="dxa"/>
          </w:tcPr>
          <w:p w:rsidR="004C594A" w:rsidRDefault="004C594A" w:rsidP="004C594A">
            <w:pPr>
              <w:pStyle w:val="Kop1"/>
              <w:jc w:val="left"/>
            </w:pPr>
            <w:r>
              <w:rPr>
                <w:lang w:bidi="nl-NL"/>
              </w:rPr>
              <w:lastRenderedPageBreak/>
              <w:t>zorgcontinuïtet</w:t>
            </w:r>
          </w:p>
        </w:tc>
        <w:tc>
          <w:tcPr>
            <w:tcW w:w="445" w:type="dxa"/>
          </w:tcPr>
          <w:p w:rsidR="004C594A" w:rsidRDefault="004C594A" w:rsidP="004C594A"/>
        </w:tc>
        <w:tc>
          <w:tcPr>
            <w:tcW w:w="7530" w:type="dxa"/>
          </w:tcPr>
          <w:p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rsidR="00AD3B25" w:rsidRDefault="00AD3B25" w:rsidP="004C594A"/>
          <w:p w:rsidR="00D81F79" w:rsidRPr="004C594A" w:rsidRDefault="00D81F79" w:rsidP="00D12559">
            <w:pPr>
              <w:pStyle w:val="Lijstalinea"/>
              <w:ind w:left="360"/>
              <w:jc w:val="both"/>
            </w:pPr>
          </w:p>
        </w:tc>
      </w:tr>
      <w:tr w:rsidR="00D12559" w:rsidTr="00A87357">
        <w:trPr>
          <w:trHeight w:val="772"/>
        </w:trPr>
        <w:tc>
          <w:tcPr>
            <w:tcW w:w="1701" w:type="dxa"/>
          </w:tcPr>
          <w:p w:rsidR="00D12559" w:rsidRDefault="00D12559" w:rsidP="004C594A">
            <w:pPr>
              <w:pStyle w:val="Kop1"/>
              <w:jc w:val="left"/>
              <w:rPr>
                <w:lang w:bidi="nl-NL"/>
              </w:rPr>
            </w:pPr>
          </w:p>
        </w:tc>
        <w:tc>
          <w:tcPr>
            <w:tcW w:w="445" w:type="dxa"/>
          </w:tcPr>
          <w:p w:rsidR="00D12559" w:rsidRDefault="00D12559" w:rsidP="004C594A"/>
        </w:tc>
        <w:tc>
          <w:tcPr>
            <w:tcW w:w="7530" w:type="dxa"/>
          </w:tcPr>
          <w:p w:rsidR="00D12559" w:rsidRPr="00DD3762" w:rsidRDefault="00D12559" w:rsidP="00D12559">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Pr="00147F56">
              <w:rPr>
                <w:i/>
              </w:rPr>
              <w:t xml:space="preserve">Indien u de vraag niet kan </w:t>
            </w:r>
            <w:r>
              <w:rPr>
                <w:i/>
              </w:rPr>
              <w:t>beantwoorden gelieve dan ‘geen’</w:t>
            </w:r>
            <w:r w:rsidRPr="00147F56">
              <w:rPr>
                <w:i/>
              </w:rPr>
              <w:t xml:space="preserve"> of ‘niet uitgevoerd’ in te vullen</w:t>
            </w:r>
            <w:r w:rsidR="008265DC">
              <w:rPr>
                <w:i/>
              </w:rPr>
              <w:t>.</w:t>
            </w:r>
          </w:p>
          <w:p w:rsidR="00D12559" w:rsidRDefault="00D12559" w:rsidP="00D12559">
            <w:pPr>
              <w:ind w:left="48"/>
              <w:jc w:val="center"/>
              <w:rPr>
                <w:b/>
                <w:i/>
              </w:rPr>
            </w:pPr>
            <w:r w:rsidRPr="00DD3762">
              <w:rPr>
                <w:b/>
                <w:i/>
              </w:rPr>
              <w:t xml:space="preserve">Gelieve </w:t>
            </w:r>
            <w:r>
              <w:rPr>
                <w:b/>
                <w:i/>
              </w:rPr>
              <w:t>een WORD-versie van deze</w:t>
            </w:r>
            <w:r w:rsidRPr="00DD3762">
              <w:rPr>
                <w:b/>
                <w:i/>
              </w:rPr>
              <w:t xml:space="preserve"> template op te laden in Survey </w:t>
            </w:r>
            <w:proofErr w:type="spellStart"/>
            <w:r w:rsidRPr="00DD3762">
              <w:rPr>
                <w:b/>
                <w:i/>
              </w:rPr>
              <w:t>Monkey</w:t>
            </w:r>
            <w:proofErr w:type="spellEnd"/>
            <w:r w:rsidRPr="00DD3762">
              <w:rPr>
                <w:b/>
                <w:i/>
              </w:rPr>
              <w:t xml:space="preserve"> </w:t>
            </w:r>
          </w:p>
          <w:p w:rsidR="00D12559" w:rsidRPr="00DD3762" w:rsidRDefault="00D12559" w:rsidP="00D12559">
            <w:pPr>
              <w:ind w:left="48"/>
              <w:jc w:val="center"/>
              <w:rPr>
                <w:b/>
                <w:i/>
              </w:rPr>
            </w:pPr>
            <w:r w:rsidRPr="00DD3762">
              <w:rPr>
                <w:b/>
                <w:i/>
              </w:rPr>
              <w:t>met de volgende vermelding:</w:t>
            </w:r>
          </w:p>
          <w:p w:rsidR="00D12559" w:rsidRPr="005056A8" w:rsidRDefault="00D12559" w:rsidP="00D12559">
            <w:pPr>
              <w:ind w:left="48"/>
              <w:jc w:val="center"/>
              <w:rPr>
                <w:b/>
                <w:i/>
                <w:color w:val="FF0000"/>
              </w:rPr>
            </w:pPr>
            <w:r w:rsidRPr="005056A8">
              <w:rPr>
                <w:b/>
                <w:i/>
                <w:color w:val="FF0000"/>
                <w:lang w:val="nl-BE"/>
              </w:rPr>
              <w:t xml:space="preserve">Erkenningsnummer van uw ziekenhuis - </w:t>
            </w:r>
            <w:r w:rsidR="00610EF3">
              <w:rPr>
                <w:b/>
                <w:i/>
                <w:color w:val="FF0000"/>
                <w:lang w:val="nl-BE"/>
              </w:rPr>
              <w:t>00</w:t>
            </w:r>
            <w:r w:rsidR="00F3323F">
              <w:rPr>
                <w:b/>
                <w:i/>
                <w:color w:val="FF0000"/>
                <w:lang w:val="nl-BE"/>
              </w:rPr>
              <w:t>7</w:t>
            </w:r>
            <w:r w:rsidRPr="005056A8">
              <w:rPr>
                <w:b/>
                <w:i/>
                <w:color w:val="FF0000"/>
                <w:lang w:val="nl-BE"/>
              </w:rPr>
              <w:t xml:space="preserve"> </w:t>
            </w:r>
            <w:r w:rsidR="00610EF3">
              <w:rPr>
                <w:b/>
                <w:i/>
                <w:color w:val="FF0000"/>
                <w:lang w:val="nl-BE"/>
              </w:rPr>
              <w:t>–</w:t>
            </w:r>
            <w:r w:rsidRPr="005056A8">
              <w:rPr>
                <w:b/>
                <w:i/>
                <w:color w:val="FF0000"/>
                <w:lang w:val="nl-BE"/>
              </w:rPr>
              <w:t xml:space="preserve"> </w:t>
            </w:r>
            <w:r w:rsidR="004A16FE">
              <w:rPr>
                <w:b/>
                <w:i/>
                <w:color w:val="FF0000"/>
                <w:lang w:val="nl-BE"/>
              </w:rPr>
              <w:t>valincidenten</w:t>
            </w:r>
          </w:p>
          <w:p w:rsidR="00D12559" w:rsidRPr="004C594A" w:rsidRDefault="00D12559" w:rsidP="004C594A"/>
        </w:tc>
      </w:tr>
    </w:tbl>
    <w:p w:rsidR="00610EF3" w:rsidRDefault="00610EF3">
      <w:r>
        <w:rPr>
          <w:caps/>
        </w:rPr>
        <w:br w:type="page"/>
      </w:r>
    </w:p>
    <w:tbl>
      <w:tblPr>
        <w:tblStyle w:val="Cv-tabel"/>
        <w:tblW w:w="4964" w:type="pct"/>
        <w:tblLook w:val="04A0" w:firstRow="1" w:lastRow="0" w:firstColumn="1" w:lastColumn="0" w:noHBand="0" w:noVBand="1"/>
        <w:tblCaption w:val="Cv-tekst"/>
        <w:tblDescription w:val="Cv"/>
      </w:tblPr>
      <w:tblGrid>
        <w:gridCol w:w="1348"/>
        <w:gridCol w:w="353"/>
        <w:gridCol w:w="5624"/>
        <w:gridCol w:w="2351"/>
      </w:tblGrid>
      <w:tr w:rsidR="00D12559" w:rsidTr="000D4D86">
        <w:trPr>
          <w:trHeight w:val="772"/>
        </w:trPr>
        <w:tc>
          <w:tcPr>
            <w:tcW w:w="1348" w:type="dxa"/>
          </w:tcPr>
          <w:p w:rsidR="00D12559" w:rsidRDefault="00D12559" w:rsidP="004C594A">
            <w:pPr>
              <w:pStyle w:val="Kop1"/>
              <w:jc w:val="left"/>
              <w:rPr>
                <w:lang w:bidi="nl-NL"/>
              </w:rPr>
            </w:pPr>
          </w:p>
        </w:tc>
        <w:tc>
          <w:tcPr>
            <w:tcW w:w="353" w:type="dxa"/>
          </w:tcPr>
          <w:p w:rsidR="00D12559" w:rsidRDefault="00D12559" w:rsidP="004C594A"/>
        </w:tc>
        <w:tc>
          <w:tcPr>
            <w:tcW w:w="7975" w:type="dxa"/>
            <w:gridSpan w:val="2"/>
          </w:tcPr>
          <w:p w:rsidR="00F3323F" w:rsidRPr="00841C1B" w:rsidRDefault="00F3323F" w:rsidP="00F3323F">
            <w:pPr>
              <w:pStyle w:val="Kop3"/>
              <w:spacing w:line="360" w:lineRule="auto"/>
              <w:jc w:val="both"/>
              <w:rPr>
                <w:lang w:val="nl-BE"/>
              </w:rPr>
            </w:pPr>
            <w:bookmarkStart w:id="4" w:name="_Toc516215944"/>
            <w:r w:rsidRPr="00841C1B">
              <w:rPr>
                <w:lang w:val="nl-BE"/>
              </w:rPr>
              <w:t>Criterium B4</w:t>
            </w:r>
            <w:bookmarkEnd w:id="4"/>
            <w:r w:rsidRPr="00841C1B">
              <w:rPr>
                <w:lang w:val="nl-BE"/>
              </w:rPr>
              <w:t xml:space="preserve"> </w:t>
            </w:r>
          </w:p>
          <w:p w:rsidR="00F3323F" w:rsidRPr="00841C1B" w:rsidRDefault="00F3323F" w:rsidP="00F3323F">
            <w:pPr>
              <w:spacing w:line="360" w:lineRule="auto"/>
              <w:jc w:val="both"/>
              <w:rPr>
                <w:rFonts w:asciiTheme="majorHAnsi" w:hAnsiTheme="majorHAnsi" w:cs="Arial"/>
                <w:i/>
                <w:lang w:val="nl-BE"/>
              </w:rPr>
            </w:pPr>
            <w:r w:rsidRPr="00841C1B">
              <w:rPr>
                <w:rFonts w:asciiTheme="majorHAnsi" w:hAnsiTheme="majorHAnsi" w:cs="Arial"/>
                <w:i/>
                <w:lang w:val="nl-BE"/>
              </w:rPr>
              <w:t xml:space="preserve">De informatieoverdracht m.b.t. valincidenten bij </w:t>
            </w:r>
            <w:r>
              <w:rPr>
                <w:rFonts w:asciiTheme="majorHAnsi" w:hAnsiTheme="majorHAnsi" w:cs="Arial"/>
                <w:i/>
                <w:lang w:val="nl-BE"/>
              </w:rPr>
              <w:t>patiënten</w:t>
            </w:r>
            <w:r w:rsidRPr="00841C1B">
              <w:rPr>
                <w:rFonts w:asciiTheme="majorHAnsi" w:hAnsiTheme="majorHAnsi" w:cs="Arial"/>
                <w:i/>
                <w:lang w:val="nl-BE"/>
              </w:rPr>
              <w:t xml:space="preserve"> zodanig organiseren dat de patiëntveiligheid en kwaliteit optimaal gewaarborgd is.</w:t>
            </w:r>
            <w:r w:rsidRPr="00841C1B">
              <w:rPr>
                <w:rFonts w:asciiTheme="majorHAnsi" w:hAnsiTheme="majorHAnsi" w:cs="Arial"/>
                <w:i/>
                <w:lang w:val="nl-BE"/>
              </w:rPr>
              <w:tab/>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Evaluatie van de medicatie</w:t>
            </w:r>
            <w:r>
              <w:rPr>
                <w:rFonts w:asciiTheme="majorHAnsi" w:hAnsiTheme="majorHAnsi"/>
              </w:rPr>
              <w:t xml:space="preserve"> om het risico op vallen te identificeren</w:t>
            </w:r>
            <w:r w:rsidRPr="00841C1B">
              <w:rPr>
                <w:rFonts w:asciiTheme="majorHAnsi" w:hAnsiTheme="majorHAnsi"/>
              </w:rPr>
              <w:t>.</w:t>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Bij intake wordt systematisch gepolst naar risicofactoren m.b.t. vallen: leeftijd, somatische aandoeningen (bv. orthostatische hypotensie, zichtproblemen, urinaire incontinentie, Parkinson, diabetes, verminderd evenwicht, verminderde mobiliteit/ spierkracht, voetproblemen, …), nevenwerkingen medicatie, valangst, antecedenten, cognitie.</w:t>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lang w:val="en-US"/>
              </w:rPr>
            </w:pPr>
            <w:r w:rsidRPr="00841C1B">
              <w:rPr>
                <w:rFonts w:asciiTheme="majorHAnsi" w:hAnsiTheme="majorHAnsi"/>
              </w:rPr>
              <w:t xml:space="preserve">Opsporing van valrisico aan de hand van gevalideerde methoden (bv. </w:t>
            </w:r>
            <w:r w:rsidRPr="00CE267A">
              <w:rPr>
                <w:rFonts w:asciiTheme="majorHAnsi" w:hAnsiTheme="majorHAnsi"/>
                <w:i/>
                <w:lang w:val="en-US"/>
              </w:rPr>
              <w:t>Tinetti test, Four Test Balance Scale,  Time Up &amp; Go Test, Timed Chair Stand Test, …</w:t>
            </w:r>
            <w:r w:rsidRPr="00841C1B">
              <w:rPr>
                <w:rFonts w:asciiTheme="majorHAnsi" w:hAnsiTheme="majorHAnsi"/>
                <w:lang w:val="en-US"/>
              </w:rPr>
              <w:t>).</w:t>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Bij interne transfer is er een gedetailleerde informatieoverdracht voorzien m.b.t. valrisico.</w:t>
            </w:r>
            <w:r w:rsidRPr="00841C1B">
              <w:rPr>
                <w:rFonts w:asciiTheme="majorHAnsi" w:hAnsiTheme="majorHAnsi"/>
              </w:rPr>
              <w:tab/>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Per verpleegshift is er een unieke verantwoordelijke aanwezig voor het verhoogd toezicht van patiënten.</w:t>
            </w:r>
          </w:p>
          <w:p w:rsidR="008265DC" w:rsidRDefault="00F3323F" w:rsidP="00F3323F">
            <w:pPr>
              <w:pStyle w:val="Lijstalinea"/>
              <w:numPr>
                <w:ilvl w:val="0"/>
                <w:numId w:val="3"/>
              </w:numPr>
              <w:spacing w:before="120" w:after="100" w:line="360" w:lineRule="auto"/>
              <w:ind w:left="851" w:hanging="284"/>
              <w:jc w:val="both"/>
              <w:rPr>
                <w:rFonts w:asciiTheme="majorHAnsi" w:hAnsiTheme="majorHAnsi"/>
              </w:rPr>
            </w:pPr>
            <w:r w:rsidRPr="008265DC">
              <w:rPr>
                <w:rFonts w:asciiTheme="majorHAnsi" w:hAnsiTheme="majorHAnsi"/>
              </w:rPr>
              <w:t>Voor patiënten met valrisico worden aangepaste interventies voorzien: bv. oefenprogramma’s m.b.t. evenwicht, mobiliteit en spierkracht, lenigheid, …, extra hulpmiddelen, controle oogarts – aanpassen bril, juist schoeisel, gebruik toiletstoel, aanpassen dieet, etc.</w:t>
            </w:r>
          </w:p>
          <w:p w:rsidR="00F3323F" w:rsidRPr="008265DC" w:rsidRDefault="00F3323F" w:rsidP="00F3323F">
            <w:pPr>
              <w:pStyle w:val="Lijstalinea"/>
              <w:numPr>
                <w:ilvl w:val="0"/>
                <w:numId w:val="3"/>
              </w:numPr>
              <w:spacing w:before="120" w:after="100" w:line="360" w:lineRule="auto"/>
              <w:ind w:left="851" w:hanging="284"/>
              <w:jc w:val="both"/>
              <w:rPr>
                <w:rFonts w:asciiTheme="majorHAnsi" w:hAnsiTheme="majorHAnsi"/>
              </w:rPr>
            </w:pPr>
            <w:r w:rsidRPr="008265DC">
              <w:rPr>
                <w:rFonts w:asciiTheme="majorHAnsi" w:hAnsiTheme="majorHAnsi"/>
              </w:rPr>
              <w:t>Er is een waarschuwingssysteem dat vallen detecteert.</w:t>
            </w:r>
            <w:r w:rsidRPr="008265DC">
              <w:rPr>
                <w:rFonts w:asciiTheme="majorHAnsi" w:hAnsiTheme="majorHAnsi"/>
              </w:rPr>
              <w:tab/>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Bij ontslag is er een briefing van de hulpverleners die verder instaan voor de zorg m.b.t. valrisico (</w:t>
            </w:r>
            <w:r>
              <w:rPr>
                <w:rFonts w:asciiTheme="majorHAnsi" w:hAnsiTheme="majorHAnsi"/>
              </w:rPr>
              <w:t>m</w:t>
            </w:r>
            <w:r w:rsidRPr="00841C1B">
              <w:rPr>
                <w:rFonts w:asciiTheme="majorHAnsi" w:hAnsiTheme="majorHAnsi"/>
              </w:rPr>
              <w:t>its geïnformeerde toestemming van de patiënt).</w:t>
            </w:r>
            <w:r w:rsidRPr="00841C1B">
              <w:rPr>
                <w:rFonts w:asciiTheme="majorHAnsi" w:hAnsiTheme="majorHAnsi"/>
              </w:rPr>
              <w:tab/>
            </w:r>
          </w:p>
          <w:p w:rsidR="00F3323F" w:rsidRPr="00841C1B" w:rsidRDefault="00F3323F" w:rsidP="00F3323F">
            <w:pPr>
              <w:pStyle w:val="Lijstalinea"/>
              <w:numPr>
                <w:ilvl w:val="0"/>
                <w:numId w:val="3"/>
              </w:numPr>
              <w:spacing w:before="120" w:after="100" w:line="360" w:lineRule="auto"/>
              <w:ind w:left="851" w:hanging="284"/>
              <w:jc w:val="both"/>
              <w:rPr>
                <w:rFonts w:asciiTheme="majorHAnsi" w:hAnsiTheme="majorHAnsi"/>
              </w:rPr>
            </w:pPr>
            <w:r w:rsidRPr="00841C1B">
              <w:rPr>
                <w:rFonts w:asciiTheme="majorHAnsi" w:hAnsiTheme="majorHAnsi"/>
              </w:rPr>
              <w:t>Risico op vallen, indien van toepassing, wordt opgenomen in de ontslagbrief.</w:t>
            </w:r>
            <w:r w:rsidRPr="00841C1B">
              <w:rPr>
                <w:rFonts w:asciiTheme="majorHAnsi" w:hAnsiTheme="majorHAnsi"/>
              </w:rPr>
              <w:tab/>
            </w:r>
          </w:p>
          <w:p w:rsidR="00F3323F" w:rsidRPr="00841C1B" w:rsidRDefault="00F3323F" w:rsidP="00F3323F">
            <w:pPr>
              <w:pStyle w:val="Kop3"/>
              <w:spacing w:line="360" w:lineRule="auto"/>
              <w:jc w:val="both"/>
              <w:rPr>
                <w:lang w:val="nl-BE"/>
              </w:rPr>
            </w:pPr>
            <w:bookmarkStart w:id="5" w:name="_Toc510771119"/>
            <w:bookmarkStart w:id="6" w:name="_Toc512494614"/>
            <w:bookmarkStart w:id="7" w:name="_Toc516215945"/>
            <w:r w:rsidRPr="00841C1B">
              <w:rPr>
                <w:lang w:val="nl-BE"/>
              </w:rPr>
              <w:t>Criterium B</w:t>
            </w:r>
            <w:bookmarkEnd w:id="5"/>
            <w:bookmarkEnd w:id="6"/>
            <w:r w:rsidRPr="00841C1B">
              <w:rPr>
                <w:lang w:val="nl-BE"/>
              </w:rPr>
              <w:t>8</w:t>
            </w:r>
            <w:bookmarkEnd w:id="7"/>
          </w:p>
          <w:p w:rsidR="00F3323F" w:rsidRPr="00841C1B" w:rsidRDefault="00F3323F" w:rsidP="00F3323F">
            <w:pPr>
              <w:spacing w:line="360" w:lineRule="auto"/>
              <w:jc w:val="both"/>
              <w:rPr>
                <w:rFonts w:asciiTheme="majorHAnsi" w:hAnsiTheme="majorHAnsi" w:cs="Arial"/>
                <w:i/>
                <w:lang w:val="nl-BE"/>
              </w:rPr>
            </w:pPr>
            <w:r w:rsidRPr="00841C1B">
              <w:rPr>
                <w:rFonts w:asciiTheme="majorHAnsi" w:hAnsiTheme="majorHAnsi" w:cs="Arial"/>
                <w:i/>
                <w:lang w:val="nl-BE"/>
              </w:rPr>
              <w:t>De participatie van de patiënt en zijn/haar familie aan de preventie van valincidenten zodanig organiseren dat de patiëntveiligheid en kwaliteit optimaal gewaarborgd is.</w:t>
            </w:r>
          </w:p>
          <w:p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 xml:space="preserve">Er is een structurele voorlichting/educatie, incl. risicofactoren, voorzien voor risicopatiënten en hun familie. </w:t>
            </w:r>
          </w:p>
          <w:p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 xml:space="preserve">Er zijn richtlijnen m.b.t. de communicatie over dit soort incidenten met de familie. </w:t>
            </w:r>
          </w:p>
          <w:p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Bij ontslag is er een briefing van de familie die verder instaat voor de zorg</w:t>
            </w:r>
            <w:r>
              <w:rPr>
                <w:rFonts w:asciiTheme="majorHAnsi" w:hAnsiTheme="majorHAnsi"/>
              </w:rPr>
              <w:t xml:space="preserve"> m.b.t. valrisico</w:t>
            </w:r>
            <w:r w:rsidRPr="00841C1B">
              <w:rPr>
                <w:rFonts w:asciiTheme="majorHAnsi" w:hAnsiTheme="majorHAnsi"/>
              </w:rPr>
              <w:t xml:space="preserve"> (</w:t>
            </w:r>
            <w:r>
              <w:rPr>
                <w:rFonts w:asciiTheme="majorHAnsi" w:hAnsiTheme="majorHAnsi"/>
              </w:rPr>
              <w:t>m</w:t>
            </w:r>
            <w:r w:rsidRPr="00841C1B">
              <w:rPr>
                <w:rFonts w:asciiTheme="majorHAnsi" w:hAnsiTheme="majorHAnsi"/>
              </w:rPr>
              <w:t>its geïnformeerde toestemming van de patiënt).</w:t>
            </w:r>
          </w:p>
          <w:p w:rsidR="00F3323F" w:rsidRPr="00841C1B"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Valincidenten worden geanalyseerd samen met de patiënt.</w:t>
            </w:r>
            <w:r w:rsidRPr="00841C1B">
              <w:rPr>
                <w:rFonts w:asciiTheme="majorHAnsi" w:hAnsiTheme="majorHAnsi"/>
              </w:rPr>
              <w:tab/>
            </w:r>
            <w:r w:rsidRPr="00841C1B">
              <w:rPr>
                <w:rFonts w:asciiTheme="majorHAnsi" w:hAnsiTheme="majorHAnsi"/>
              </w:rPr>
              <w:tab/>
            </w:r>
            <w:r w:rsidRPr="00841C1B">
              <w:rPr>
                <w:rFonts w:asciiTheme="majorHAnsi" w:hAnsiTheme="majorHAnsi"/>
              </w:rPr>
              <w:tab/>
            </w:r>
          </w:p>
          <w:p w:rsidR="00F3323F" w:rsidRDefault="00F3323F" w:rsidP="00F3323F">
            <w:pPr>
              <w:pStyle w:val="Lijstalinea"/>
              <w:numPr>
                <w:ilvl w:val="1"/>
                <w:numId w:val="4"/>
              </w:numPr>
              <w:spacing w:before="120" w:after="100" w:line="360" w:lineRule="auto"/>
              <w:ind w:left="851" w:hanging="284"/>
              <w:jc w:val="both"/>
              <w:rPr>
                <w:rFonts w:asciiTheme="majorHAnsi" w:hAnsiTheme="majorHAnsi"/>
              </w:rPr>
            </w:pPr>
            <w:r w:rsidRPr="00841C1B">
              <w:rPr>
                <w:rFonts w:asciiTheme="majorHAnsi" w:hAnsiTheme="majorHAnsi"/>
              </w:rPr>
              <w:t>Gepaste maatregelen worden besproken samen met de patiënt en de directe omgeving</w:t>
            </w:r>
            <w:r>
              <w:rPr>
                <w:rFonts w:asciiTheme="majorHAnsi" w:hAnsiTheme="majorHAnsi"/>
              </w:rPr>
              <w:t>.</w:t>
            </w:r>
          </w:p>
          <w:p w:rsidR="00F3323F" w:rsidRPr="00A62945" w:rsidRDefault="00F3323F" w:rsidP="00F3323F">
            <w:pPr>
              <w:pStyle w:val="Lijstalinea"/>
              <w:spacing w:before="120" w:after="100" w:line="360" w:lineRule="auto"/>
              <w:ind w:left="851"/>
              <w:jc w:val="both"/>
              <w:rPr>
                <w:rFonts w:asciiTheme="majorHAnsi" w:hAnsiTheme="majorHAnsi"/>
              </w:rPr>
            </w:pPr>
          </w:p>
          <w:p w:rsidR="00F3323F" w:rsidRDefault="00F3323F" w:rsidP="00F3323F">
            <w:pPr>
              <w:spacing w:line="360" w:lineRule="auto"/>
              <w:jc w:val="both"/>
              <w:rPr>
                <w:rFonts w:asciiTheme="majorHAnsi" w:eastAsiaTheme="majorEastAsia" w:hAnsiTheme="majorHAnsi" w:cstheme="majorBidi"/>
                <w:b/>
                <w:bCs/>
                <w:color w:val="418AB3" w:themeColor="accent1"/>
                <w:lang w:val="nl-BE"/>
                <w14:ligatures w14:val="standardContextual"/>
              </w:rPr>
            </w:pPr>
          </w:p>
          <w:p w:rsidR="00F3323F" w:rsidRPr="00F3323F" w:rsidRDefault="00F3323F" w:rsidP="00F3323F">
            <w:pPr>
              <w:spacing w:line="360" w:lineRule="auto"/>
              <w:jc w:val="both"/>
              <w:rPr>
                <w:rFonts w:asciiTheme="majorHAnsi" w:eastAsiaTheme="majorEastAsia" w:hAnsiTheme="majorHAnsi" w:cstheme="majorBidi"/>
                <w:b/>
                <w:bCs/>
                <w:color w:val="418AB3" w:themeColor="accent1"/>
                <w:lang w:val="nl-BE"/>
                <w14:ligatures w14:val="standardContextual"/>
              </w:rPr>
            </w:pPr>
            <w:r w:rsidRPr="00F3323F">
              <w:rPr>
                <w:rFonts w:asciiTheme="majorHAnsi" w:eastAsiaTheme="majorEastAsia" w:hAnsiTheme="majorHAnsi" w:cstheme="majorBidi"/>
                <w:b/>
                <w:bCs/>
                <w:color w:val="418AB3" w:themeColor="accent1"/>
                <w:lang w:val="nl-BE"/>
                <w14:ligatures w14:val="standardContextual"/>
              </w:rPr>
              <w:lastRenderedPageBreak/>
              <w:t xml:space="preserve">Criterium B12 </w:t>
            </w:r>
          </w:p>
          <w:p w:rsidR="00F3323F" w:rsidRPr="00841C1B" w:rsidRDefault="00F3323F" w:rsidP="00F3323F">
            <w:pPr>
              <w:spacing w:line="360" w:lineRule="auto"/>
              <w:jc w:val="both"/>
              <w:rPr>
                <w:rFonts w:asciiTheme="majorHAnsi" w:hAnsiTheme="majorHAnsi" w:cs="Arial"/>
                <w:i/>
                <w:lang w:val="nl-BE"/>
              </w:rPr>
            </w:pPr>
            <w:r w:rsidRPr="00841C1B">
              <w:rPr>
                <w:rFonts w:asciiTheme="majorHAnsi" w:hAnsiTheme="majorHAnsi" w:cs="Arial"/>
                <w:i/>
                <w:lang w:val="nl-BE"/>
              </w:rPr>
              <w:t>Een strategie en beleid over valincidenten ontwikkelen zodanig dat de patiëntveiligheid en kwaliteit optimaal gewaarborgd is.</w:t>
            </w:r>
          </w:p>
          <w:p w:rsidR="00F3323F" w:rsidRPr="00841C1B" w:rsidRDefault="00F3323F" w:rsidP="00F3323F">
            <w:pPr>
              <w:pStyle w:val="Lijstalinea"/>
              <w:numPr>
                <w:ilvl w:val="1"/>
                <w:numId w:val="5"/>
              </w:numPr>
              <w:spacing w:before="120" w:after="100" w:line="360" w:lineRule="auto"/>
              <w:ind w:left="851" w:hanging="284"/>
              <w:jc w:val="both"/>
              <w:rPr>
                <w:rFonts w:asciiTheme="majorHAnsi" w:hAnsiTheme="majorHAnsi"/>
              </w:rPr>
            </w:pPr>
            <w:r w:rsidRPr="00841C1B">
              <w:rPr>
                <w:rFonts w:asciiTheme="majorHAnsi" w:hAnsiTheme="majorHAnsi"/>
              </w:rPr>
              <w:t xml:space="preserve">Er zijn procedures ontwikkeld m.b.t. preventie van valincidenten, incl. vorming en sensibilisering van en opvolging door medewerkers (bv. aandacht voor schoeisel, evaluatie van omgeving en gedrag, aandacht voor wijzigingen medicatie of bijkomende somatische aandoeningen). </w:t>
            </w:r>
            <w:r w:rsidRPr="00841C1B">
              <w:rPr>
                <w:rFonts w:asciiTheme="majorHAnsi" w:hAnsiTheme="majorHAnsi"/>
              </w:rPr>
              <w:tab/>
            </w:r>
          </w:p>
          <w:p w:rsidR="00F3323F" w:rsidRPr="00841C1B" w:rsidRDefault="00F3323F" w:rsidP="00F3323F">
            <w:pPr>
              <w:pStyle w:val="Lijstalinea"/>
              <w:numPr>
                <w:ilvl w:val="1"/>
                <w:numId w:val="5"/>
              </w:numPr>
              <w:spacing w:before="120" w:after="100" w:line="360" w:lineRule="auto"/>
              <w:ind w:left="851" w:hanging="284"/>
              <w:jc w:val="both"/>
              <w:rPr>
                <w:rFonts w:asciiTheme="majorHAnsi" w:hAnsiTheme="majorHAnsi"/>
              </w:rPr>
            </w:pPr>
            <w:r w:rsidRPr="00841C1B">
              <w:rPr>
                <w:rFonts w:asciiTheme="majorHAnsi" w:hAnsiTheme="majorHAnsi"/>
              </w:rPr>
              <w:t>De omgeving wordt geanalyseerd en aangepast om het risico op vallen te verminderen</w:t>
            </w:r>
            <w:r>
              <w:rPr>
                <w:rFonts w:asciiTheme="majorHAnsi" w:hAnsiTheme="majorHAnsi"/>
              </w:rPr>
              <w:t>.</w:t>
            </w:r>
            <w:r w:rsidRPr="00841C1B">
              <w:rPr>
                <w:rFonts w:asciiTheme="majorHAnsi" w:hAnsiTheme="majorHAnsi"/>
              </w:rPr>
              <w:t xml:space="preserve"> </w:t>
            </w:r>
          </w:p>
          <w:p w:rsidR="00F3323F" w:rsidRPr="004A5A23" w:rsidRDefault="00F3323F" w:rsidP="00F3323F">
            <w:pPr>
              <w:pStyle w:val="Lijstalinea"/>
              <w:numPr>
                <w:ilvl w:val="1"/>
                <w:numId w:val="5"/>
              </w:numPr>
              <w:spacing w:before="120" w:after="100" w:line="360" w:lineRule="auto"/>
              <w:ind w:left="851" w:hanging="284"/>
              <w:jc w:val="both"/>
              <w:rPr>
                <w:rStyle w:val="Intensievebenadrukking"/>
                <w:rFonts w:asciiTheme="majorHAnsi" w:hAnsiTheme="majorHAnsi"/>
                <w:b w:val="0"/>
                <w:bCs w:val="0"/>
              </w:rPr>
            </w:pPr>
            <w:r w:rsidRPr="00A62945">
              <w:rPr>
                <w:rFonts w:asciiTheme="majorHAnsi" w:hAnsiTheme="majorHAnsi"/>
              </w:rPr>
              <w:t xml:space="preserve">Er zijn </w:t>
            </w:r>
            <w:r w:rsidRPr="004A5A23">
              <w:rPr>
                <w:rFonts w:asciiTheme="majorHAnsi" w:hAnsiTheme="majorHAnsi"/>
              </w:rPr>
              <w:t>richtlijnen m.b.t. een veilige infrastructuur om valincidenten te vermijden (bv. beperken obstakels, geen losse kabels, aandacht voor opstelling loophulpmiddelen, verzorgingskarren, geen gevaarlijke vloeroppervlakken of drempels, aangepaste verlichting, antislipmateriaal in badkamers, duidelijke signalisatie, …).</w:t>
            </w:r>
            <w:r w:rsidRPr="004A5A23">
              <w:rPr>
                <w:rFonts w:asciiTheme="majorHAnsi" w:hAnsiTheme="majorHAnsi"/>
              </w:rPr>
              <w:tab/>
            </w:r>
          </w:p>
          <w:p w:rsidR="000D4D86" w:rsidRPr="00D12559" w:rsidRDefault="000D4D86" w:rsidP="000D4D86">
            <w:pPr>
              <w:ind w:left="360"/>
              <w:contextualSpacing/>
              <w:jc w:val="both"/>
            </w:pPr>
          </w:p>
        </w:tc>
      </w:tr>
      <w:tr w:rsidR="00DD3762" w:rsidTr="000D4D86">
        <w:trPr>
          <w:gridAfter w:val="1"/>
          <w:wAfter w:w="2351" w:type="dxa"/>
          <w:trHeight w:val="772"/>
        </w:trPr>
        <w:tc>
          <w:tcPr>
            <w:tcW w:w="7325" w:type="dxa"/>
            <w:gridSpan w:val="3"/>
            <w:tcBorders>
              <w:top w:val="nil"/>
              <w:bottom w:val="nil"/>
            </w:tcBorders>
          </w:tcPr>
          <w:p w:rsidR="00DD3762" w:rsidRDefault="00DD3762" w:rsidP="002F5DC9">
            <w:pPr>
              <w:pStyle w:val="Cv-tekst"/>
            </w:pPr>
          </w:p>
        </w:tc>
      </w:tr>
      <w:tr w:rsidR="00DD3762" w:rsidTr="000D4D86">
        <w:trPr>
          <w:gridAfter w:val="1"/>
          <w:wAfter w:w="2351" w:type="dxa"/>
        </w:trPr>
        <w:tc>
          <w:tcPr>
            <w:tcW w:w="7325" w:type="dxa"/>
            <w:gridSpan w:val="3"/>
            <w:tcBorders>
              <w:top w:val="nil"/>
            </w:tcBorders>
          </w:tcPr>
          <w:p w:rsidR="00DD3762" w:rsidRDefault="00DD3762" w:rsidP="002F5DC9">
            <w:pPr>
              <w:pStyle w:val="Cv-tekst"/>
              <w:ind w:right="105"/>
              <w:jc w:val="both"/>
            </w:pPr>
          </w:p>
        </w:tc>
      </w:tr>
    </w:tbl>
    <w:p w:rsidR="00AE3D58" w:rsidRPr="00DC52E1" w:rsidRDefault="00AE3D58" w:rsidP="00D81F79">
      <w:pPr>
        <w:jc w:val="right"/>
      </w:pPr>
    </w:p>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C9" w:rsidRDefault="002F5DC9">
      <w:pPr>
        <w:spacing w:before="0" w:after="0" w:line="240" w:lineRule="auto"/>
      </w:pPr>
      <w:r>
        <w:separator/>
      </w:r>
    </w:p>
  </w:endnote>
  <w:endnote w:type="continuationSeparator" w:id="0">
    <w:p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54"/>
      <w:gridCol w:w="4892"/>
    </w:tblGrid>
    <w:tr w:rsidR="00AE3D58" w:rsidRPr="00FB35DA">
      <w:tc>
        <w:tcPr>
          <w:tcW w:w="5148" w:type="dxa"/>
        </w:tcPr>
        <w:p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pt-PT"/>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AE3D58" w:rsidRPr="005A7995" w:rsidRDefault="005A7995">
              <w:pPr>
                <w:pStyle w:val="Voettekst"/>
                <w:jc w:val="right"/>
                <w:rPr>
                  <w:lang w:val="pt-PT"/>
                </w:rPr>
              </w:pPr>
              <w:r w:rsidRPr="005A7995">
                <w:rPr>
                  <w:lang w:val="pt-PT"/>
                </w:rPr>
                <w:t>Template Valincidenten (criteria B4-B8-B12)</w:t>
              </w:r>
            </w:p>
          </w:tc>
        </w:sdtContent>
      </w:sdt>
    </w:tr>
  </w:tbl>
  <w:p w:rsidR="00AE3D58" w:rsidRPr="005A7995" w:rsidRDefault="00AE3D58">
    <w:pPr>
      <w:pStyle w:val="Voettekst"/>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rsidR="00C50059" w:rsidRDefault="00C50059">
        <w:pPr>
          <w:pStyle w:val="Voettekst"/>
          <w:jc w:val="right"/>
        </w:pPr>
        <w:r>
          <w:fldChar w:fldCharType="begin"/>
        </w:r>
        <w:r>
          <w:instrText>PAGE   \* MERGEFORMAT</w:instrText>
        </w:r>
        <w:r>
          <w:fldChar w:fldCharType="separate"/>
        </w:r>
        <w:r>
          <w:t>2</w:t>
        </w:r>
        <w:r>
          <w:fldChar w:fldCharType="end"/>
        </w:r>
      </w:p>
    </w:sdtContent>
  </w:sdt>
  <w:p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C9" w:rsidRDefault="002F5DC9">
      <w:pPr>
        <w:spacing w:before="0" w:after="0" w:line="240" w:lineRule="auto"/>
      </w:pPr>
      <w:r>
        <w:separator/>
      </w:r>
    </w:p>
  </w:footnote>
  <w:footnote w:type="continuationSeparator" w:id="0">
    <w:p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983FCA"/>
    <w:multiLevelType w:val="multilevel"/>
    <w:tmpl w:val="0F4C36DE"/>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i w:val="0"/>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67C827F0"/>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8368DE"/>
    <w:multiLevelType w:val="multilevel"/>
    <w:tmpl w:val="CE1A3D5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76643"/>
    <w:rsid w:val="000817AD"/>
    <w:rsid w:val="000A421D"/>
    <w:rsid w:val="000D4D86"/>
    <w:rsid w:val="0010331C"/>
    <w:rsid w:val="0012399A"/>
    <w:rsid w:val="00147F56"/>
    <w:rsid w:val="001728F6"/>
    <w:rsid w:val="00285595"/>
    <w:rsid w:val="002A6C12"/>
    <w:rsid w:val="002F5DC9"/>
    <w:rsid w:val="00356670"/>
    <w:rsid w:val="003C3E1B"/>
    <w:rsid w:val="003D5030"/>
    <w:rsid w:val="003D799D"/>
    <w:rsid w:val="003F09D9"/>
    <w:rsid w:val="003F5F30"/>
    <w:rsid w:val="004708A3"/>
    <w:rsid w:val="00493E93"/>
    <w:rsid w:val="004A16FE"/>
    <w:rsid w:val="004C594A"/>
    <w:rsid w:val="005056A8"/>
    <w:rsid w:val="0051479A"/>
    <w:rsid w:val="005A7995"/>
    <w:rsid w:val="005E6154"/>
    <w:rsid w:val="005F6DF4"/>
    <w:rsid w:val="00610EF3"/>
    <w:rsid w:val="00633066"/>
    <w:rsid w:val="0067499A"/>
    <w:rsid w:val="00785A9A"/>
    <w:rsid w:val="007E6DA3"/>
    <w:rsid w:val="008174BF"/>
    <w:rsid w:val="008265DC"/>
    <w:rsid w:val="00834486"/>
    <w:rsid w:val="00845AD1"/>
    <w:rsid w:val="008471CA"/>
    <w:rsid w:val="008510D9"/>
    <w:rsid w:val="008643B4"/>
    <w:rsid w:val="00872F11"/>
    <w:rsid w:val="008979F0"/>
    <w:rsid w:val="00902B46"/>
    <w:rsid w:val="00955A62"/>
    <w:rsid w:val="00977880"/>
    <w:rsid w:val="009C376B"/>
    <w:rsid w:val="00A87357"/>
    <w:rsid w:val="00AD3B25"/>
    <w:rsid w:val="00AE3D58"/>
    <w:rsid w:val="00B14F8C"/>
    <w:rsid w:val="00B642F3"/>
    <w:rsid w:val="00B64A9C"/>
    <w:rsid w:val="00B74E28"/>
    <w:rsid w:val="00BC44B2"/>
    <w:rsid w:val="00BF2785"/>
    <w:rsid w:val="00C50059"/>
    <w:rsid w:val="00D051DE"/>
    <w:rsid w:val="00D12559"/>
    <w:rsid w:val="00D81F79"/>
    <w:rsid w:val="00D83688"/>
    <w:rsid w:val="00D96FDD"/>
    <w:rsid w:val="00DA6CFF"/>
    <w:rsid w:val="00DC52E1"/>
    <w:rsid w:val="00DD3762"/>
    <w:rsid w:val="00E96A6F"/>
    <w:rsid w:val="00EB61C3"/>
    <w:rsid w:val="00F3323F"/>
    <w:rsid w:val="00FB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 w:type="character" w:styleId="Intensievebenadrukking">
    <w:name w:val="Intense Emphasis"/>
    <w:uiPriority w:val="99"/>
    <w:qFormat/>
    <w:rsid w:val="00F3323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4656-281C-4DF1-98DD-1F77AD35F1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5</Pages>
  <Words>959</Words>
  <Characters>5277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Valincidenten (criteria B4-B8-B12)</dc:creator>
  <cp:keywords/>
  <cp:lastModifiedBy>Peleman Hilde</cp:lastModifiedBy>
  <cp:revision>3</cp:revision>
  <dcterms:created xsi:type="dcterms:W3CDTF">2019-12-02T14:27:00Z</dcterms:created>
  <dcterms:modified xsi:type="dcterms:W3CDTF">2020-09-30T14:33:00Z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