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CC" w:rsidRDefault="00390E37"/>
    <w:p w:rsidR="000B1017" w:rsidRDefault="000B1017"/>
    <w:p w:rsidR="000B1017" w:rsidRPr="000B1017" w:rsidRDefault="000B1017" w:rsidP="000B1017">
      <w:pPr>
        <w:spacing w:before="240" w:after="120" w:line="240" w:lineRule="auto"/>
        <w:jc w:val="both"/>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MODÈLE DE LETTRE D'ACCOMPAGNEMENT D'UNE DEMANDE DE CONSULTATION EN VUE DE LA DÉTERMINATION DU STATUT DE NOUVEL ALIMENT</w:t>
      </w:r>
    </w:p>
    <w:p w:rsidR="000B1017" w:rsidRDefault="000B1017" w:rsidP="000B1017">
      <w:pPr>
        <w:spacing w:before="120" w:after="0" w:line="240" w:lineRule="auto"/>
        <w:jc w:val="both"/>
        <w:rPr>
          <w:rFonts w:ascii="inherit" w:eastAsia="Times New Roman" w:hAnsi="inherit" w:cs="Times New Roman"/>
          <w:i/>
          <w:iCs/>
          <w:color w:val="000000"/>
          <w:sz w:val="24"/>
          <w:szCs w:val="24"/>
          <w:lang w:eastAsia="fr-BE"/>
        </w:rPr>
      </w:pPr>
    </w:p>
    <w:p w:rsidR="00DC6988" w:rsidRDefault="00DC6988" w:rsidP="00DC6988">
      <w:pPr>
        <w:spacing w:after="0" w:line="240" w:lineRule="auto"/>
        <w:ind w:left="3828"/>
        <w:jc w:val="both"/>
        <w:rPr>
          <w:rFonts w:ascii="inherit" w:eastAsia="Times New Roman" w:hAnsi="inherit" w:cs="Times New Roman"/>
          <w:i/>
          <w:iCs/>
          <w:color w:val="000000"/>
          <w:sz w:val="24"/>
          <w:szCs w:val="24"/>
          <w:lang w:eastAsia="fr-BE"/>
        </w:rPr>
      </w:pPr>
      <w:r w:rsidRPr="00DC6988">
        <w:rPr>
          <w:rFonts w:ascii="inherit" w:eastAsia="Times New Roman" w:hAnsi="inherit" w:cs="Times New Roman"/>
          <w:i/>
          <w:iCs/>
          <w:color w:val="000000"/>
          <w:sz w:val="24"/>
          <w:szCs w:val="24"/>
          <w:lang w:eastAsia="fr-BE"/>
        </w:rPr>
        <w:t>SPF Santé publique, Sécurité de la chaîne alimentaire et Environnement</w:t>
      </w:r>
    </w:p>
    <w:p w:rsidR="00444929" w:rsidRDefault="00444929" w:rsidP="00DC6988">
      <w:pPr>
        <w:spacing w:after="0" w:line="240" w:lineRule="auto"/>
        <w:ind w:left="3828"/>
        <w:jc w:val="both"/>
        <w:rPr>
          <w:rFonts w:ascii="inherit" w:eastAsia="Times New Roman" w:hAnsi="inherit" w:cs="Times New Roman"/>
          <w:i/>
          <w:iCs/>
          <w:color w:val="000000"/>
          <w:sz w:val="24"/>
          <w:szCs w:val="24"/>
          <w:lang w:eastAsia="fr-BE"/>
        </w:rPr>
      </w:pPr>
      <w:r>
        <w:rPr>
          <w:rFonts w:ascii="inherit" w:eastAsia="Times New Roman" w:hAnsi="inherit" w:cs="Times New Roman"/>
          <w:i/>
          <w:iCs/>
          <w:color w:val="000000"/>
          <w:sz w:val="24"/>
          <w:szCs w:val="24"/>
          <w:lang w:eastAsia="fr-BE"/>
        </w:rPr>
        <w:t xml:space="preserve">DG </w:t>
      </w:r>
      <w:r w:rsidRPr="00444929">
        <w:rPr>
          <w:rFonts w:ascii="inherit" w:eastAsia="Times New Roman" w:hAnsi="inherit" w:cs="Times New Roman"/>
          <w:i/>
          <w:iCs/>
          <w:color w:val="000000"/>
          <w:sz w:val="24"/>
          <w:szCs w:val="24"/>
          <w:lang w:eastAsia="fr-BE"/>
        </w:rPr>
        <w:t xml:space="preserve">Animaux, Végétaux et Alimentation </w:t>
      </w:r>
    </w:p>
    <w:p w:rsidR="000B1017" w:rsidRDefault="00444929" w:rsidP="00DC6988">
      <w:pPr>
        <w:spacing w:after="0" w:line="240" w:lineRule="auto"/>
        <w:ind w:left="3828"/>
        <w:jc w:val="both"/>
        <w:rPr>
          <w:rFonts w:ascii="inherit" w:eastAsia="Times New Roman" w:hAnsi="inherit" w:cs="Times New Roman"/>
          <w:i/>
          <w:iCs/>
          <w:color w:val="000000"/>
          <w:sz w:val="24"/>
          <w:szCs w:val="24"/>
          <w:lang w:eastAsia="fr-BE"/>
        </w:rPr>
      </w:pPr>
      <w:r>
        <w:rPr>
          <w:rFonts w:ascii="inherit" w:eastAsia="Times New Roman" w:hAnsi="inherit" w:cs="Times New Roman"/>
          <w:i/>
          <w:iCs/>
          <w:color w:val="000000"/>
          <w:sz w:val="24"/>
          <w:szCs w:val="24"/>
          <w:lang w:eastAsia="fr-BE"/>
        </w:rPr>
        <w:t>Service</w:t>
      </w:r>
      <w:r w:rsidRPr="00444929">
        <w:rPr>
          <w:rFonts w:ascii="inherit" w:eastAsia="Times New Roman" w:hAnsi="inherit" w:cs="Times New Roman"/>
          <w:i/>
          <w:iCs/>
          <w:color w:val="000000"/>
          <w:sz w:val="24"/>
          <w:szCs w:val="24"/>
          <w:lang w:eastAsia="fr-BE"/>
        </w:rPr>
        <w:t xml:space="preserve"> Denrées Alimentaires, Aliments pour Animaux et Autres Produits de Consommation</w:t>
      </w:r>
    </w:p>
    <w:p w:rsidR="00DC6988" w:rsidRPr="00DC6988" w:rsidRDefault="00DC6988" w:rsidP="00DC6988">
      <w:pPr>
        <w:spacing w:after="0" w:line="240" w:lineRule="auto"/>
        <w:ind w:left="3828"/>
        <w:jc w:val="both"/>
        <w:rPr>
          <w:rFonts w:ascii="inherit" w:eastAsia="Times New Roman" w:hAnsi="inherit" w:cs="Times New Roman"/>
          <w:i/>
          <w:iCs/>
          <w:color w:val="000000"/>
          <w:sz w:val="24"/>
          <w:szCs w:val="24"/>
          <w:lang w:val="en-US" w:eastAsia="fr-BE"/>
        </w:rPr>
      </w:pPr>
      <w:r w:rsidRPr="00DC6988">
        <w:rPr>
          <w:rFonts w:ascii="inherit" w:eastAsia="Times New Roman" w:hAnsi="inherit" w:cs="Times New Roman"/>
          <w:i/>
          <w:iCs/>
          <w:color w:val="000000"/>
          <w:sz w:val="24"/>
          <w:szCs w:val="24"/>
          <w:lang w:val="en-US" w:eastAsia="fr-BE"/>
        </w:rPr>
        <w:t>Team Novel Foods</w:t>
      </w:r>
    </w:p>
    <w:p w:rsidR="00DC6988" w:rsidRPr="00DC6988" w:rsidRDefault="00DC6988" w:rsidP="00DC6988">
      <w:pPr>
        <w:spacing w:after="0" w:line="240" w:lineRule="auto"/>
        <w:ind w:left="3828"/>
        <w:jc w:val="both"/>
        <w:rPr>
          <w:rFonts w:ascii="inherit" w:eastAsia="Times New Roman" w:hAnsi="inherit" w:cs="Times New Roman"/>
          <w:i/>
          <w:iCs/>
          <w:color w:val="000000"/>
          <w:sz w:val="24"/>
          <w:szCs w:val="24"/>
          <w:lang w:val="en-US" w:eastAsia="fr-BE"/>
        </w:rPr>
      </w:pPr>
      <w:r w:rsidRPr="00DC6988">
        <w:rPr>
          <w:rFonts w:ascii="inherit" w:eastAsia="Times New Roman" w:hAnsi="inherit" w:cs="Times New Roman"/>
          <w:i/>
          <w:iCs/>
          <w:color w:val="000000"/>
          <w:sz w:val="24"/>
          <w:szCs w:val="24"/>
          <w:lang w:val="en-US" w:eastAsia="fr-BE"/>
        </w:rPr>
        <w:t>Place Victor Horta 40/10</w:t>
      </w:r>
    </w:p>
    <w:p w:rsidR="00DC6988" w:rsidRPr="00390E37" w:rsidRDefault="00DC6988" w:rsidP="00DC6988">
      <w:pPr>
        <w:spacing w:after="0" w:line="240" w:lineRule="auto"/>
        <w:ind w:left="3828"/>
        <w:jc w:val="both"/>
        <w:rPr>
          <w:rFonts w:ascii="inherit" w:eastAsia="Times New Roman" w:hAnsi="inherit" w:cs="Times New Roman"/>
          <w:i/>
          <w:iCs/>
          <w:color w:val="000000"/>
          <w:sz w:val="24"/>
          <w:szCs w:val="24"/>
          <w:lang w:eastAsia="fr-BE"/>
        </w:rPr>
      </w:pPr>
      <w:r w:rsidRPr="00390E37">
        <w:rPr>
          <w:rFonts w:ascii="inherit" w:eastAsia="Times New Roman" w:hAnsi="inherit" w:cs="Times New Roman"/>
          <w:i/>
          <w:iCs/>
          <w:color w:val="000000"/>
          <w:sz w:val="24"/>
          <w:szCs w:val="24"/>
          <w:lang w:eastAsia="fr-BE"/>
        </w:rPr>
        <w:t>1060 Bruxelles</w:t>
      </w:r>
    </w:p>
    <w:p w:rsidR="00444929" w:rsidRPr="00390E37" w:rsidRDefault="00444929" w:rsidP="000B1017">
      <w:pPr>
        <w:spacing w:before="120" w:after="0" w:line="240" w:lineRule="auto"/>
        <w:jc w:val="both"/>
        <w:rPr>
          <w:rFonts w:ascii="inherit" w:eastAsia="Times New Roman" w:hAnsi="inherit" w:cs="Times New Roman"/>
          <w:color w:val="000000"/>
          <w:sz w:val="24"/>
          <w:szCs w:val="24"/>
          <w:lang w:eastAsia="fr-BE"/>
        </w:rPr>
      </w:pP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Date: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Objet: Demande de consultation en vue de la détermination du statut de nouvel aliment concernant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Le ou les exploitants du secteur alimentaire/la partie consultante:</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Société: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Adresse: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Tél.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Courriel: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Personne de contact: …</w:t>
      </w:r>
    </w:p>
    <w:p w:rsidR="002834D4" w:rsidRDefault="002834D4" w:rsidP="000B1017">
      <w:pPr>
        <w:spacing w:before="120" w:after="0" w:line="240" w:lineRule="auto"/>
        <w:jc w:val="both"/>
        <w:rPr>
          <w:rFonts w:ascii="inherit" w:eastAsia="Times New Roman" w:hAnsi="inherit" w:cs="Times New Roman"/>
          <w:color w:val="000000"/>
          <w:sz w:val="24"/>
          <w:szCs w:val="24"/>
          <w:lang w:eastAsia="fr-BE"/>
        </w:rPr>
      </w:pP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soumet(</w:t>
      </w:r>
      <w:proofErr w:type="spellStart"/>
      <w:r w:rsidRPr="000B1017">
        <w:rPr>
          <w:rFonts w:ascii="inherit" w:eastAsia="Times New Roman" w:hAnsi="inherit" w:cs="Times New Roman"/>
          <w:color w:val="000000"/>
          <w:sz w:val="24"/>
          <w:szCs w:val="24"/>
          <w:lang w:eastAsia="fr-BE"/>
        </w:rPr>
        <w:t>tent</w:t>
      </w:r>
      <w:proofErr w:type="spellEnd"/>
      <w:r w:rsidRPr="000B1017">
        <w:rPr>
          <w:rFonts w:ascii="inherit" w:eastAsia="Times New Roman" w:hAnsi="inherit" w:cs="Times New Roman"/>
          <w:color w:val="000000"/>
          <w:sz w:val="24"/>
          <w:szCs w:val="24"/>
          <w:lang w:eastAsia="fr-BE"/>
        </w:rPr>
        <w:t>) la présente demande de consultation en vue de la détermination du statut de nouvel aliment concernant …</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Je vous prie de croire, Madame, Monsieur, à l'assurance de ma considération distinguée.</w:t>
      </w:r>
    </w:p>
    <w:p w:rsidR="002834D4" w:rsidRDefault="002834D4" w:rsidP="000B1017">
      <w:pPr>
        <w:spacing w:before="120" w:after="0" w:line="240" w:lineRule="auto"/>
        <w:jc w:val="both"/>
        <w:rPr>
          <w:rFonts w:ascii="inherit" w:eastAsia="Times New Roman" w:hAnsi="inherit" w:cs="Times New Roman"/>
          <w:color w:val="000000"/>
          <w:sz w:val="24"/>
          <w:szCs w:val="24"/>
          <w:lang w:eastAsia="fr-BE"/>
        </w:rPr>
      </w:pP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Signature …</w:t>
      </w:r>
    </w:p>
    <w:p w:rsidR="002834D4" w:rsidRDefault="002834D4" w:rsidP="000B1017">
      <w:pPr>
        <w:spacing w:before="120" w:after="0" w:line="240" w:lineRule="auto"/>
        <w:jc w:val="both"/>
        <w:rPr>
          <w:rFonts w:ascii="inherit" w:eastAsia="Times New Roman" w:hAnsi="inherit" w:cs="Times New Roman"/>
          <w:color w:val="000000"/>
          <w:sz w:val="24"/>
          <w:szCs w:val="24"/>
          <w:lang w:eastAsia="fr-BE"/>
        </w:rPr>
      </w:pP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Pièces jointes:</w:t>
      </w: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0B1017" w:rsidRPr="000B1017" w:rsidTr="00444929">
        <w:trPr>
          <w:tblCellSpacing w:w="0" w:type="dxa"/>
        </w:trPr>
        <w:tc>
          <w:tcPr>
            <w:tcW w:w="233"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7"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Dossier technique</w:t>
            </w:r>
          </w:p>
        </w:tc>
      </w:tr>
      <w:tr w:rsidR="000B1017" w:rsidRPr="000B1017" w:rsidTr="00444929">
        <w:trPr>
          <w:tblCellSpacing w:w="0" w:type="dxa"/>
        </w:trPr>
        <w:tc>
          <w:tcPr>
            <w:tcW w:w="233"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7"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Documents fournis à l'appui de la demande de consultation</w:t>
            </w:r>
          </w:p>
        </w:tc>
      </w:tr>
      <w:tr w:rsidR="000B1017" w:rsidRPr="000B1017" w:rsidTr="00444929">
        <w:trPr>
          <w:tblCellSpacing w:w="0" w:type="dxa"/>
        </w:trPr>
        <w:tc>
          <w:tcPr>
            <w:tcW w:w="236"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4"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Note explicative</w:t>
            </w:r>
          </w:p>
        </w:tc>
      </w:tr>
    </w:tbl>
    <w:p w:rsidR="000B1017" w:rsidRDefault="000B1017">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type="page"/>
      </w:r>
    </w:p>
    <w:p w:rsidR="000B1017" w:rsidRPr="000B1017" w:rsidRDefault="000B1017" w:rsidP="000B1017">
      <w:pPr>
        <w:spacing w:before="120" w:after="120" w:line="240" w:lineRule="auto"/>
        <w:rPr>
          <w:rFonts w:ascii="Times New Roman" w:eastAsia="Times New Roman" w:hAnsi="Times New Roman" w:cs="Times New Roman"/>
          <w:sz w:val="24"/>
          <w:szCs w:val="24"/>
          <w:lang w:eastAsia="fr-BE"/>
        </w:rPr>
      </w:pPr>
    </w:p>
    <w:p w:rsidR="00403E6F" w:rsidRPr="00403E6F" w:rsidRDefault="00403E6F" w:rsidP="00403E6F">
      <w:pPr>
        <w:spacing w:before="240" w:after="120" w:line="240" w:lineRule="auto"/>
        <w:jc w:val="center"/>
        <w:rPr>
          <w:rFonts w:ascii="inherit" w:eastAsia="Times New Roman" w:hAnsi="inherit" w:cs="Times New Roman"/>
          <w:bCs/>
          <w:color w:val="000000"/>
          <w:sz w:val="24"/>
          <w:szCs w:val="24"/>
          <w:lang w:eastAsia="fr-BE"/>
        </w:rPr>
      </w:pPr>
      <w:r w:rsidRPr="00403E6F">
        <w:rPr>
          <w:rFonts w:ascii="inherit" w:eastAsia="Times New Roman" w:hAnsi="inherit" w:cs="Times New Roman"/>
          <w:bCs/>
          <w:color w:val="000000"/>
          <w:sz w:val="24"/>
          <w:szCs w:val="24"/>
          <w:lang w:eastAsia="fr-BE"/>
        </w:rPr>
        <w:t>RÈGLEMENT D'EXÉCUTION (UE) 2018/456 DE LA COMMISSION du 19 mars 2018 relatif aux étapes de la procédure de consultation en vue de la détermination du statut de nouvel aliment conformément au règlement (UE) 2015/2283 du Parlement européen et du Conseil relatif aux nouveaux aliments</w:t>
      </w:r>
    </w:p>
    <w:p w:rsidR="00403E6F" w:rsidRDefault="00403E6F" w:rsidP="00403E6F">
      <w:pPr>
        <w:spacing w:before="240" w:after="120" w:line="240" w:lineRule="auto"/>
        <w:jc w:val="both"/>
        <w:rPr>
          <w:rFonts w:ascii="inherit" w:eastAsia="Times New Roman" w:hAnsi="inherit" w:cs="Times New Roman"/>
          <w:b/>
          <w:bCs/>
          <w:color w:val="000000"/>
          <w:sz w:val="24"/>
          <w:szCs w:val="24"/>
          <w:lang w:eastAsia="fr-BE"/>
        </w:rPr>
      </w:pPr>
    </w:p>
    <w:p w:rsidR="000B1017" w:rsidRPr="000B1017" w:rsidRDefault="000B1017" w:rsidP="00403E6F">
      <w:pPr>
        <w:spacing w:before="240" w:after="120" w:line="240" w:lineRule="auto"/>
        <w:jc w:val="both"/>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MODÈLE DE DOSSIER TECHNIQUE</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Le lien entre les différents éléments d'information doit être expliqué dans une note explicative, en particulier en ce qui concerne les éléments probants présentés pour étayer l'existence d'une consommation humaine non négligeable dans l'Union avant le 15 mai 1997, lorsque ces documents provenant d'une série de sources différentes doivent être pris en considération pour être en mesure d'aboutir à une conclusion.</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Lorsque seules certaines parties des documents sont pertinentes pour la détermination du statut de nouvel aliment, ces parties doivent être mises en évidence.</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La section 1 doit être remplie pour toutes les denrées alimentaires.</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Pour les extraits, outre la section 1, la section 2 doit également être remplie.</w:t>
      </w:r>
    </w:p>
    <w:p w:rsidR="000B1017" w:rsidRPr="000B1017" w:rsidRDefault="000B1017" w:rsidP="000B1017">
      <w:pPr>
        <w:spacing w:before="120" w:after="0" w:line="240" w:lineRule="auto"/>
        <w:jc w:val="both"/>
        <w:rPr>
          <w:rFonts w:ascii="inherit" w:eastAsia="Times New Roman" w:hAnsi="inherit" w:cs="Times New Roman"/>
          <w:color w:val="000000"/>
          <w:sz w:val="24"/>
          <w:szCs w:val="24"/>
          <w:lang w:eastAsia="fr-BE"/>
        </w:rPr>
      </w:pPr>
      <w:r w:rsidRPr="000B1017">
        <w:rPr>
          <w:rFonts w:ascii="inherit" w:eastAsia="Times New Roman" w:hAnsi="inherit" w:cs="Times New Roman"/>
          <w:color w:val="000000"/>
          <w:sz w:val="24"/>
          <w:szCs w:val="24"/>
          <w:lang w:eastAsia="fr-BE"/>
        </w:rPr>
        <w:t>Pour les denrées alimentaires résultant d'un procédé de production qui n'était pas utilisé pour la production de denrées alimentaires dans l'Union avant le 15 mai 1997, la section 1 (points 1 à 3 et 7) et la section 3 doivent être remplies.</w:t>
      </w:r>
    </w:p>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p>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Section 1: toutes denrées alimentaires (pour les denrées résultant d'un procédé de production qui n'était pas utilisé pour la production de denrées alimentaires dans l'Union avant le 15 mai 1997, remplir uniquement les points 1 à 3 et 7)</w:t>
      </w:r>
    </w:p>
    <w:p w:rsidR="00A50450" w:rsidRDefault="00A50450"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0B1017" w:rsidTr="000B1017">
        <w:tc>
          <w:tcPr>
            <w:tcW w:w="9016" w:type="dxa"/>
            <w:gridSpan w:val="2"/>
          </w:tcPr>
          <w:p w:rsidR="000B1017" w:rsidRDefault="000B1017" w:rsidP="000B1017">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1.</w:t>
            </w:r>
            <w:r w:rsidRPr="000B1017">
              <w:rPr>
                <w:rFonts w:ascii="inherit" w:eastAsia="Times New Roman" w:hAnsi="inherit" w:cs="Times New Roman"/>
                <w:b/>
                <w:bCs/>
                <w:color w:val="000000"/>
                <w:sz w:val="24"/>
                <w:szCs w:val="24"/>
                <w:lang w:eastAsia="fr-BE"/>
              </w:rPr>
              <w:tab/>
              <w:t>Description de la denrée alimentaire concernée</w:t>
            </w:r>
          </w:p>
        </w:tc>
      </w:tr>
      <w:tr w:rsidR="000B1017" w:rsidTr="000B1017">
        <w:tc>
          <w:tcPr>
            <w:tcW w:w="4508" w:type="dxa"/>
          </w:tcPr>
          <w:p w:rsidR="000B1017" w:rsidRPr="000B1017" w:rsidRDefault="000B1017" w:rsidP="000B1017">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1.1.</w:t>
            </w:r>
            <w:r w:rsidRPr="000B1017">
              <w:rPr>
                <w:rFonts w:ascii="inherit" w:eastAsia="Times New Roman" w:hAnsi="inherit" w:cs="Times New Roman"/>
                <w:bCs/>
                <w:color w:val="000000"/>
                <w:sz w:val="24"/>
                <w:szCs w:val="24"/>
                <w:lang w:eastAsia="fr-BE"/>
              </w:rPr>
              <w:tab/>
              <w:t>Dénomination de la denrée alimentaire</w:t>
            </w:r>
          </w:p>
        </w:tc>
        <w:tc>
          <w:tcPr>
            <w:tcW w:w="4508" w:type="dxa"/>
          </w:tcPr>
          <w:p w:rsidR="000B1017" w:rsidRDefault="000B1017" w:rsidP="000B1017">
            <w:pPr>
              <w:spacing w:before="120" w:after="120"/>
              <w:rPr>
                <w:rFonts w:ascii="inherit" w:eastAsia="Times New Roman" w:hAnsi="inherit" w:cs="Times New Roman"/>
                <w:b/>
                <w:bCs/>
                <w:color w:val="000000"/>
                <w:sz w:val="24"/>
                <w:szCs w:val="24"/>
                <w:lang w:eastAsia="fr-BE"/>
              </w:rPr>
            </w:pPr>
          </w:p>
        </w:tc>
      </w:tr>
      <w:tr w:rsidR="000B1017" w:rsidTr="000B1017">
        <w:tc>
          <w:tcPr>
            <w:tcW w:w="4508" w:type="dxa"/>
          </w:tcPr>
          <w:p w:rsidR="000B1017" w:rsidRPr="000B1017" w:rsidRDefault="000B1017" w:rsidP="000B1017">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1.2.</w:t>
            </w:r>
            <w:r w:rsidRPr="000B1017">
              <w:rPr>
                <w:rFonts w:ascii="inherit" w:eastAsia="Times New Roman" w:hAnsi="inherit" w:cs="Times New Roman"/>
                <w:bCs/>
                <w:color w:val="000000"/>
                <w:sz w:val="24"/>
                <w:szCs w:val="24"/>
                <w:lang w:eastAsia="fr-BE"/>
              </w:rPr>
              <w:tab/>
              <w:t>Description détaillée de la denrée, y compris des informations indiquant si elle se compose de nanomatériaux manufacturés tel que visé à l'article 3, paragraphe 2, point a) viii) et ix), du règlement (UE) 2015/2283 du Parlement européen et du Conseil (1)</w:t>
            </w:r>
          </w:p>
        </w:tc>
        <w:tc>
          <w:tcPr>
            <w:tcW w:w="4508" w:type="dxa"/>
          </w:tcPr>
          <w:p w:rsidR="000B1017" w:rsidRDefault="000B1017" w:rsidP="000B1017">
            <w:pPr>
              <w:spacing w:before="120" w:after="120"/>
              <w:rPr>
                <w:rFonts w:ascii="inherit" w:eastAsia="Times New Roman" w:hAnsi="inherit" w:cs="Times New Roman"/>
                <w:b/>
                <w:bCs/>
                <w:color w:val="000000"/>
                <w:sz w:val="24"/>
                <w:szCs w:val="24"/>
                <w:lang w:eastAsia="fr-BE"/>
              </w:rPr>
            </w:pPr>
          </w:p>
        </w:tc>
      </w:tr>
      <w:tr w:rsidR="000B1017" w:rsidTr="000B1017">
        <w:tc>
          <w:tcPr>
            <w:tcW w:w="4508" w:type="dxa"/>
          </w:tcPr>
          <w:p w:rsidR="000B1017" w:rsidRPr="000B1017" w:rsidRDefault="000B1017" w:rsidP="000B1017">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1.3.</w:t>
            </w:r>
            <w:r w:rsidRPr="000B1017">
              <w:rPr>
                <w:rFonts w:ascii="inherit" w:eastAsia="Times New Roman" w:hAnsi="inherit" w:cs="Times New Roman"/>
                <w:bCs/>
                <w:color w:val="000000"/>
                <w:sz w:val="24"/>
                <w:szCs w:val="24"/>
                <w:lang w:eastAsia="fr-BE"/>
              </w:rPr>
              <w:tab/>
              <w:t>Proposition de catégorie pour le nouvel aliment conformément à l'article 3, paragraphe 2, point a), du règlement (UE) 2015/2283, s'il y a lieu</w:t>
            </w:r>
          </w:p>
        </w:tc>
        <w:tc>
          <w:tcPr>
            <w:tcW w:w="4508" w:type="dxa"/>
          </w:tcPr>
          <w:p w:rsidR="000B1017" w:rsidRDefault="000B1017" w:rsidP="000B1017">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p>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0B1017" w:rsidTr="00F15A0C">
        <w:tc>
          <w:tcPr>
            <w:tcW w:w="9016" w:type="dxa"/>
            <w:gridSpan w:val="2"/>
          </w:tcPr>
          <w:p w:rsidR="000B1017" w:rsidRDefault="000B1017" w:rsidP="008212F8">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2.</w:t>
            </w:r>
            <w:r w:rsidRPr="000B1017">
              <w:rPr>
                <w:rFonts w:ascii="inherit" w:eastAsia="Times New Roman" w:hAnsi="inherit" w:cs="Times New Roman"/>
                <w:b/>
                <w:bCs/>
                <w:color w:val="000000"/>
                <w:sz w:val="24"/>
                <w:szCs w:val="24"/>
                <w:lang w:eastAsia="fr-BE"/>
              </w:rPr>
              <w:tab/>
              <w:t>Caractérisation plus poussée de la denrée alimentaire et/ou de son origine (s'il y a lieu)</w:t>
            </w:r>
          </w:p>
        </w:tc>
      </w:tr>
      <w:tr w:rsidR="000B1017" w:rsidTr="00265154">
        <w:tc>
          <w:tcPr>
            <w:tcW w:w="9016" w:type="dxa"/>
            <w:gridSpan w:val="2"/>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A.   Organismes (micro-organismes, champignons, algues, végétaux, animaux)</w:t>
            </w: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2.1.</w:t>
            </w:r>
            <w:r w:rsidRPr="000B1017">
              <w:rPr>
                <w:rFonts w:ascii="inherit" w:eastAsia="Times New Roman" w:hAnsi="inherit" w:cs="Times New Roman"/>
                <w:bCs/>
                <w:color w:val="000000"/>
                <w:sz w:val="24"/>
                <w:szCs w:val="24"/>
                <w:lang w:eastAsia="fr-BE"/>
              </w:rPr>
              <w:tab/>
              <w:t>Nom taxinomique (nom latin complet assorti du nom de l'auteur)</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2.2.</w:t>
            </w:r>
            <w:r w:rsidRPr="000B1017">
              <w:rPr>
                <w:rFonts w:ascii="inherit" w:eastAsia="Times New Roman" w:hAnsi="inherit" w:cs="Times New Roman"/>
                <w:bCs/>
                <w:color w:val="000000"/>
                <w:sz w:val="24"/>
                <w:szCs w:val="24"/>
                <w:lang w:eastAsia="fr-BE"/>
              </w:rPr>
              <w:tab/>
              <w:t>Synonymes, autres noms, le cas échéant</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2.3.</w:t>
            </w:r>
            <w:r w:rsidRPr="000B1017">
              <w:rPr>
                <w:rFonts w:ascii="inherit" w:eastAsia="Times New Roman" w:hAnsi="inherit" w:cs="Times New Roman"/>
                <w:bCs/>
                <w:color w:val="000000"/>
                <w:sz w:val="24"/>
                <w:szCs w:val="24"/>
                <w:lang w:eastAsia="fr-BE"/>
              </w:rPr>
              <w:tab/>
              <w:t>Description de la partie de l'organisme visée par l'utilisation pour la consommation humaine dans l'Union avant le 15 mai 1997, le cas échéant</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2.4.</w:t>
            </w:r>
            <w:r w:rsidRPr="000B1017">
              <w:rPr>
                <w:rFonts w:ascii="inherit" w:eastAsia="Times New Roman" w:hAnsi="inherit" w:cs="Times New Roman"/>
                <w:bCs/>
                <w:color w:val="000000"/>
                <w:sz w:val="24"/>
                <w:szCs w:val="24"/>
                <w:lang w:eastAsia="fr-BE"/>
              </w:rPr>
              <w:tab/>
              <w:t>Spécifications de la pureté/de la concentration</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D01B0E">
        <w:tc>
          <w:tcPr>
            <w:tcW w:w="9016" w:type="dxa"/>
            <w:gridSpan w:val="2"/>
          </w:tcPr>
          <w:p w:rsidR="000B1017" w:rsidRDefault="000B1017" w:rsidP="008212F8">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B.   Substances chimiques</w:t>
            </w:r>
          </w:p>
        </w:tc>
      </w:tr>
      <w:tr w:rsidR="000B1017" w:rsidTr="008212F8">
        <w:tc>
          <w:tcPr>
            <w:tcW w:w="4508" w:type="dxa"/>
          </w:tcPr>
          <w:p w:rsidR="000B1017" w:rsidRPr="000C102D" w:rsidRDefault="00390E37" w:rsidP="00390E37">
            <w:pPr>
              <w:spacing w:before="120" w:after="120"/>
              <w:rPr>
                <w:rFonts w:ascii="inherit" w:eastAsia="Times New Roman" w:hAnsi="inherit" w:cs="Times New Roman"/>
                <w:bCs/>
                <w:color w:val="000000"/>
                <w:sz w:val="24"/>
                <w:szCs w:val="24"/>
                <w:lang w:eastAsia="fr-BE"/>
              </w:rPr>
            </w:pPr>
            <w:r w:rsidRPr="00390E37">
              <w:rPr>
                <w:rFonts w:ascii="inherit" w:eastAsia="Times New Roman" w:hAnsi="inherit" w:cs="Times New Roman"/>
                <w:bCs/>
                <w:color w:val="000000"/>
                <w:sz w:val="24"/>
                <w:szCs w:val="24"/>
                <w:lang w:eastAsia="fr-BE"/>
              </w:rPr>
              <w:t>2.5.</w:t>
            </w:r>
            <w:r>
              <w:rPr>
                <w:rFonts w:ascii="inherit" w:eastAsia="Times New Roman" w:hAnsi="inherit" w:cs="Times New Roman"/>
                <w:bCs/>
                <w:color w:val="000000"/>
                <w:sz w:val="24"/>
                <w:szCs w:val="24"/>
                <w:lang w:eastAsia="fr-BE"/>
              </w:rPr>
              <w:t xml:space="preserve">       </w:t>
            </w:r>
            <w:bookmarkStart w:id="0" w:name="_GoBack"/>
            <w:bookmarkEnd w:id="0"/>
            <w:r w:rsidRPr="00390E37">
              <w:rPr>
                <w:rFonts w:ascii="inherit" w:eastAsia="Times New Roman" w:hAnsi="inherit" w:cs="Times New Roman"/>
                <w:bCs/>
                <w:color w:val="000000"/>
                <w:sz w:val="24"/>
                <w:szCs w:val="24"/>
                <w:lang w:eastAsia="fr-BE"/>
              </w:rPr>
              <w:t>Numéro(s) CAS [si attribué(s)]</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390E37" w:rsidTr="008212F8">
        <w:tc>
          <w:tcPr>
            <w:tcW w:w="4508" w:type="dxa"/>
          </w:tcPr>
          <w:p w:rsidR="00390E37" w:rsidRPr="000C102D" w:rsidRDefault="00390E37"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2.6.</w:t>
            </w:r>
            <w:r w:rsidRPr="000C102D">
              <w:rPr>
                <w:rFonts w:ascii="inherit" w:eastAsia="Times New Roman" w:hAnsi="inherit" w:cs="Times New Roman"/>
                <w:bCs/>
                <w:color w:val="000000"/>
                <w:sz w:val="24"/>
                <w:szCs w:val="24"/>
                <w:lang w:eastAsia="fr-BE"/>
              </w:rPr>
              <w:tab/>
              <w:t>Dénomination(s) chimique(s) selon les règles de nomenclature de l'UICPA</w:t>
            </w:r>
          </w:p>
        </w:tc>
        <w:tc>
          <w:tcPr>
            <w:tcW w:w="4508" w:type="dxa"/>
          </w:tcPr>
          <w:p w:rsidR="00390E37" w:rsidRDefault="00390E37" w:rsidP="008212F8">
            <w:pPr>
              <w:spacing w:before="120" w:after="120"/>
              <w:rPr>
                <w:rFonts w:ascii="inherit" w:eastAsia="Times New Roman" w:hAnsi="inherit" w:cs="Times New Roman"/>
                <w:b/>
                <w:bCs/>
                <w:color w:val="000000"/>
                <w:sz w:val="24"/>
                <w:szCs w:val="24"/>
                <w:lang w:eastAsia="fr-BE"/>
              </w:rPr>
            </w:pPr>
          </w:p>
        </w:tc>
      </w:tr>
      <w:tr w:rsidR="000B1017" w:rsidTr="008212F8">
        <w:tc>
          <w:tcPr>
            <w:tcW w:w="4508" w:type="dxa"/>
          </w:tcPr>
          <w:p w:rsidR="000B1017"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2.7.</w:t>
            </w:r>
            <w:r w:rsidRPr="000C102D">
              <w:rPr>
                <w:rFonts w:ascii="inherit" w:eastAsia="Times New Roman" w:hAnsi="inherit" w:cs="Times New Roman"/>
                <w:bCs/>
                <w:color w:val="000000"/>
                <w:sz w:val="24"/>
                <w:szCs w:val="24"/>
                <w:lang w:eastAsia="fr-BE"/>
              </w:rPr>
              <w:tab/>
              <w:t>Synonymes, nom commercial, nom usuel, le cas échéant</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2.8.</w:t>
            </w:r>
            <w:r w:rsidRPr="000C102D">
              <w:rPr>
                <w:rFonts w:ascii="inherit" w:eastAsia="Times New Roman" w:hAnsi="inherit" w:cs="Times New Roman"/>
                <w:bCs/>
                <w:color w:val="000000"/>
                <w:sz w:val="24"/>
                <w:szCs w:val="24"/>
                <w:lang w:eastAsia="fr-BE"/>
              </w:rPr>
              <w:tab/>
              <w:t>Formule moléculaire et formule développée</w:t>
            </w:r>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2.9.</w:t>
            </w:r>
            <w:r w:rsidRPr="000C102D">
              <w:rPr>
                <w:rFonts w:ascii="inherit" w:eastAsia="Times New Roman" w:hAnsi="inherit" w:cs="Times New Roman"/>
                <w:bCs/>
                <w:color w:val="000000"/>
                <w:sz w:val="24"/>
                <w:szCs w:val="24"/>
                <w:lang w:eastAsia="fr-BE"/>
              </w:rPr>
              <w:tab/>
              <w:t>Spécifications de la pureté/de la concentration</w:t>
            </w:r>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3.</w:t>
            </w:r>
            <w:r w:rsidRPr="00A50450">
              <w:rPr>
                <w:rFonts w:ascii="inherit" w:eastAsia="Times New Roman" w:hAnsi="inherit" w:cs="Times New Roman"/>
                <w:b/>
                <w:bCs/>
                <w:color w:val="000000"/>
                <w:sz w:val="24"/>
                <w:szCs w:val="24"/>
                <w:lang w:eastAsia="fr-BE"/>
              </w:rPr>
              <w:tab/>
              <w:t>Conditions d'utilisation</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3.1.</w:t>
            </w:r>
            <w:r w:rsidRPr="00A50450">
              <w:rPr>
                <w:rFonts w:ascii="inherit" w:eastAsia="Times New Roman" w:hAnsi="inherit" w:cs="Times New Roman"/>
                <w:bCs/>
                <w:color w:val="000000"/>
                <w:sz w:val="24"/>
                <w:szCs w:val="24"/>
                <w:lang w:eastAsia="fr-BE"/>
              </w:rPr>
              <w:tab/>
              <w:t>À quelle utilisation la denrée alimentaire est-elle destinée?</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A50450">
            <w:pPr>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3.2.</w:t>
            </w:r>
            <w:r w:rsidRPr="00A50450">
              <w:rPr>
                <w:rFonts w:ascii="inherit" w:eastAsia="Times New Roman" w:hAnsi="inherit" w:cs="Times New Roman"/>
                <w:bCs/>
                <w:color w:val="000000"/>
                <w:sz w:val="24"/>
                <w:szCs w:val="24"/>
                <w:lang w:eastAsia="fr-BE"/>
              </w:rPr>
              <w:tab/>
              <w:t>Type de produit(s) dans le(s)quel(s) la denrée alimentai</w:t>
            </w:r>
            <w:r>
              <w:rPr>
                <w:rFonts w:ascii="inherit" w:eastAsia="Times New Roman" w:hAnsi="inherit" w:cs="Times New Roman"/>
                <w:bCs/>
                <w:color w:val="000000"/>
                <w:sz w:val="24"/>
                <w:szCs w:val="24"/>
                <w:lang w:eastAsia="fr-BE"/>
              </w:rPr>
              <w:t>re est destinée à être utilisée</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3.3.</w:t>
            </w:r>
            <w:r w:rsidRPr="00A50450">
              <w:rPr>
                <w:rFonts w:ascii="inherit" w:eastAsia="Times New Roman" w:hAnsi="inherit" w:cs="Times New Roman"/>
                <w:bCs/>
                <w:color w:val="000000"/>
                <w:sz w:val="24"/>
                <w:szCs w:val="24"/>
                <w:lang w:eastAsia="fr-BE"/>
              </w:rPr>
              <w:tab/>
              <w:t xml:space="preserve">Teneur/concentration (ou plages de teneurs) dans le ou les produits dans </w:t>
            </w:r>
            <w:r w:rsidRPr="00A50450">
              <w:rPr>
                <w:rFonts w:ascii="inherit" w:eastAsia="Times New Roman" w:hAnsi="inherit" w:cs="Times New Roman"/>
                <w:bCs/>
                <w:color w:val="000000"/>
                <w:sz w:val="24"/>
                <w:szCs w:val="24"/>
                <w:lang w:eastAsia="fr-BE"/>
              </w:rPr>
              <w:lastRenderedPageBreak/>
              <w:t>lesquels la denrée alimentaire est destinée à être utilisée</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A50450" w:rsidRDefault="00A50450"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A50450">
        <w:trPr>
          <w:trHeight w:val="489"/>
        </w:trPr>
        <w:tc>
          <w:tcPr>
            <w:tcW w:w="9016" w:type="dxa"/>
            <w:gridSpan w:val="2"/>
          </w:tcPr>
          <w:p w:rsidR="00A50450" w:rsidRDefault="00A50450" w:rsidP="00A50450">
            <w:pPr>
              <w:spacing w:before="120" w:after="120"/>
              <w:rPr>
                <w:rFonts w:ascii="inherit" w:eastAsia="Times New Roman" w:hAnsi="inherit" w:cs="Times New Roman"/>
                <w:b/>
                <w:bCs/>
                <w:color w:val="000000"/>
                <w:sz w:val="24"/>
                <w:szCs w:val="24"/>
                <w:lang w:eastAsia="fr-BE"/>
              </w:rPr>
            </w:pPr>
            <w:r>
              <w:rPr>
                <w:rFonts w:ascii="inherit" w:eastAsia="Times New Roman" w:hAnsi="inherit" w:cs="Times New Roman"/>
                <w:b/>
                <w:bCs/>
                <w:color w:val="000000"/>
                <w:sz w:val="24"/>
                <w:szCs w:val="24"/>
                <w:lang w:eastAsia="fr-BE"/>
              </w:rPr>
              <w:t>4.</w:t>
            </w:r>
            <w:r>
              <w:rPr>
                <w:rFonts w:ascii="inherit" w:eastAsia="Times New Roman" w:hAnsi="inherit" w:cs="Times New Roman"/>
                <w:b/>
                <w:bCs/>
                <w:color w:val="000000"/>
                <w:sz w:val="24"/>
                <w:szCs w:val="24"/>
                <w:lang w:eastAsia="fr-BE"/>
              </w:rPr>
              <w:tab/>
              <w:t>Procédé de production</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4.1.</w:t>
            </w:r>
            <w:r w:rsidRPr="00A50450">
              <w:rPr>
                <w:rFonts w:ascii="inherit" w:eastAsia="Times New Roman" w:hAnsi="inherit" w:cs="Times New Roman"/>
                <w:bCs/>
                <w:color w:val="000000"/>
                <w:sz w:val="24"/>
                <w:szCs w:val="24"/>
                <w:lang w:eastAsia="fr-BE"/>
              </w:rPr>
              <w:tab/>
              <w:t>Description détaillée du procédé de production (joindre un diagramme des flux du procédé décrivant celui-ci)</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A50450" w:rsidRDefault="00A50450"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5.</w:t>
            </w:r>
            <w:r w:rsidRPr="00A50450">
              <w:rPr>
                <w:rFonts w:ascii="inherit" w:eastAsia="Times New Roman" w:hAnsi="inherit" w:cs="Times New Roman"/>
                <w:b/>
                <w:bCs/>
                <w:color w:val="000000"/>
                <w:sz w:val="24"/>
                <w:szCs w:val="24"/>
                <w:lang w:eastAsia="fr-BE"/>
              </w:rPr>
              <w:tab/>
              <w:t>Historique de la consommation humaine de la denrée alimentaire dans l'Union avant le 15 mai 1997</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5.1.</w:t>
            </w:r>
            <w:r w:rsidRPr="00A50450">
              <w:rPr>
                <w:rFonts w:ascii="inherit" w:eastAsia="Times New Roman" w:hAnsi="inherit" w:cs="Times New Roman"/>
                <w:bCs/>
                <w:color w:val="000000"/>
                <w:sz w:val="24"/>
                <w:szCs w:val="24"/>
                <w:lang w:eastAsia="fr-BE"/>
              </w:rPr>
              <w:tab/>
              <w:t>Dans quelle mesure la denrée alimentaire était-elle consommée en quantité non négligeable à travers l'Union avant le 15 mai 1997?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5.2.</w:t>
            </w:r>
            <w:r w:rsidRPr="00A50450">
              <w:rPr>
                <w:rFonts w:ascii="inherit" w:eastAsia="Times New Roman" w:hAnsi="inherit" w:cs="Times New Roman"/>
                <w:bCs/>
                <w:color w:val="000000"/>
                <w:sz w:val="24"/>
                <w:szCs w:val="24"/>
                <w:lang w:eastAsia="fr-BE"/>
              </w:rPr>
              <w:tab/>
              <w:t>Dans quelle mesure la denrée alimentaire était-elle consommée en quantité non négligeable dans un État membre avant le 15 mai 1997?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5.3.</w:t>
            </w:r>
            <w:r w:rsidRPr="00A50450">
              <w:rPr>
                <w:rFonts w:ascii="inherit" w:eastAsia="Times New Roman" w:hAnsi="inherit" w:cs="Times New Roman"/>
                <w:bCs/>
                <w:color w:val="000000"/>
                <w:sz w:val="24"/>
                <w:szCs w:val="24"/>
                <w:lang w:eastAsia="fr-BE"/>
              </w:rPr>
              <w:tab/>
              <w:t>La denrée alimentaire était-elle consommée uniquement à l'échelon régional/à l'échelon local à petite échelle dans l'Union avant le 15 mai 1997?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5.4.</w:t>
            </w:r>
            <w:r w:rsidRPr="00A50450">
              <w:rPr>
                <w:rFonts w:ascii="inherit" w:eastAsia="Times New Roman" w:hAnsi="inherit" w:cs="Times New Roman"/>
                <w:bCs/>
                <w:color w:val="000000"/>
                <w:sz w:val="24"/>
                <w:szCs w:val="24"/>
                <w:lang w:eastAsia="fr-BE"/>
              </w:rPr>
              <w:tab/>
              <w:t>La denrée alimentaire était-elle disponible avant le 15 mai 1997 dans l'Union en tant qu'ingrédient conçu pour une population cible spécifique (denrée alimentaire destinée à des fins médicales spéciales)?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Pr="00A50450" w:rsidRDefault="00A50450" w:rsidP="00A50450">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6.</w:t>
            </w:r>
            <w:r w:rsidRPr="00A50450">
              <w:rPr>
                <w:rFonts w:ascii="inherit" w:eastAsia="Times New Roman" w:hAnsi="inherit" w:cs="Times New Roman"/>
                <w:b/>
                <w:bCs/>
                <w:color w:val="000000"/>
                <w:sz w:val="24"/>
                <w:szCs w:val="24"/>
                <w:lang w:eastAsia="fr-BE"/>
              </w:rPr>
              <w:tab/>
              <w:t>Consultations sur la disponibilité dans l'Union</w:t>
            </w:r>
          </w:p>
          <w:p w:rsidR="00A50450" w:rsidRPr="00A50450" w:rsidRDefault="00A50450" w:rsidP="00A50450">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 xml:space="preserve">Lorsqu'ils ne sont pas certains que les informations dont ils disposent suffisent à prouver que la denrée alimentaire concernée a été utilisée pour la consommation humaine en quantité non négligeable dans l'Union avant le 15 mai 1997, les </w:t>
            </w:r>
            <w:r w:rsidRPr="00A50450">
              <w:rPr>
                <w:rFonts w:ascii="inherit" w:eastAsia="Times New Roman" w:hAnsi="inherit" w:cs="Times New Roman"/>
                <w:bCs/>
                <w:color w:val="000000"/>
                <w:sz w:val="24"/>
                <w:szCs w:val="24"/>
                <w:lang w:eastAsia="fr-BE"/>
              </w:rPr>
              <w:lastRenderedPageBreak/>
              <w:t>exploitants du secteur alimentaire peuvent consulter d'autres exploitants du secteur alimentaire ou des fédérations d'exploitants du secteur alimentaire afin de recueillir suffisamment d'informations.</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lastRenderedPageBreak/>
              <w:t>6.1.</w:t>
            </w:r>
            <w:r w:rsidRPr="00A50450">
              <w:rPr>
                <w:rFonts w:ascii="inherit" w:eastAsia="Times New Roman" w:hAnsi="inherit" w:cs="Times New Roman"/>
                <w:bCs/>
                <w:color w:val="000000"/>
                <w:sz w:val="24"/>
                <w:szCs w:val="24"/>
                <w:lang w:eastAsia="fr-BE"/>
              </w:rPr>
              <w:tab/>
              <w:t>D'autres exploitants du secteur alimentaire ou des fédérations d'exploitants du secteur alimentaire ont-ils été consultés?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6.2.</w:t>
            </w:r>
            <w:r w:rsidRPr="00A50450">
              <w:rPr>
                <w:rFonts w:ascii="inherit" w:eastAsia="Times New Roman" w:hAnsi="inherit" w:cs="Times New Roman"/>
                <w:bCs/>
                <w:color w:val="000000"/>
                <w:sz w:val="24"/>
                <w:szCs w:val="24"/>
                <w:lang w:eastAsia="fr-BE"/>
              </w:rPr>
              <w:tab/>
              <w:t>La denrée alimentaire est-elle actuellement disponible sur le marché dans l'Union?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7.</w:t>
            </w:r>
            <w:r w:rsidRPr="00A50450">
              <w:rPr>
                <w:rFonts w:ascii="inherit" w:eastAsia="Times New Roman" w:hAnsi="inherit" w:cs="Times New Roman"/>
                <w:b/>
                <w:bCs/>
                <w:color w:val="000000"/>
                <w:sz w:val="24"/>
                <w:szCs w:val="24"/>
                <w:lang w:eastAsia="fr-BE"/>
              </w:rPr>
              <w:tab/>
              <w:t>Informations complémentaires</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7.1.</w:t>
            </w:r>
            <w:r w:rsidRPr="00A50450">
              <w:rPr>
                <w:rFonts w:ascii="inherit" w:eastAsia="Times New Roman" w:hAnsi="inherit" w:cs="Times New Roman"/>
                <w:bCs/>
                <w:color w:val="000000"/>
                <w:sz w:val="24"/>
                <w:szCs w:val="24"/>
                <w:lang w:eastAsia="fr-BE"/>
              </w:rPr>
              <w:tab/>
              <w:t>Le dossier contient-il des informations faisant état d'une utilisation du produit concerné dans l'Union en tant que médicament conformément à la directive 2001/83/CE du Parlement européen et du Conseil (2)?</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7.2.</w:t>
            </w:r>
            <w:r w:rsidRPr="00A50450">
              <w:rPr>
                <w:rFonts w:ascii="inherit" w:eastAsia="Times New Roman" w:hAnsi="inherit" w:cs="Times New Roman"/>
                <w:bCs/>
                <w:color w:val="000000"/>
                <w:sz w:val="24"/>
                <w:szCs w:val="24"/>
                <w:lang w:eastAsia="fr-BE"/>
              </w:rPr>
              <w:tab/>
              <w:t>D'autres informations pourraient-elles être utiles pour la détermination du statut de nouvel aliment? Toute information pertinente, même non explicitement requise, doit être fournie.</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A50450" w:rsidRDefault="00A50450" w:rsidP="000B1017">
      <w:pPr>
        <w:spacing w:before="100" w:beforeAutospacing="1" w:after="100" w:afterAutospacing="1" w:line="240" w:lineRule="auto"/>
        <w:rPr>
          <w:rFonts w:ascii="inherit" w:eastAsia="Times New Roman" w:hAnsi="inherit" w:cs="Times New Roman"/>
          <w:color w:val="000000"/>
          <w:sz w:val="24"/>
          <w:szCs w:val="24"/>
          <w:lang w:eastAsia="fr-BE"/>
        </w:rPr>
      </w:pPr>
    </w:p>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Section 2: extraits</w:t>
      </w:r>
    </w:p>
    <w:p w:rsidR="00A50450" w:rsidRDefault="00A50450"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8.</w:t>
            </w:r>
            <w:r w:rsidRPr="00A50450">
              <w:rPr>
                <w:rFonts w:ascii="inherit" w:eastAsia="Times New Roman" w:hAnsi="inherit" w:cs="Times New Roman"/>
                <w:b/>
                <w:bCs/>
                <w:color w:val="000000"/>
                <w:sz w:val="24"/>
                <w:szCs w:val="24"/>
                <w:lang w:eastAsia="fr-BE"/>
              </w:rPr>
              <w:tab/>
              <w:t>Extraits</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8.1.</w:t>
            </w:r>
            <w:r w:rsidRPr="00A50450">
              <w:rPr>
                <w:rFonts w:ascii="inherit" w:eastAsia="Times New Roman" w:hAnsi="inherit" w:cs="Times New Roman"/>
                <w:bCs/>
                <w:color w:val="000000"/>
                <w:sz w:val="24"/>
                <w:szCs w:val="24"/>
                <w:lang w:eastAsia="fr-BE"/>
              </w:rPr>
              <w:tab/>
              <w:t>Informations complémentaires relatives à la source (matériau d'origine) de l'extrait, si elles n'ont pas été fournies à la section 1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A50450">
        <w:trPr>
          <w:trHeight w:val="697"/>
        </w:trPr>
        <w:tc>
          <w:tcPr>
            <w:tcW w:w="4508" w:type="dxa"/>
          </w:tcPr>
          <w:p w:rsidR="00A50450" w:rsidRPr="000C102D" w:rsidRDefault="00A50450" w:rsidP="00A50450">
            <w:pPr>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8.2.</w:t>
            </w:r>
            <w:r w:rsidRPr="00A50450">
              <w:rPr>
                <w:rFonts w:ascii="inherit" w:eastAsia="Times New Roman" w:hAnsi="inherit" w:cs="Times New Roman"/>
                <w:bCs/>
                <w:color w:val="000000"/>
                <w:sz w:val="24"/>
                <w:szCs w:val="24"/>
                <w:lang w:eastAsia="fr-BE"/>
              </w:rPr>
              <w:tab/>
              <w:t>Spécifica</w:t>
            </w:r>
            <w:r>
              <w:rPr>
                <w:rFonts w:ascii="inherit" w:eastAsia="Times New Roman" w:hAnsi="inherit" w:cs="Times New Roman"/>
                <w:bCs/>
                <w:color w:val="000000"/>
                <w:sz w:val="24"/>
                <w:szCs w:val="24"/>
                <w:lang w:eastAsia="fr-BE"/>
              </w:rPr>
              <w:t>tion de l'extrait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8.3.</w:t>
            </w:r>
            <w:r w:rsidRPr="00A50450">
              <w:rPr>
                <w:rFonts w:ascii="inherit" w:eastAsia="Times New Roman" w:hAnsi="inherit" w:cs="Times New Roman"/>
                <w:bCs/>
                <w:color w:val="000000"/>
                <w:sz w:val="24"/>
                <w:szCs w:val="24"/>
                <w:lang w:eastAsia="fr-BE"/>
              </w:rPr>
              <w:tab/>
              <w:t xml:space="preserve">En cas d'extraction à partir d'une source alimentaire, la dose de composants de l'extrait présents dans la denrée alimentaire sera-t-elle supérieure </w:t>
            </w:r>
            <w:r w:rsidRPr="00A50450">
              <w:rPr>
                <w:rFonts w:ascii="inherit" w:eastAsia="Times New Roman" w:hAnsi="inherit" w:cs="Times New Roman"/>
                <w:bCs/>
                <w:color w:val="000000"/>
                <w:sz w:val="24"/>
                <w:szCs w:val="24"/>
                <w:lang w:eastAsia="fr-BE"/>
              </w:rPr>
              <w:lastRenderedPageBreak/>
              <w:t>à la dose de ces composants présents dans la source alimentaire?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P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p w:rsidR="000B1017" w:rsidRDefault="000B1017" w:rsidP="000B1017">
      <w:pPr>
        <w:spacing w:before="120" w:after="120" w:line="240" w:lineRule="auto"/>
        <w:jc w:val="center"/>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Section 3: denrées alimentaires résultant d'un procédé de production qui n'était pas utilisé pour la production de denrées alimentaires dans l'Union avant le 15 mai 1997</w:t>
      </w:r>
    </w:p>
    <w:p w:rsidR="00A50450" w:rsidRDefault="00A50450"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9.</w:t>
            </w:r>
            <w:r w:rsidRPr="00A50450">
              <w:rPr>
                <w:rFonts w:ascii="inherit" w:eastAsia="Times New Roman" w:hAnsi="inherit" w:cs="Times New Roman"/>
                <w:b/>
                <w:bCs/>
                <w:color w:val="000000"/>
                <w:sz w:val="24"/>
                <w:szCs w:val="24"/>
                <w:lang w:eastAsia="fr-BE"/>
              </w:rPr>
              <w:tab/>
              <w:t>Procédé de production</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9.1.</w:t>
            </w:r>
            <w:r w:rsidRPr="00A50450">
              <w:rPr>
                <w:rFonts w:ascii="inherit" w:eastAsia="Times New Roman" w:hAnsi="inherit" w:cs="Times New Roman"/>
                <w:bCs/>
                <w:color w:val="000000"/>
                <w:sz w:val="24"/>
                <w:szCs w:val="24"/>
                <w:lang w:eastAsia="fr-BE"/>
              </w:rPr>
              <w:tab/>
              <w:t>Description détaillée du procédé de production (joindre un diagramme des flux du procédé décrivant celui-ci)</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rPr>
          <w:trHeight w:val="697"/>
        </w:trPr>
        <w:tc>
          <w:tcPr>
            <w:tcW w:w="4508" w:type="dxa"/>
          </w:tcPr>
          <w:p w:rsidR="00A50450" w:rsidRPr="000C102D" w:rsidRDefault="00A50450" w:rsidP="008212F8">
            <w:pPr>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9.2.</w:t>
            </w:r>
            <w:r w:rsidRPr="00A50450">
              <w:rPr>
                <w:rFonts w:ascii="inherit" w:eastAsia="Times New Roman" w:hAnsi="inherit" w:cs="Times New Roman"/>
                <w:bCs/>
                <w:color w:val="000000"/>
                <w:sz w:val="24"/>
                <w:szCs w:val="24"/>
                <w:lang w:eastAsia="fr-BE"/>
              </w:rPr>
              <w:tab/>
              <w:t>L'incidence de la structure ou de la composition de la denrée alimentaire sur la valeur nutritionnelle, le métabolisme ou la teneur en substances indésirables de la denrée est-elle due au procédé d'élaboration de la de</w:t>
            </w:r>
            <w:r>
              <w:rPr>
                <w:rFonts w:ascii="inherit" w:eastAsia="Times New Roman" w:hAnsi="inherit" w:cs="Times New Roman"/>
                <w:bCs/>
                <w:color w:val="000000"/>
                <w:sz w:val="24"/>
                <w:szCs w:val="24"/>
                <w:lang w:eastAsia="fr-BE"/>
              </w:rPr>
              <w:t>nrée alimentaire?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A50450">
              <w:rPr>
                <w:rFonts w:ascii="inherit" w:eastAsia="Times New Roman" w:hAnsi="inherit" w:cs="Times New Roman"/>
                <w:bCs/>
                <w:color w:val="000000"/>
                <w:sz w:val="24"/>
                <w:szCs w:val="24"/>
                <w:lang w:eastAsia="fr-BE"/>
              </w:rPr>
              <w:t>9.3.</w:t>
            </w:r>
            <w:r w:rsidRPr="00A50450">
              <w:rPr>
                <w:rFonts w:ascii="inherit" w:eastAsia="Times New Roman" w:hAnsi="inherit" w:cs="Times New Roman"/>
                <w:bCs/>
                <w:color w:val="000000"/>
                <w:sz w:val="24"/>
                <w:szCs w:val="24"/>
                <w:lang w:eastAsia="fr-BE"/>
              </w:rPr>
              <w:tab/>
              <w:t>La denrée alimentaire est-elle produite à partir d'une source qui, en tant que telle, n'est pas consommée normalement dans le cadre du régime alimentaire? (À détailler)</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Pr="000B1017" w:rsidRDefault="000B1017" w:rsidP="000B1017">
      <w:pPr>
        <w:spacing w:after="0" w:line="240" w:lineRule="auto"/>
        <w:rPr>
          <w:rFonts w:ascii="Times New Roman" w:eastAsia="Times New Roman" w:hAnsi="Times New Roman" w:cs="Times New Roman"/>
          <w:vanish/>
          <w:color w:val="000000"/>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5"/>
        <w:gridCol w:w="8781"/>
      </w:tblGrid>
      <w:tr w:rsidR="000B1017" w:rsidRPr="000B1017" w:rsidTr="000B1017">
        <w:trPr>
          <w:tblCellSpacing w:w="0" w:type="dxa"/>
        </w:trPr>
        <w:tc>
          <w:tcPr>
            <w:tcW w:w="0" w:type="auto"/>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w:t>
            </w:r>
            <w:r w:rsidRPr="000B1017">
              <w:rPr>
                <w:rFonts w:ascii="inherit" w:eastAsia="Times New Roman" w:hAnsi="inherit" w:cs="Times New Roman"/>
                <w:sz w:val="17"/>
                <w:szCs w:val="17"/>
                <w:vertAlign w:val="superscript"/>
                <w:lang w:eastAsia="fr-BE"/>
              </w:rPr>
              <w:t>1</w:t>
            </w:r>
            <w:r w:rsidRPr="000B1017">
              <w:rPr>
                <w:rFonts w:ascii="inherit" w:eastAsia="Times New Roman" w:hAnsi="inherit" w:cs="Times New Roman"/>
                <w:sz w:val="24"/>
                <w:szCs w:val="24"/>
                <w:lang w:eastAsia="fr-BE"/>
              </w:rPr>
              <w:t>)</w:t>
            </w:r>
          </w:p>
        </w:tc>
        <w:tc>
          <w:tcPr>
            <w:tcW w:w="0" w:type="auto"/>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Règlement (UE) 2015/2283 du Parlement européen et du Conseil du 25 novembre 2015 relatif aux nouveaux aliments, modifiant le règlement (UE) n</w:t>
            </w:r>
            <w:r w:rsidRPr="000B1017">
              <w:rPr>
                <w:rFonts w:ascii="inherit" w:eastAsia="Times New Roman" w:hAnsi="inherit" w:cs="Times New Roman"/>
                <w:sz w:val="17"/>
                <w:szCs w:val="17"/>
                <w:vertAlign w:val="superscript"/>
                <w:lang w:eastAsia="fr-BE"/>
              </w:rPr>
              <w:t>o</w:t>
            </w:r>
            <w:r w:rsidRPr="000B1017">
              <w:rPr>
                <w:rFonts w:ascii="inherit" w:eastAsia="Times New Roman" w:hAnsi="inherit" w:cs="Times New Roman"/>
                <w:sz w:val="24"/>
                <w:szCs w:val="24"/>
                <w:lang w:eastAsia="fr-BE"/>
              </w:rPr>
              <w:t> 1169/2011 du Parlement européen et du Conseil et abrogeant le règlement (CE) n</w:t>
            </w:r>
            <w:r w:rsidRPr="000B1017">
              <w:rPr>
                <w:rFonts w:ascii="inherit" w:eastAsia="Times New Roman" w:hAnsi="inherit" w:cs="Times New Roman"/>
                <w:sz w:val="17"/>
                <w:szCs w:val="17"/>
                <w:vertAlign w:val="superscript"/>
                <w:lang w:eastAsia="fr-BE"/>
              </w:rPr>
              <w:t>o</w:t>
            </w:r>
            <w:r w:rsidRPr="000B1017">
              <w:rPr>
                <w:rFonts w:ascii="inherit" w:eastAsia="Times New Roman" w:hAnsi="inherit" w:cs="Times New Roman"/>
                <w:sz w:val="24"/>
                <w:szCs w:val="24"/>
                <w:lang w:eastAsia="fr-BE"/>
              </w:rPr>
              <w:t> 258/97 du Parlement européen et du Conseil et le règlement (CE) n</w:t>
            </w:r>
            <w:r w:rsidRPr="000B1017">
              <w:rPr>
                <w:rFonts w:ascii="inherit" w:eastAsia="Times New Roman" w:hAnsi="inherit" w:cs="Times New Roman"/>
                <w:sz w:val="17"/>
                <w:szCs w:val="17"/>
                <w:vertAlign w:val="superscript"/>
                <w:lang w:eastAsia="fr-BE"/>
              </w:rPr>
              <w:t>o</w:t>
            </w:r>
            <w:r w:rsidRPr="000B1017">
              <w:rPr>
                <w:rFonts w:ascii="inherit" w:eastAsia="Times New Roman" w:hAnsi="inherit" w:cs="Times New Roman"/>
                <w:sz w:val="24"/>
                <w:szCs w:val="24"/>
                <w:lang w:eastAsia="fr-BE"/>
              </w:rPr>
              <w:t> 1852/2001 de la Commission (</w:t>
            </w:r>
            <w:hyperlink r:id="rId4" w:history="1">
              <w:r w:rsidRPr="000B1017">
                <w:rPr>
                  <w:rFonts w:ascii="inherit" w:eastAsia="Times New Roman" w:hAnsi="inherit" w:cs="Times New Roman"/>
                  <w:color w:val="0000FF"/>
                  <w:sz w:val="24"/>
                  <w:szCs w:val="24"/>
                  <w:u w:val="single"/>
                  <w:lang w:eastAsia="fr-BE"/>
                </w:rPr>
                <w:t>JO L 327 du 11.12.2015, p. 1</w:t>
              </w:r>
            </w:hyperlink>
            <w:r w:rsidRPr="000B1017">
              <w:rPr>
                <w:rFonts w:ascii="inherit" w:eastAsia="Times New Roman" w:hAnsi="inherit" w:cs="Times New Roman"/>
                <w:sz w:val="24"/>
                <w:szCs w:val="24"/>
                <w:lang w:eastAsia="fr-BE"/>
              </w:rPr>
              <w:t>).</w:t>
            </w:r>
          </w:p>
        </w:tc>
      </w:tr>
    </w:tbl>
    <w:p w:rsidR="000B1017" w:rsidRPr="000B1017" w:rsidRDefault="000B1017" w:rsidP="000B1017">
      <w:pPr>
        <w:spacing w:after="0" w:line="240" w:lineRule="auto"/>
        <w:rPr>
          <w:rFonts w:ascii="Times New Roman" w:eastAsia="Times New Roman" w:hAnsi="Times New Roman" w:cs="Times New Roman"/>
          <w:vanish/>
          <w:color w:val="000000"/>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5"/>
        <w:gridCol w:w="8781"/>
      </w:tblGrid>
      <w:tr w:rsidR="000B1017" w:rsidRPr="000B1017" w:rsidTr="000B1017">
        <w:trPr>
          <w:tblCellSpacing w:w="0" w:type="dxa"/>
        </w:trPr>
        <w:tc>
          <w:tcPr>
            <w:tcW w:w="0" w:type="auto"/>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w:t>
            </w:r>
            <w:r w:rsidRPr="000B1017">
              <w:rPr>
                <w:rFonts w:ascii="inherit" w:eastAsia="Times New Roman" w:hAnsi="inherit" w:cs="Times New Roman"/>
                <w:sz w:val="17"/>
                <w:szCs w:val="17"/>
                <w:vertAlign w:val="superscript"/>
                <w:lang w:eastAsia="fr-BE"/>
              </w:rPr>
              <w:t>2</w:t>
            </w:r>
            <w:r w:rsidRPr="000B1017">
              <w:rPr>
                <w:rFonts w:ascii="inherit" w:eastAsia="Times New Roman" w:hAnsi="inherit" w:cs="Times New Roman"/>
                <w:sz w:val="24"/>
                <w:szCs w:val="24"/>
                <w:lang w:eastAsia="fr-BE"/>
              </w:rPr>
              <w:t>)</w:t>
            </w:r>
          </w:p>
        </w:tc>
        <w:tc>
          <w:tcPr>
            <w:tcW w:w="0" w:type="auto"/>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inherit" w:eastAsia="Times New Roman" w:hAnsi="inherit" w:cs="Times New Roman"/>
                <w:sz w:val="24"/>
                <w:szCs w:val="24"/>
                <w:lang w:eastAsia="fr-BE"/>
              </w:rPr>
              <w:t>Directive 2001/83/CE du Parlement européen et du Conseil du 6 novembre 2001 instituant un code communautaire relatif aux médicaments à usage humain (</w:t>
            </w:r>
            <w:hyperlink r:id="rId5" w:history="1">
              <w:r w:rsidRPr="000B1017">
                <w:rPr>
                  <w:rFonts w:ascii="inherit" w:eastAsia="Times New Roman" w:hAnsi="inherit" w:cs="Times New Roman"/>
                  <w:color w:val="0000FF"/>
                  <w:sz w:val="24"/>
                  <w:szCs w:val="24"/>
                  <w:u w:val="single"/>
                  <w:lang w:eastAsia="fr-BE"/>
                </w:rPr>
                <w:t>JO L 311 du 28.11.2001, p. 67</w:t>
              </w:r>
            </w:hyperlink>
            <w:r w:rsidRPr="000B1017">
              <w:rPr>
                <w:rFonts w:ascii="inherit" w:eastAsia="Times New Roman" w:hAnsi="inherit" w:cs="Times New Roman"/>
                <w:sz w:val="24"/>
                <w:szCs w:val="24"/>
                <w:lang w:eastAsia="fr-BE"/>
              </w:rPr>
              <w:t>).</w:t>
            </w:r>
          </w:p>
        </w:tc>
      </w:tr>
    </w:tbl>
    <w:p w:rsidR="000B1017" w:rsidRDefault="000B1017"/>
    <w:p w:rsidR="000B1017" w:rsidRDefault="000B1017"/>
    <w:p w:rsidR="000B1017" w:rsidRDefault="000B1017"/>
    <w:p w:rsidR="000B1017" w:rsidRDefault="000B1017"/>
    <w:p w:rsidR="000B1017" w:rsidRDefault="000B1017"/>
    <w:p w:rsidR="000B1017" w:rsidRDefault="000B1017"/>
    <w:sectPr w:rsidR="000B1017" w:rsidSect="0004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7"/>
    <w:rsid w:val="00044DFD"/>
    <w:rsid w:val="000B1017"/>
    <w:rsid w:val="000C102D"/>
    <w:rsid w:val="002834D4"/>
    <w:rsid w:val="00390E37"/>
    <w:rsid w:val="00403E6F"/>
    <w:rsid w:val="00444929"/>
    <w:rsid w:val="007F2567"/>
    <w:rsid w:val="009B0254"/>
    <w:rsid w:val="00A50450"/>
    <w:rsid w:val="00B870C7"/>
    <w:rsid w:val="00DC6988"/>
    <w:rsid w:val="00E8495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2F34"/>
  <w15:chartTrackingRefBased/>
  <w15:docId w15:val="{172D655B-5630-474A-9D19-0880E4DD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0B1017"/>
  </w:style>
  <w:style w:type="paragraph" w:customStyle="1" w:styleId="Normal1">
    <w:name w:val="Normal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0B1017"/>
  </w:style>
  <w:style w:type="paragraph" w:customStyle="1" w:styleId="doc-ti">
    <w:name w:val="doc-ti"/>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bl">
    <w:name w:val="ti-tbl"/>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per">
    <w:name w:val="super"/>
    <w:basedOn w:val="Policepardfaut"/>
    <w:rsid w:val="000B1017"/>
  </w:style>
  <w:style w:type="paragraph" w:styleId="NormalWeb">
    <w:name w:val="Normal (Web)"/>
    <w:basedOn w:val="Normal"/>
    <w:uiPriority w:val="99"/>
    <w:semiHidden/>
    <w:unhideWhenUsed/>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B1017"/>
    <w:rPr>
      <w:color w:val="0000FF"/>
      <w:u w:val="single"/>
    </w:rPr>
  </w:style>
  <w:style w:type="table" w:styleId="Grilledutableau">
    <w:name w:val="Table Grid"/>
    <w:basedOn w:val="TableauNormal"/>
    <w:uiPriority w:val="39"/>
    <w:rsid w:val="000B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9200">
      <w:bodyDiv w:val="1"/>
      <w:marLeft w:val="0"/>
      <w:marRight w:val="0"/>
      <w:marTop w:val="0"/>
      <w:marBottom w:val="0"/>
      <w:divBdr>
        <w:top w:val="none" w:sz="0" w:space="0" w:color="auto"/>
        <w:left w:val="none" w:sz="0" w:space="0" w:color="auto"/>
        <w:bottom w:val="none" w:sz="0" w:space="0" w:color="auto"/>
        <w:right w:val="none" w:sz="0" w:space="0" w:color="auto"/>
      </w:divBdr>
      <w:divsChild>
        <w:div w:id="869957224">
          <w:marLeft w:val="0"/>
          <w:marRight w:val="0"/>
          <w:marTop w:val="0"/>
          <w:marBottom w:val="0"/>
          <w:divBdr>
            <w:top w:val="none" w:sz="0" w:space="0" w:color="auto"/>
            <w:left w:val="none" w:sz="0" w:space="0" w:color="auto"/>
            <w:bottom w:val="none" w:sz="0" w:space="0" w:color="auto"/>
            <w:right w:val="none" w:sz="0" w:space="0" w:color="auto"/>
          </w:divBdr>
        </w:div>
        <w:div w:id="145903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FR/AUTO/?uri=OJ:L:2001:311:TOC" TargetMode="External"/><Relationship Id="rId4" Type="http://schemas.openxmlformats.org/officeDocument/2006/relationships/hyperlink" Target="https://eur-lex.europa.eu/legal-content/FR/AUTO/?uri=OJ:L:2015:327:T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Pottier Jean</dc:creator>
  <cp:keywords/>
  <dc:description/>
  <cp:lastModifiedBy>Pottier Jean</cp:lastModifiedBy>
  <cp:revision>7</cp:revision>
  <dcterms:created xsi:type="dcterms:W3CDTF">2018-10-19T08:51:00Z</dcterms:created>
  <dcterms:modified xsi:type="dcterms:W3CDTF">2018-10-19T10:08:00Z</dcterms:modified>
</cp:coreProperties>
</file>