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ACE5" w14:textId="43EDF2F6" w:rsidR="00993AA2" w:rsidRPr="00915CB5" w:rsidRDefault="006F152E" w:rsidP="008546A7">
      <w:pPr>
        <w:jc w:val="center"/>
        <w:rPr>
          <w:b/>
        </w:rPr>
      </w:pPr>
      <w:r w:rsidRPr="006F152E">
        <w:rPr>
          <w:b/>
        </w:rPr>
        <w:t xml:space="preserve">Accord sectoriel visant à augmenter l'offre de produits à base de bois </w:t>
      </w:r>
      <w:r>
        <w:rPr>
          <w:b/>
        </w:rPr>
        <w:t xml:space="preserve">certifié </w:t>
      </w:r>
      <w:r w:rsidRPr="006F152E">
        <w:rPr>
          <w:b/>
        </w:rPr>
        <w:t xml:space="preserve">provenant de forêts exploitées </w:t>
      </w:r>
      <w:r w:rsidR="00DD4B6E" w:rsidRPr="006F152E">
        <w:rPr>
          <w:b/>
        </w:rPr>
        <w:t>durablemen</w:t>
      </w:r>
      <w:r w:rsidR="00DD4B6E">
        <w:rPr>
          <w:b/>
        </w:rPr>
        <w:t>t 2019</w:t>
      </w:r>
      <w:r w:rsidR="00F74EA0" w:rsidRPr="00915CB5">
        <w:rPr>
          <w:b/>
        </w:rPr>
        <w:t>-</w:t>
      </w:r>
      <w:r w:rsidR="00C546D1" w:rsidRPr="00915CB5">
        <w:rPr>
          <w:b/>
        </w:rPr>
        <w:t>202</w:t>
      </w:r>
      <w:r w:rsidR="00C546D1">
        <w:rPr>
          <w:b/>
        </w:rPr>
        <w:t>4</w:t>
      </w:r>
    </w:p>
    <w:p w14:paraId="1E3DC89A" w14:textId="77777777" w:rsidR="0070540E" w:rsidRPr="00915CB5" w:rsidRDefault="0070540E" w:rsidP="008546A7">
      <w:pPr>
        <w:jc w:val="both"/>
      </w:pPr>
    </w:p>
    <w:p w14:paraId="434575A4" w14:textId="21DB5990" w:rsidR="00BA4B2A" w:rsidRPr="00915CB5" w:rsidRDefault="0070540E" w:rsidP="008546A7">
      <w:pPr>
        <w:jc w:val="both"/>
      </w:pPr>
      <w:r w:rsidRPr="00915CB5">
        <w:t xml:space="preserve">Vu la Convention sur la diversité biologique, ratifiée par la Belgique le 22 novembre 1996, </w:t>
      </w:r>
      <w:r w:rsidR="00BA4B2A" w:rsidRPr="00915CB5">
        <w:t xml:space="preserve">et les objectifs d'Aichi du "Plan stratégique pour la </w:t>
      </w:r>
      <w:r w:rsidR="001F319B" w:rsidRPr="00915CB5">
        <w:t>diversité biologique 2011-2020", adopté par les Parties à la Convention sur la diversité biologique (CDB) en octobre 2010</w:t>
      </w:r>
      <w:r w:rsidR="00D12BB2">
        <w:t> ;</w:t>
      </w:r>
    </w:p>
    <w:p w14:paraId="5ABEE92C" w14:textId="34E5A1A1" w:rsidR="00BA4B2A" w:rsidRPr="00915CB5" w:rsidRDefault="00353322" w:rsidP="008546A7">
      <w:pPr>
        <w:jc w:val="both"/>
        <w:rPr>
          <w:iCs/>
        </w:rPr>
      </w:pPr>
      <w:r w:rsidRPr="00915CB5">
        <w:t>Vu la</w:t>
      </w:r>
      <w:r w:rsidR="00BA4B2A" w:rsidRPr="00915CB5">
        <w:t xml:space="preserve"> stratégie de l’Union Européenne </w:t>
      </w:r>
      <w:r w:rsidR="00BA4B2A" w:rsidRPr="00915CB5">
        <w:rPr>
          <w:iCs/>
        </w:rPr>
        <w:t xml:space="preserve">à l'horizon </w:t>
      </w:r>
      <w:r w:rsidR="00915CB5" w:rsidRPr="00915CB5">
        <w:rPr>
          <w:iCs/>
        </w:rPr>
        <w:t>2020</w:t>
      </w:r>
      <w:r w:rsidR="0081505B" w:rsidRPr="00915CB5">
        <w:t xml:space="preserve"> « La</w:t>
      </w:r>
      <w:r w:rsidR="00BA4B2A" w:rsidRPr="00915CB5">
        <w:rPr>
          <w:iCs/>
        </w:rPr>
        <w:t xml:space="preserve"> biodiversité, notre assuranc</w:t>
      </w:r>
      <w:r w:rsidR="00D12BB2">
        <w:rPr>
          <w:iCs/>
        </w:rPr>
        <w:t>e-vie et notre capital naturel ;</w:t>
      </w:r>
    </w:p>
    <w:p w14:paraId="69041998" w14:textId="77777777" w:rsidR="0070540E" w:rsidRDefault="001F319B" w:rsidP="008546A7">
      <w:pPr>
        <w:jc w:val="both"/>
      </w:pPr>
      <w:r w:rsidRPr="00915CB5">
        <w:t xml:space="preserve">  </w:t>
      </w:r>
      <w:r w:rsidR="0070540E" w:rsidRPr="00915CB5">
        <w:t xml:space="preserve">Vu la Convention sur le commerce international des espèces de faune et de flore sauvages menacées d'extinction (CITES), ratifiée par la Belgique le 3 octobre 1983; </w:t>
      </w:r>
    </w:p>
    <w:p w14:paraId="5D56C98A" w14:textId="5BE12892" w:rsidR="000D0B12" w:rsidRDefault="000D0B12" w:rsidP="008546A7">
      <w:pPr>
        <w:jc w:val="both"/>
      </w:pPr>
      <w:r>
        <w:t xml:space="preserve">Vu la Convention-cadre des nations unies sur les changements climatiques, </w:t>
      </w:r>
      <w:r w:rsidRPr="00A30D46">
        <w:t>ratifiée par la Belgique le 16 janvier 1996</w:t>
      </w:r>
      <w:r>
        <w:t>, en particulier l’ article  4 par lequel s’engagent toutes les Parties, tenant compte de leurs responsabilités communes mais différenciées et de la spécificité de leurs priorités nationales et régionales de développement, de leurs objectifs et de leur situation, à encourager la gestion rationnelle et à encourager et soutenir par leur coopération, la conservation et, le cas échéant, le renforcement des puits et réservoirs de tous les gaz à effet de serre non réglementés par le Protocole de Montréal, no</w:t>
      </w:r>
      <w:r w:rsidR="00D12BB2">
        <w:t>tamment la biomasse, les forêts ;</w:t>
      </w:r>
    </w:p>
    <w:p w14:paraId="657E8D7F" w14:textId="40E8351F" w:rsidR="0059332D" w:rsidRDefault="000D0B12" w:rsidP="008546A7">
      <w:pPr>
        <w:pStyle w:val="Tekstopmerking"/>
        <w:jc w:val="both"/>
        <w:rPr>
          <w:sz w:val="22"/>
          <w:szCs w:val="22"/>
        </w:rPr>
      </w:pPr>
      <w:r w:rsidRPr="0059332D">
        <w:rPr>
          <w:sz w:val="22"/>
          <w:szCs w:val="22"/>
        </w:rPr>
        <w:t xml:space="preserve">Vu </w:t>
      </w:r>
      <w:r w:rsidR="0059332D" w:rsidRPr="0059332D">
        <w:rPr>
          <w:sz w:val="22"/>
          <w:szCs w:val="22"/>
        </w:rPr>
        <w:t xml:space="preserve"> </w:t>
      </w:r>
      <w:r w:rsidR="0059332D" w:rsidRPr="0081505B">
        <w:rPr>
          <w:sz w:val="22"/>
          <w:szCs w:val="22"/>
        </w:rPr>
        <w:t>l’Accord de Paris sur le climat</w:t>
      </w:r>
      <w:r w:rsidR="0059332D">
        <w:rPr>
          <w:sz w:val="22"/>
          <w:szCs w:val="22"/>
        </w:rPr>
        <w:t>, ratifié par la Belgique le 6 avril 2017, et en particulier son article 5 par lequel l</w:t>
      </w:r>
      <w:r w:rsidR="0059332D" w:rsidRPr="0081505B">
        <w:rPr>
          <w:sz w:val="22"/>
          <w:szCs w:val="22"/>
        </w:rPr>
        <w:t>es Parties sont invitées à prendre des mesures pour appliquer et étayer, notamment par des versements liés aux résultats, le cadre existant défini dans les directives et les décisions pertinentes déjà adoptées en vertu de la Convention pour : les démarches générales et les mesures d’incitation positive concernant les activités liées à la réduction des émissions résultant du déboisement et de la dégradation des forêts, et le rôle de la conservation, de la gestion durable des forêts et de l’accroissement des stocks de carbone forestiers dans les pays en développement; et d’autres démarches générales, notamment des démarches conjointes en matière d’atténuation et d’adaptation pour la gestion intégrale et durable des forêts, tout en réaffirmant qu’il importe de promouvoir, selon qu’il convient, les avantages non liés au carbone</w:t>
      </w:r>
      <w:r w:rsidR="00D12BB2">
        <w:rPr>
          <w:sz w:val="22"/>
          <w:szCs w:val="22"/>
        </w:rPr>
        <w:t xml:space="preserve"> associés à de telles démarches ;</w:t>
      </w:r>
    </w:p>
    <w:p w14:paraId="02F8F69E" w14:textId="669FE1B5" w:rsidR="003A6B5C" w:rsidRPr="0081505B" w:rsidRDefault="001F319B" w:rsidP="008546A7">
      <w:pPr>
        <w:pStyle w:val="Tekstopmerking"/>
        <w:jc w:val="both"/>
        <w:rPr>
          <w:sz w:val="22"/>
          <w:szCs w:val="22"/>
        </w:rPr>
      </w:pPr>
      <w:r w:rsidRPr="0081505B">
        <w:rPr>
          <w:sz w:val="22"/>
          <w:szCs w:val="22"/>
        </w:rPr>
        <w:t xml:space="preserve">Vu les </w:t>
      </w:r>
      <w:r w:rsidR="004563F6" w:rsidRPr="0081505B">
        <w:rPr>
          <w:sz w:val="22"/>
          <w:szCs w:val="22"/>
        </w:rPr>
        <w:t xml:space="preserve">17 </w:t>
      </w:r>
      <w:r w:rsidRPr="0081505B">
        <w:rPr>
          <w:sz w:val="22"/>
          <w:szCs w:val="22"/>
        </w:rPr>
        <w:t>objectifs de développement durable</w:t>
      </w:r>
      <w:r w:rsidR="00364C7F" w:rsidRPr="0081505B">
        <w:rPr>
          <w:sz w:val="22"/>
          <w:szCs w:val="22"/>
        </w:rPr>
        <w:t xml:space="preserve"> </w:t>
      </w:r>
      <w:r w:rsidR="004563F6" w:rsidRPr="0081505B">
        <w:rPr>
          <w:sz w:val="22"/>
          <w:szCs w:val="22"/>
        </w:rPr>
        <w:t>de la Résolution A/RES/70/</w:t>
      </w:r>
      <w:r w:rsidR="0081505B" w:rsidRPr="0081505B">
        <w:rPr>
          <w:sz w:val="22"/>
          <w:szCs w:val="22"/>
        </w:rPr>
        <w:t>1 adoptée le</w:t>
      </w:r>
      <w:r w:rsidR="004563F6" w:rsidRPr="0081505B">
        <w:rPr>
          <w:sz w:val="22"/>
          <w:szCs w:val="22"/>
        </w:rPr>
        <w:t xml:space="preserve"> 25 septembre 2015 par l’Assemblée générales Nations Unies, </w:t>
      </w:r>
      <w:r w:rsidR="00364C7F" w:rsidRPr="0081505B">
        <w:rPr>
          <w:sz w:val="22"/>
          <w:szCs w:val="22"/>
        </w:rPr>
        <w:t xml:space="preserve">et en particulier l’objectif 12 visant à établir des modes </w:t>
      </w:r>
      <w:r w:rsidR="0081505B" w:rsidRPr="0081505B">
        <w:rPr>
          <w:sz w:val="22"/>
          <w:szCs w:val="22"/>
        </w:rPr>
        <w:t>de consommation</w:t>
      </w:r>
      <w:r w:rsidR="00364C7F" w:rsidRPr="0081505B">
        <w:rPr>
          <w:sz w:val="22"/>
          <w:szCs w:val="22"/>
        </w:rPr>
        <w:t xml:space="preserve"> et production durables, et</w:t>
      </w:r>
      <w:r w:rsidR="00485538">
        <w:rPr>
          <w:sz w:val="22"/>
          <w:szCs w:val="22"/>
        </w:rPr>
        <w:t xml:space="preserve"> plus particulièrement son sous-</w:t>
      </w:r>
      <w:r w:rsidR="00364C7F" w:rsidRPr="0081505B">
        <w:rPr>
          <w:sz w:val="22"/>
          <w:szCs w:val="22"/>
        </w:rPr>
        <w:t xml:space="preserve">objectif </w:t>
      </w:r>
      <w:r w:rsidR="003A6B5C" w:rsidRPr="0081505B">
        <w:rPr>
          <w:sz w:val="22"/>
          <w:szCs w:val="22"/>
        </w:rPr>
        <w:t>15.2, visant à promouvoir d’ici à 2020, la gestion durable de tous les types de forêt, à mettre un terme à la déforestation, restaurer les forêts dégradées et à accroître considérablement le boisement et l</w:t>
      </w:r>
      <w:r w:rsidR="00D12BB2">
        <w:rPr>
          <w:sz w:val="22"/>
          <w:szCs w:val="22"/>
        </w:rPr>
        <w:t>e reboisement au niveau mondial ;</w:t>
      </w:r>
    </w:p>
    <w:p w14:paraId="2419B5E3" w14:textId="14A9C6E8" w:rsidR="00FE45BD" w:rsidRDefault="003A6B5C" w:rsidP="008546A7">
      <w:pPr>
        <w:jc w:val="both"/>
      </w:pPr>
      <w:r>
        <w:t>Vu la Déclaration de New York</w:t>
      </w:r>
      <w:r w:rsidR="00FE45BD">
        <w:t>, adoptée par la Belgique le 23 septembre 2014,</w:t>
      </w:r>
      <w:r>
        <w:t xml:space="preserve"> dont les signataires s’engagent </w:t>
      </w:r>
      <w:r w:rsidR="00FE45BD">
        <w:t xml:space="preserve">notamment </w:t>
      </w:r>
      <w:r>
        <w:t>à réduire de moitié le rythme de disparition des forêts naturelles dans le monde d’ici 2020 et s’engager à en stopper la destruction d’ici 2030</w:t>
      </w:r>
      <w:r w:rsidR="00FE45BD">
        <w:t> ; à soutenir et appuyer l’objectif du secteur privé d’élimination de la déforestation associée aux différents secteurs é</w:t>
      </w:r>
      <w:r w:rsidR="00D12BB2">
        <w:t>conomiques au plus tard en 2020 ;</w:t>
      </w:r>
    </w:p>
    <w:p w14:paraId="09637892" w14:textId="50405E7D" w:rsidR="00A22AAA" w:rsidRPr="00915CB5" w:rsidRDefault="0070540E" w:rsidP="008546A7">
      <w:pPr>
        <w:jc w:val="both"/>
      </w:pPr>
      <w:r w:rsidRPr="00915CB5">
        <w:t>Vu les Conférences ministérielles pour la protection des forêts en Europe (MCPFE)</w:t>
      </w:r>
      <w:r w:rsidR="00D12BB2">
        <w:t xml:space="preserve"> </w:t>
      </w:r>
      <w:r w:rsidRPr="00915CB5">
        <w:t xml:space="preserve">; </w:t>
      </w:r>
    </w:p>
    <w:p w14:paraId="48153EDF" w14:textId="50948CCD" w:rsidR="00A22AAA" w:rsidRPr="00915CB5" w:rsidRDefault="00ED59C5" w:rsidP="008546A7">
      <w:pPr>
        <w:jc w:val="both"/>
      </w:pPr>
      <w:r w:rsidRPr="00915CB5">
        <w:t>Vu la stratégie nationale pour la diversité biologique « Biodiversité 2020, Actualisation de la Stratégie nationale », adoptée par la Conférence Interministérielle de l’Environnement le 13 novembre 2013</w:t>
      </w:r>
      <w:r w:rsidR="00D12BB2">
        <w:t> ;</w:t>
      </w:r>
    </w:p>
    <w:p w14:paraId="7219D5F0" w14:textId="6DEA64B8" w:rsidR="0070540E" w:rsidRPr="00915CB5" w:rsidRDefault="0070540E" w:rsidP="008546A7">
      <w:pPr>
        <w:jc w:val="both"/>
      </w:pPr>
      <w:r w:rsidRPr="00915CB5">
        <w:t>Vu le Plan d'action pour une production, une consommation et une industrie durables de la Commission européenne du 16 juillet 2008</w:t>
      </w:r>
      <w:r w:rsidR="00D12BB2">
        <w:t xml:space="preserve"> </w:t>
      </w:r>
      <w:r w:rsidRPr="00915CB5">
        <w:t xml:space="preserve">; </w:t>
      </w:r>
    </w:p>
    <w:p w14:paraId="64314BBA" w14:textId="2BF40FE8" w:rsidR="00364C7F" w:rsidRPr="00381842" w:rsidRDefault="0070540E" w:rsidP="008546A7">
      <w:pPr>
        <w:jc w:val="both"/>
      </w:pPr>
      <w:r w:rsidRPr="00915CB5">
        <w:lastRenderedPageBreak/>
        <w:t xml:space="preserve">Vu le Plan d'action pour l'application des réglementations forestières, gouvernance et échanges </w:t>
      </w:r>
      <w:r w:rsidRPr="00381842">
        <w:t>commerciaux (FLEGT) de la Commissi</w:t>
      </w:r>
      <w:r w:rsidR="00D12BB2">
        <w:t>on européenne du 21 mai 2003 ;</w:t>
      </w:r>
    </w:p>
    <w:p w14:paraId="11C9F712" w14:textId="70D147D4" w:rsidR="006B6D3F" w:rsidRPr="00381842" w:rsidRDefault="006B6D3F" w:rsidP="008546A7">
      <w:pPr>
        <w:jc w:val="both"/>
      </w:pPr>
      <w:r w:rsidRPr="00381842">
        <w:t xml:space="preserve">Vu les critères de durabilité pour </w:t>
      </w:r>
      <w:r w:rsidR="00381842" w:rsidRPr="00381842">
        <w:t xml:space="preserve">les combustibles ou carburants solides issus de la biomasse dans l’article 29 </w:t>
      </w:r>
      <w:r w:rsidR="00D45C33" w:rsidRPr="00381842">
        <w:t xml:space="preserve">de la </w:t>
      </w:r>
      <w:r w:rsidR="00381842" w:rsidRPr="00381842">
        <w:t>Directive (UE) 2018/2001 du Parlement européen et du Conseil du 11 décembre 2018 relative à la promotion de l'utilisation de l'énergie produite à partir de sources renouvelables</w:t>
      </w:r>
      <w:r w:rsidR="00D12BB2">
        <w:t> ;</w:t>
      </w:r>
    </w:p>
    <w:p w14:paraId="0C182763" w14:textId="77777777" w:rsidR="004563F6" w:rsidRPr="00915CB5" w:rsidRDefault="004563F6" w:rsidP="008546A7">
      <w:pPr>
        <w:jc w:val="both"/>
      </w:pPr>
      <w:r w:rsidRPr="00915CB5">
        <w:t xml:space="preserve">Vu le </w:t>
      </w:r>
      <w:r w:rsidR="009A7E14" w:rsidRPr="00915CB5">
        <w:t xml:space="preserve">règlement </w:t>
      </w:r>
      <w:r w:rsidRPr="00915CB5">
        <w:t>(CE) No 2173/2005 du Conseil du 20 décembre 2005 concernant la mise en place d’un régime d’autorisation FLEGT relatif aux importations de bois dans la Communauté européenne ;</w:t>
      </w:r>
    </w:p>
    <w:p w14:paraId="15ABBD23" w14:textId="2659C9DB" w:rsidR="00364C7F" w:rsidRPr="00915CB5" w:rsidRDefault="00364C7F" w:rsidP="008546A7">
      <w:pPr>
        <w:jc w:val="both"/>
      </w:pPr>
      <w:r w:rsidRPr="00915CB5">
        <w:t xml:space="preserve">Vu </w:t>
      </w:r>
      <w:r w:rsidR="0070540E" w:rsidRPr="00915CB5">
        <w:t>le Règlement (EU) n° 995/2010 du Parlement européen et du Conseil du 20 octobre 2010 établissant les obligations des opérateurs qui mettent du bois et des produits dérivés sur le marché</w:t>
      </w:r>
      <w:r w:rsidR="00D12BB2">
        <w:t> ;</w:t>
      </w:r>
      <w:r w:rsidR="00CF550A" w:rsidRPr="00915CB5">
        <w:t xml:space="preserve"> </w:t>
      </w:r>
    </w:p>
    <w:p w14:paraId="6B13A1E9" w14:textId="77777777" w:rsidR="00D31144" w:rsidRPr="00915CB5" w:rsidRDefault="00CF550A" w:rsidP="008546A7">
      <w:pPr>
        <w:jc w:val="both"/>
      </w:pPr>
      <w:r w:rsidRPr="00915CB5">
        <w:t xml:space="preserve">Vu le règlement d'exécution (UE) no 607/2012 de la commission du 6 juillet 2012 sur les modalités d'application relatives au système de diligence, ainsi qu'à la fréquence et à la nature des contrôles à effectuer auprès des organisations de contrôle conformément au règlement (UE) no 995/2010 du Parlement européen et du Conseil établissant les obligations des opérateurs qui mettent du bois et des produits dérivés sur le marché ; et en particulier son article 4 faisant état de la considération  de la certification ou d’autres systèmes de vérification tierce partie remplissant certains critères, au regard des obligations légales de la diligence raisonnée ; </w:t>
      </w:r>
    </w:p>
    <w:p w14:paraId="6B376167" w14:textId="50573CCE" w:rsidR="009A7E14" w:rsidRPr="00915CB5" w:rsidRDefault="009A7E14" w:rsidP="008546A7">
      <w:pPr>
        <w:jc w:val="both"/>
      </w:pPr>
      <w:r w:rsidRPr="00915CB5">
        <w:t>Vu la loi du 28 juillet 1981 portant approbation de la Convention sur le commerce international des espèces de faune et de flore</w:t>
      </w:r>
      <w:r w:rsidR="00D12BB2">
        <w:t xml:space="preserve"> sauvages menacées d'extinction ;</w:t>
      </w:r>
    </w:p>
    <w:p w14:paraId="46A08CB3" w14:textId="3DC49A08" w:rsidR="0070540E" w:rsidRPr="00915CB5" w:rsidRDefault="0070540E" w:rsidP="008546A7">
      <w:pPr>
        <w:jc w:val="both"/>
      </w:pPr>
      <w:r w:rsidRPr="00915CB5">
        <w:t>Vu la loi du 21 décembre 1998 relative aux normes de produits ayant pour but la promotion de modes de production et de consommation durables et la protection de l'environnement et de la santé, article 6</w:t>
      </w:r>
      <w:r w:rsidR="00D12BB2">
        <w:t xml:space="preserve"> </w:t>
      </w:r>
      <w:r w:rsidRPr="00915CB5">
        <w:t xml:space="preserve">; </w:t>
      </w:r>
    </w:p>
    <w:p w14:paraId="1842989B" w14:textId="5210038B" w:rsidR="009A7E14" w:rsidRDefault="009A7E14" w:rsidP="008546A7">
      <w:pPr>
        <w:jc w:val="both"/>
      </w:pPr>
      <w:r w:rsidRPr="00915CB5">
        <w:t>Vu l’Arrêté royal du 5 avril 2011 déterminant les exigences auxquelles doivent répondre des pellets de bois prévus pour alimenter des appareils de chauffage non industriels, article 5</w:t>
      </w:r>
      <w:r w:rsidR="00D12BB2">
        <w:t xml:space="preserve"> , </w:t>
      </w:r>
      <w:r w:rsidRPr="00915CB5">
        <w:t xml:space="preserve">§1, 1° ; </w:t>
      </w:r>
    </w:p>
    <w:p w14:paraId="6A82C637" w14:textId="2455FF1A" w:rsidR="00C12BFF" w:rsidRDefault="00C12BFF" w:rsidP="008546A7">
      <w:pPr>
        <w:jc w:val="both"/>
      </w:pPr>
      <w:r>
        <w:t>Vu l’Accord Sectoriel du 1</w:t>
      </w:r>
      <w:r w:rsidRPr="00C12BFF">
        <w:rPr>
          <w:vertAlign w:val="superscript"/>
        </w:rPr>
        <w:t>er</w:t>
      </w:r>
      <w:r>
        <w:t xml:space="preserve"> mars 2011 visant à augmenter l’offre de produits à base de bois provenant de forêts </w:t>
      </w:r>
      <w:r w:rsidR="00D12BB2">
        <w:t>exploitées durablement ;</w:t>
      </w:r>
      <w:r>
        <w:t xml:space="preserve"> </w:t>
      </w:r>
    </w:p>
    <w:p w14:paraId="7E68096D" w14:textId="3AF03D4D" w:rsidR="004563F6" w:rsidRPr="003B158A" w:rsidRDefault="009A7E14" w:rsidP="008546A7">
      <w:pPr>
        <w:jc w:val="both"/>
      </w:pPr>
      <w:r w:rsidRPr="00915CB5">
        <w:t xml:space="preserve">Vu la politique fédérale d'achat visant à promouvoir les produits à base de bois issus de forêts gérées de manière durable dans le but de stimuler la demande et de remplir une fonction d'exemple vis-à-vis </w:t>
      </w:r>
      <w:r w:rsidRPr="003B158A">
        <w:t>de la société;</w:t>
      </w:r>
    </w:p>
    <w:p w14:paraId="639AD015" w14:textId="77777777" w:rsidR="00534F54" w:rsidRPr="003B158A" w:rsidRDefault="00534F54" w:rsidP="00534F54">
      <w:pPr>
        <w:jc w:val="both"/>
      </w:pPr>
      <w:r w:rsidRPr="003B158A">
        <w:t>Vu la publication (du résumé) du projet d’accord sectoriel le 24 octobre 2017 dans deux quotidiens d’expression française (La Dernière Heure et Le Soir), deux quotidiens d’expression néerlandaise (Het Laatste Nieuws et De Standaard), un quotidien d’expression allemande (Grenz-Echo) ainsi que sur le site internet de la Direction générale de l’Environnement du SPF  Santé publique, Sécurité de la chaîne alimentaire et Environnement ;</w:t>
      </w:r>
    </w:p>
    <w:p w14:paraId="452DA9FE" w14:textId="454B599F" w:rsidR="00534F54" w:rsidRPr="003B158A" w:rsidRDefault="00FB6920" w:rsidP="00534F54">
      <w:pPr>
        <w:jc w:val="both"/>
      </w:pPr>
      <w:r w:rsidRPr="003B158A">
        <w:t>Vu la communication</w:t>
      </w:r>
      <w:r w:rsidR="00534F54" w:rsidRPr="003B158A">
        <w:t xml:space="preserve"> du projet d’accord au Conseil fédéral du développement durable, au Conseil supérieur de la santé, au Conseil de la consommation et au Con</w:t>
      </w:r>
      <w:bookmarkStart w:id="0" w:name="_GoBack"/>
      <w:bookmarkEnd w:id="0"/>
      <w:r w:rsidR="00534F54" w:rsidRPr="003B158A">
        <w:t>seil central de l’économie ;</w:t>
      </w:r>
    </w:p>
    <w:p w14:paraId="03DF527D" w14:textId="69A3CF1D" w:rsidR="00534F54" w:rsidRDefault="00FB6920" w:rsidP="00534F54">
      <w:pPr>
        <w:jc w:val="both"/>
      </w:pPr>
      <w:r w:rsidRPr="003B158A">
        <w:t>Vu la communication</w:t>
      </w:r>
      <w:r w:rsidR="00534F54" w:rsidRPr="003B158A">
        <w:t xml:space="preserve"> du projet d’accord sectoriel à la Chambre des représentants ainsi qu’au Gouvernement wallon, au Gouvernement flamand et au Gouvernement de la Région de Bruxelles-Capitale ;</w:t>
      </w:r>
    </w:p>
    <w:p w14:paraId="7C8C8DF6" w14:textId="541976A3" w:rsidR="00534F54" w:rsidRPr="00915CB5" w:rsidRDefault="00534F54" w:rsidP="00534F54">
      <w:pPr>
        <w:jc w:val="both"/>
      </w:pPr>
      <w:r>
        <w:t>Vu la notification du projet d’accord à la Commission européenne le 14 février 2019 ;</w:t>
      </w:r>
    </w:p>
    <w:p w14:paraId="46C38975" w14:textId="77777777" w:rsidR="0070540E" w:rsidRPr="00915CB5" w:rsidRDefault="0070540E" w:rsidP="008546A7">
      <w:pPr>
        <w:jc w:val="both"/>
      </w:pPr>
      <w:r w:rsidRPr="00915CB5">
        <w:rPr>
          <w:color w:val="FF0000"/>
        </w:rPr>
        <w:lastRenderedPageBreak/>
        <w:t xml:space="preserve">   </w:t>
      </w:r>
      <w:r w:rsidRPr="00915CB5">
        <w:t xml:space="preserve">Considérant qu'il convient de modifier les modes de production et de consommation afin de réduire le plus possible leur incidence sur l'environnement; </w:t>
      </w:r>
    </w:p>
    <w:p w14:paraId="567D1EF3" w14:textId="77777777" w:rsidR="00940791" w:rsidRPr="00915CB5" w:rsidRDefault="0070540E" w:rsidP="008546A7">
      <w:pPr>
        <w:jc w:val="both"/>
      </w:pPr>
      <w:r w:rsidRPr="00915CB5">
        <w:t xml:space="preserve">   Considérant que, dans ce cadre, il est nécessaire de sensibiliser notamment les producteurs, les importateurs et distributeurs de produits à base de bois à leurs responsabilités, vu l'impact écologique et social de ces produits, et d'encourager la production, l'importation et la distribution à favoriser une gestion durable des forêts; </w:t>
      </w:r>
    </w:p>
    <w:p w14:paraId="19193B21" w14:textId="77777777" w:rsidR="0070540E" w:rsidRPr="00915CB5" w:rsidRDefault="0070540E" w:rsidP="008546A7">
      <w:pPr>
        <w:jc w:val="both"/>
      </w:pPr>
      <w:r w:rsidRPr="00915CB5">
        <w:t xml:space="preserve">   Considérant que les parties signataires au présent accord souhaitent non seulement améliorer la performance environnementale des produits mis sur le marché, en particulier les produits à base de bois, en prenant en considération les efforts fournis par les producteurs, les importateurs et les distributeurs mais également augmenter et diversifier </w:t>
      </w:r>
      <w:r w:rsidR="009A1EA5" w:rsidRPr="00915CB5">
        <w:t>la part des produits à base de bois</w:t>
      </w:r>
      <w:r w:rsidRPr="00915CB5">
        <w:t xml:space="preserve"> iss</w:t>
      </w:r>
      <w:r w:rsidR="009A1EA5" w:rsidRPr="00915CB5">
        <w:t>us de forêts gérées de manière durable</w:t>
      </w:r>
      <w:r w:rsidRPr="00915CB5">
        <w:t xml:space="preserve">; </w:t>
      </w:r>
    </w:p>
    <w:p w14:paraId="77FE1536" w14:textId="77777777" w:rsidR="0070540E" w:rsidRPr="00915CB5" w:rsidRDefault="0070540E" w:rsidP="008546A7">
      <w:pPr>
        <w:jc w:val="both"/>
      </w:pPr>
      <w:r w:rsidRPr="00915CB5">
        <w:t xml:space="preserve">   Considérant que le bois est en soi une matière première renouvelable, s'il est issu de forêts gérées de manière durable, et qu'il est nécessaire de continuer à encourager l'utilisation de cette matière première; </w:t>
      </w:r>
    </w:p>
    <w:p w14:paraId="6980A99B" w14:textId="77777777" w:rsidR="0070540E" w:rsidRPr="00915CB5" w:rsidRDefault="0070540E" w:rsidP="008546A7">
      <w:pPr>
        <w:jc w:val="both"/>
      </w:pPr>
      <w:r w:rsidRPr="00915CB5">
        <w:t xml:space="preserve">   Considérant que des initiatives publiques et privées existent pour contrôler la provenance des produits à base de bois, et que la transparence des principes et critères, de même qu'un contrôle indépendant, contribuent à la crédibilité de ces systèmes; </w:t>
      </w:r>
    </w:p>
    <w:p w14:paraId="07F79C38" w14:textId="43791F62" w:rsidR="0070540E" w:rsidRDefault="0070540E" w:rsidP="008546A7">
      <w:pPr>
        <w:jc w:val="both"/>
      </w:pPr>
      <w:r w:rsidRPr="00915CB5">
        <w:t xml:space="preserve">   Considérant que les parties signataires souhaitent sensibiliser leurs membres et le consommateur à l'importance d'une gestion durable des forêts et d'une certif</w:t>
      </w:r>
      <w:r w:rsidR="009A1EA5" w:rsidRPr="00915CB5">
        <w:t>ication des produits à base de bois par rapport à une gestion durable</w:t>
      </w:r>
      <w:r w:rsidRPr="00915CB5">
        <w:t xml:space="preserve"> des forêts; </w:t>
      </w:r>
    </w:p>
    <w:p w14:paraId="6B669A96" w14:textId="56C1BFE7" w:rsidR="007D1DB3" w:rsidRDefault="007D1DB3" w:rsidP="008546A7">
      <w:pPr>
        <w:jc w:val="both"/>
      </w:pPr>
      <w:r>
        <w:t>Considérant qu’une partie limitée des membres de certaines fédérations professionnelles sont concernés par le commerce de produits de bois, seuls les secteurs représentatifs des catégories de produits couvertes seront concernés par cet Accord, pour c</w:t>
      </w:r>
      <w:r w:rsidR="00D12BB2">
        <w:t>es fédérations professionnelles ;</w:t>
      </w:r>
    </w:p>
    <w:p w14:paraId="4E85D8F0" w14:textId="2D16DF50" w:rsidR="007D1DB3" w:rsidRPr="00381842" w:rsidRDefault="007D1DB3" w:rsidP="008546A7">
      <w:pPr>
        <w:jc w:val="both"/>
        <w:rPr>
          <w:iCs/>
        </w:rPr>
      </w:pPr>
      <w:r w:rsidRPr="00381842">
        <w:rPr>
          <w:iCs/>
        </w:rPr>
        <w:t>Considérant que d’après l’étude de marché 2016 « Bois certifié sur le marché belge en 2016 », menée dans le cadre de l’Acco</w:t>
      </w:r>
      <w:r w:rsidR="00381842">
        <w:rPr>
          <w:iCs/>
        </w:rPr>
        <w:t xml:space="preserve">rd Sectoriel du </w:t>
      </w:r>
      <w:r w:rsidRPr="00381842">
        <w:rPr>
          <w:iCs/>
        </w:rPr>
        <w:t>1 mars 2011 visant à augmenter l'offre de produits à base de bois provenant de forêts exploitées durablement</w:t>
      </w:r>
      <w:r w:rsidR="00996BC7" w:rsidRPr="00381842">
        <w:rPr>
          <w:iCs/>
        </w:rPr>
        <w:t>, on connaît peu la part de produits de bois de seconde transformation provenant de forêt gérée durablement, une nouvelle étude de marché dans le cadre de cet Accord devrait être menée pour établir un point de départ pour les différentes catégories de bois de seconde transformation.</w:t>
      </w:r>
    </w:p>
    <w:p w14:paraId="4130BBF4" w14:textId="77777777" w:rsidR="00B1529E" w:rsidRDefault="0070540E" w:rsidP="008546A7">
      <w:pPr>
        <w:jc w:val="both"/>
      </w:pPr>
      <w:r w:rsidRPr="00915CB5">
        <w:t xml:space="preserve">  </w:t>
      </w:r>
    </w:p>
    <w:p w14:paraId="05A74E8B" w14:textId="50CE90C8" w:rsidR="00B1529E" w:rsidRDefault="00B1529E" w:rsidP="008546A7">
      <w:pPr>
        <w:jc w:val="both"/>
      </w:pPr>
      <w:r>
        <w:t xml:space="preserve">Les parties </w:t>
      </w:r>
      <w:r w:rsidR="003C5EDB">
        <w:t>suivantes</w:t>
      </w:r>
      <w:r>
        <w:t xml:space="preserve"> : </w:t>
      </w:r>
    </w:p>
    <w:p w14:paraId="7E7CE83C" w14:textId="2307CB5F" w:rsidR="007A70B4" w:rsidRDefault="0081505B" w:rsidP="0013284C">
      <w:pPr>
        <w:pStyle w:val="Lijstalinea"/>
        <w:numPr>
          <w:ilvl w:val="0"/>
          <w:numId w:val="8"/>
        </w:numPr>
        <w:jc w:val="both"/>
      </w:pPr>
      <w:r w:rsidRPr="00501696">
        <w:t xml:space="preserve">les fédérations </w:t>
      </w:r>
      <w:r w:rsidR="00957698" w:rsidRPr="00501696">
        <w:t>professionnelles</w:t>
      </w:r>
      <w:r w:rsidR="007A70B4" w:rsidRPr="00501696">
        <w:t xml:space="preserve">; </w:t>
      </w:r>
    </w:p>
    <w:p w14:paraId="7D11B13B" w14:textId="61241D95" w:rsidR="0013284C" w:rsidRDefault="003E423D" w:rsidP="0013284C">
      <w:pPr>
        <w:pStyle w:val="Lijstalinea"/>
        <w:numPr>
          <w:ilvl w:val="1"/>
          <w:numId w:val="8"/>
        </w:numPr>
        <w:jc w:val="both"/>
      </w:pPr>
      <w:r>
        <w:t>Fedustria</w:t>
      </w:r>
      <w:r w:rsidR="005F170A">
        <w:t>;</w:t>
      </w:r>
    </w:p>
    <w:p w14:paraId="0A0A695E" w14:textId="30CA7C1A" w:rsidR="005F170A" w:rsidRPr="005F170A" w:rsidRDefault="003E423D" w:rsidP="00063B2B">
      <w:pPr>
        <w:pStyle w:val="Lijstalinea"/>
        <w:numPr>
          <w:ilvl w:val="1"/>
          <w:numId w:val="8"/>
        </w:numPr>
        <w:jc w:val="both"/>
      </w:pPr>
      <w:bookmarkStart w:id="1" w:name="_Hlk250983"/>
      <w:r>
        <w:t>Bouwunie</w:t>
      </w:r>
      <w:r w:rsidR="00063B2B">
        <w:t>;</w:t>
      </w:r>
    </w:p>
    <w:p w14:paraId="04FA732D" w14:textId="2E4049A1" w:rsidR="005F170A" w:rsidRPr="005F170A" w:rsidRDefault="005F170A" w:rsidP="0013284C">
      <w:pPr>
        <w:pStyle w:val="Lijstalinea"/>
        <w:numPr>
          <w:ilvl w:val="1"/>
          <w:numId w:val="8"/>
        </w:numPr>
        <w:jc w:val="both"/>
      </w:pPr>
      <w:r>
        <w:rPr>
          <w:lang w:val="fr-FR" w:eastAsia="fr-BE"/>
        </w:rPr>
        <w:t>Confédération Construction;</w:t>
      </w:r>
    </w:p>
    <w:p w14:paraId="0F2E4884" w14:textId="140D6C8D" w:rsidR="005F170A" w:rsidRDefault="00063B2B" w:rsidP="0013284C">
      <w:pPr>
        <w:pStyle w:val="Lijstalinea"/>
        <w:numPr>
          <w:ilvl w:val="1"/>
          <w:numId w:val="8"/>
        </w:numPr>
        <w:jc w:val="both"/>
      </w:pPr>
      <w:r>
        <w:t>Fema, Fédération des négociants en Matériaux de construction ;</w:t>
      </w:r>
    </w:p>
    <w:p w14:paraId="620A25FA" w14:textId="1063D422" w:rsidR="00063B2B" w:rsidRDefault="00B30B44" w:rsidP="0013284C">
      <w:pPr>
        <w:pStyle w:val="Lijstalinea"/>
        <w:numPr>
          <w:ilvl w:val="1"/>
          <w:numId w:val="8"/>
        </w:numPr>
        <w:jc w:val="both"/>
      </w:pPr>
      <w:r>
        <w:t>Confédération Belge du Bois</w:t>
      </w:r>
      <w:r w:rsidR="00063B2B">
        <w:t> ;</w:t>
      </w:r>
    </w:p>
    <w:p w14:paraId="2FB5D8E0" w14:textId="3D7B74AC" w:rsidR="00CD0700" w:rsidRPr="00B36C10" w:rsidRDefault="00CD0700" w:rsidP="00CD0700">
      <w:pPr>
        <w:pStyle w:val="Lijstalinea"/>
        <w:numPr>
          <w:ilvl w:val="1"/>
          <w:numId w:val="8"/>
        </w:numPr>
        <w:jc w:val="both"/>
        <w:rPr>
          <w:lang w:val="nl-NL"/>
        </w:rPr>
      </w:pPr>
      <w:r>
        <w:rPr>
          <w:lang w:val="nl-NL"/>
        </w:rPr>
        <w:t>Indufed;</w:t>
      </w:r>
    </w:p>
    <w:p w14:paraId="38794CA2" w14:textId="04BA35DC" w:rsidR="00063B2B" w:rsidRDefault="00CD0700" w:rsidP="0013284C">
      <w:pPr>
        <w:pStyle w:val="Lijstalinea"/>
        <w:numPr>
          <w:ilvl w:val="1"/>
          <w:numId w:val="8"/>
        </w:numPr>
        <w:jc w:val="both"/>
      </w:pPr>
      <w:r>
        <w:t>Comeos ;</w:t>
      </w:r>
    </w:p>
    <w:p w14:paraId="76B0E979" w14:textId="361C6C2E" w:rsidR="00CD0700" w:rsidRPr="003E423D" w:rsidRDefault="003E423D" w:rsidP="003E423D">
      <w:pPr>
        <w:pStyle w:val="Lijstalinea"/>
        <w:numPr>
          <w:ilvl w:val="1"/>
          <w:numId w:val="8"/>
        </w:numPr>
        <w:jc w:val="both"/>
      </w:pPr>
      <w:r w:rsidRPr="003E423D">
        <w:t xml:space="preserve">Société Royale Forestière de </w:t>
      </w:r>
      <w:r>
        <w:t>Belgique (SRFB)</w:t>
      </w:r>
      <w:r w:rsidRPr="003E423D">
        <w:t>;</w:t>
      </w:r>
    </w:p>
    <w:p w14:paraId="03FA54BB" w14:textId="78F368D7" w:rsidR="003E423D" w:rsidRDefault="003E423D" w:rsidP="003E423D">
      <w:pPr>
        <w:pStyle w:val="Lijstalinea"/>
        <w:numPr>
          <w:ilvl w:val="1"/>
          <w:numId w:val="8"/>
        </w:numPr>
        <w:jc w:val="both"/>
      </w:pPr>
      <w:r w:rsidRPr="003E423D">
        <w:t>Fédération interprofessionnelle belge du bois énergie</w:t>
      </w:r>
      <w:r>
        <w:t xml:space="preserve"> (FEBHEL) ;</w:t>
      </w:r>
    </w:p>
    <w:p w14:paraId="2D09FC1D" w14:textId="154A93FE" w:rsidR="003E423D" w:rsidRPr="003E423D" w:rsidRDefault="003E423D" w:rsidP="003E423D">
      <w:pPr>
        <w:pStyle w:val="Lijstalinea"/>
        <w:numPr>
          <w:ilvl w:val="1"/>
          <w:numId w:val="8"/>
        </w:numPr>
        <w:jc w:val="both"/>
        <w:rPr>
          <w:lang w:val="en-US"/>
        </w:rPr>
      </w:pPr>
      <w:r>
        <w:rPr>
          <w:lang w:val="en-US"/>
        </w:rPr>
        <w:t>Landelijk Vlaanderen.</w:t>
      </w:r>
    </w:p>
    <w:bookmarkEnd w:id="1"/>
    <w:p w14:paraId="18E6396A" w14:textId="436F19E3" w:rsidR="00B1529E" w:rsidRDefault="0081505B" w:rsidP="0013284C">
      <w:pPr>
        <w:pStyle w:val="Lijstalinea"/>
        <w:numPr>
          <w:ilvl w:val="0"/>
          <w:numId w:val="8"/>
        </w:numPr>
        <w:jc w:val="both"/>
      </w:pPr>
      <w:r w:rsidRPr="00AA1594">
        <w:lastRenderedPageBreak/>
        <w:t>Les systèmes de certification reconnus par l'autorité fédérale et par la Direction générale Environnement</w:t>
      </w:r>
      <w:r w:rsidR="0013284C" w:rsidRPr="00AA1594">
        <w:t> ;</w:t>
      </w:r>
    </w:p>
    <w:p w14:paraId="7EA8DA6F" w14:textId="77777777" w:rsidR="00AA1594" w:rsidRDefault="00AA1594" w:rsidP="00AA1594">
      <w:pPr>
        <w:numPr>
          <w:ilvl w:val="1"/>
          <w:numId w:val="8"/>
        </w:numPr>
        <w:spacing w:line="252" w:lineRule="auto"/>
        <w:contextualSpacing/>
        <w:jc w:val="both"/>
        <w:rPr>
          <w:rFonts w:eastAsia="Times New Roman"/>
        </w:rPr>
      </w:pPr>
      <w:r>
        <w:rPr>
          <w:rFonts w:eastAsia="Times New Roman"/>
        </w:rPr>
        <w:t>FSC (Forest Stewardship Council) ;</w:t>
      </w:r>
    </w:p>
    <w:p w14:paraId="18410404" w14:textId="5B6CD0C7" w:rsidR="00AA1594" w:rsidRPr="00AA1594" w:rsidRDefault="00AA1594" w:rsidP="00AA1594">
      <w:pPr>
        <w:numPr>
          <w:ilvl w:val="1"/>
          <w:numId w:val="8"/>
        </w:numPr>
        <w:spacing w:line="252" w:lineRule="auto"/>
        <w:contextualSpacing/>
        <w:jc w:val="both"/>
        <w:rPr>
          <w:rFonts w:eastAsia="Times New Roman"/>
          <w:lang w:val="en-US"/>
        </w:rPr>
      </w:pPr>
      <w:r>
        <w:rPr>
          <w:rFonts w:eastAsia="Times New Roman"/>
          <w:lang w:val="en-US"/>
        </w:rPr>
        <w:t>PEFC Belgium (Programme for the Endorsement of Forest Certification Schemes);</w:t>
      </w:r>
    </w:p>
    <w:p w14:paraId="4C2B2F91" w14:textId="55E002B2" w:rsidR="00A55867" w:rsidRPr="00501696" w:rsidRDefault="00A55867" w:rsidP="0013284C">
      <w:pPr>
        <w:pStyle w:val="Lijstalinea"/>
        <w:numPr>
          <w:ilvl w:val="0"/>
          <w:numId w:val="8"/>
        </w:numPr>
        <w:jc w:val="both"/>
      </w:pPr>
      <w:r>
        <w:t>le Ministre fédér</w:t>
      </w:r>
      <w:r w:rsidR="0013284C">
        <w:t>al en charge de l’Environnement.</w:t>
      </w:r>
    </w:p>
    <w:p w14:paraId="53355579" w14:textId="77777777" w:rsidR="002D7A07" w:rsidRDefault="002D7A07" w:rsidP="008546A7">
      <w:pPr>
        <w:jc w:val="both"/>
      </w:pPr>
    </w:p>
    <w:p w14:paraId="401CE51D" w14:textId="6E327F2E" w:rsidR="0070540E" w:rsidRPr="00915CB5" w:rsidRDefault="003C5EDB" w:rsidP="008546A7">
      <w:pPr>
        <w:jc w:val="both"/>
      </w:pPr>
      <w:r>
        <w:t>C</w:t>
      </w:r>
      <w:r w:rsidR="0070540E" w:rsidRPr="00915CB5">
        <w:t>onviennent ce qui suit :</w:t>
      </w:r>
    </w:p>
    <w:p w14:paraId="043C6EEA" w14:textId="77777777" w:rsidR="00F74EA0" w:rsidRPr="00915CB5" w:rsidRDefault="00F74EA0" w:rsidP="008546A7">
      <w:pPr>
        <w:jc w:val="both"/>
      </w:pPr>
    </w:p>
    <w:p w14:paraId="1D77B218" w14:textId="77777777" w:rsidR="00353322" w:rsidRPr="00915CB5" w:rsidRDefault="00F74EA0" w:rsidP="008546A7">
      <w:pPr>
        <w:jc w:val="both"/>
        <w:rPr>
          <w:b/>
        </w:rPr>
      </w:pPr>
      <w:r w:rsidRPr="00915CB5">
        <w:rPr>
          <w:b/>
        </w:rPr>
        <w:t xml:space="preserve">CHAPITRE I.  </w:t>
      </w:r>
      <w:r w:rsidR="00353322" w:rsidRPr="00915CB5">
        <w:rPr>
          <w:b/>
        </w:rPr>
        <w:t>Dispositions générales</w:t>
      </w:r>
    </w:p>
    <w:p w14:paraId="13F80735" w14:textId="11560E4C" w:rsidR="00353322" w:rsidRPr="008546A7" w:rsidRDefault="00353322" w:rsidP="008546A7">
      <w:pPr>
        <w:jc w:val="both"/>
        <w:rPr>
          <w:u w:val="single"/>
        </w:rPr>
      </w:pPr>
      <w:r w:rsidRPr="00915CB5">
        <w:t xml:space="preserve">  </w:t>
      </w:r>
      <w:r w:rsidRPr="008546A7">
        <w:rPr>
          <w:u w:val="single"/>
        </w:rPr>
        <w:t>Section 1</w:t>
      </w:r>
      <w:r w:rsidR="008546A7" w:rsidRPr="008546A7">
        <w:rPr>
          <w:u w:val="single"/>
          <w:vertAlign w:val="superscript"/>
        </w:rPr>
        <w:t>re</w:t>
      </w:r>
      <w:r w:rsidRPr="008546A7">
        <w:rPr>
          <w:u w:val="single"/>
        </w:rPr>
        <w:t>. - Objet</w:t>
      </w:r>
    </w:p>
    <w:p w14:paraId="2D39307B" w14:textId="7CE12AC2" w:rsidR="00353322" w:rsidRPr="00915CB5" w:rsidRDefault="008546A7" w:rsidP="008546A7">
      <w:pPr>
        <w:jc w:val="both"/>
      </w:pPr>
      <w:r>
        <w:t xml:space="preserve">  Article 1</w:t>
      </w:r>
      <w:r w:rsidRPr="008546A7">
        <w:rPr>
          <w:vertAlign w:val="superscript"/>
        </w:rPr>
        <w:t>er</w:t>
      </w:r>
      <w:r>
        <w:t>. § 1</w:t>
      </w:r>
      <w:r w:rsidRPr="008546A7">
        <w:rPr>
          <w:vertAlign w:val="superscript"/>
        </w:rPr>
        <w:t>er</w:t>
      </w:r>
      <w:r w:rsidR="00353322" w:rsidRPr="00915CB5">
        <w:t xml:space="preserve">. Le présent accord est un accord sectoriel au sens de l'article 6 de la loi du 21 décembre 1998 relative aux normes de produits ayant pour but la promotion de modes de </w:t>
      </w:r>
      <w:r w:rsidR="00FE45BD">
        <w:t xml:space="preserve">production et </w:t>
      </w:r>
      <w:r w:rsidR="00353322" w:rsidRPr="00915CB5">
        <w:t>consommation durables et la protection de l'environnement et de la santé.</w:t>
      </w:r>
    </w:p>
    <w:p w14:paraId="0605A951" w14:textId="77777777" w:rsidR="00353322" w:rsidRPr="00915CB5" w:rsidRDefault="00353322" w:rsidP="008546A7">
      <w:pPr>
        <w:jc w:val="both"/>
      </w:pPr>
      <w:r w:rsidRPr="00915CB5">
        <w:t xml:space="preserve">  § 2. L'objet du présent accord est de déterminer les obligations des parties signataires en vue :</w:t>
      </w:r>
    </w:p>
    <w:p w14:paraId="223D389B" w14:textId="3BFB3C7E" w:rsidR="00353322" w:rsidRPr="00915CB5" w:rsidRDefault="00353322" w:rsidP="00660BC1">
      <w:pPr>
        <w:pStyle w:val="Lijstalinea"/>
        <w:numPr>
          <w:ilvl w:val="0"/>
          <w:numId w:val="4"/>
        </w:numPr>
        <w:jc w:val="both"/>
      </w:pPr>
      <w:r w:rsidRPr="00915CB5">
        <w:t xml:space="preserve">d'augmenter </w:t>
      </w:r>
      <w:r w:rsidR="00665F81" w:rsidRPr="00915CB5">
        <w:t xml:space="preserve">la part des produits à base de </w:t>
      </w:r>
      <w:r w:rsidRPr="00915CB5">
        <w:t xml:space="preserve">bois issus de forêts gérées de manière </w:t>
      </w:r>
      <w:r w:rsidR="006B1645" w:rsidRPr="00915CB5">
        <w:t>durable</w:t>
      </w:r>
      <w:r w:rsidRPr="00915CB5">
        <w:t xml:space="preserve"> sur le marché belge;</w:t>
      </w:r>
    </w:p>
    <w:p w14:paraId="21B16448" w14:textId="19B6ACE4" w:rsidR="00D943BC" w:rsidRPr="00915CB5" w:rsidRDefault="00353322" w:rsidP="00660BC1">
      <w:pPr>
        <w:pStyle w:val="Lijstalinea"/>
        <w:numPr>
          <w:ilvl w:val="0"/>
          <w:numId w:val="4"/>
        </w:numPr>
        <w:jc w:val="both"/>
      </w:pPr>
      <w:r w:rsidRPr="00915CB5">
        <w:t>de sensibiliser les membres de</w:t>
      </w:r>
      <w:r w:rsidR="00D31144" w:rsidRPr="00915CB5">
        <w:t>s parties signataires,</w:t>
      </w:r>
      <w:r w:rsidR="00CF550A" w:rsidRPr="00915CB5">
        <w:t xml:space="preserve"> leurs fournisseurs et leurs</w:t>
      </w:r>
      <w:r w:rsidRPr="00915CB5">
        <w:t xml:space="preserve"> consommateur</w:t>
      </w:r>
      <w:r w:rsidR="00D31144" w:rsidRPr="00915CB5">
        <w:t>s</w:t>
      </w:r>
      <w:r w:rsidR="00D943BC" w:rsidRPr="00915CB5">
        <w:t> :</w:t>
      </w:r>
    </w:p>
    <w:p w14:paraId="2D60ED0F" w14:textId="717BBE6F" w:rsidR="00D943BC" w:rsidRPr="00915CB5" w:rsidRDefault="00353322" w:rsidP="00660BC1">
      <w:pPr>
        <w:pStyle w:val="Lijstalinea"/>
        <w:numPr>
          <w:ilvl w:val="0"/>
          <w:numId w:val="5"/>
        </w:numPr>
        <w:jc w:val="both"/>
      </w:pPr>
      <w:r w:rsidRPr="00915CB5">
        <w:t>au</w:t>
      </w:r>
      <w:r w:rsidR="00D943BC" w:rsidRPr="00915CB5">
        <w:t xml:space="preserve">x avantages </w:t>
      </w:r>
      <w:r w:rsidR="00597DEF" w:rsidRPr="00915CB5">
        <w:t xml:space="preserve">sociaux et </w:t>
      </w:r>
      <w:r w:rsidR="00D943BC" w:rsidRPr="00915CB5">
        <w:t>environnementaux d</w:t>
      </w:r>
      <w:r w:rsidR="005914F8" w:rsidRPr="00915CB5">
        <w:t>e l’utilisation du</w:t>
      </w:r>
      <w:r w:rsidR="00D943BC" w:rsidRPr="00915CB5">
        <w:t xml:space="preserve"> bois dans le cadre d’une économie circulaire; </w:t>
      </w:r>
    </w:p>
    <w:p w14:paraId="7A731630" w14:textId="70126371" w:rsidR="00D943BC" w:rsidRPr="00915CB5" w:rsidRDefault="00D943BC" w:rsidP="00660BC1">
      <w:pPr>
        <w:pStyle w:val="Lijstalinea"/>
        <w:numPr>
          <w:ilvl w:val="0"/>
          <w:numId w:val="5"/>
        </w:numPr>
        <w:jc w:val="both"/>
      </w:pPr>
      <w:r w:rsidRPr="00915CB5">
        <w:t xml:space="preserve">au fait que le bois est </w:t>
      </w:r>
      <w:r w:rsidR="00353322" w:rsidRPr="00915CB5">
        <w:t>une matière première renouvelable</w:t>
      </w:r>
      <w:r w:rsidR="009D4465" w:rsidRPr="00915CB5">
        <w:t xml:space="preserve">, s’intégrant à la lutte contre les changements climatiques </w:t>
      </w:r>
      <w:r w:rsidR="00813467" w:rsidRPr="00915CB5">
        <w:t>et à la préservation de la biodiversité</w:t>
      </w:r>
      <w:r w:rsidR="00A910DF" w:rsidRPr="00915CB5">
        <w:t xml:space="preserve">, </w:t>
      </w:r>
      <w:r w:rsidR="009D4465" w:rsidRPr="00915CB5">
        <w:t>s’</w:t>
      </w:r>
      <w:r w:rsidR="00353322" w:rsidRPr="00915CB5">
        <w:t>il est issu de f</w:t>
      </w:r>
      <w:r w:rsidR="007C6337" w:rsidRPr="00915CB5">
        <w:t>orêts gérées de manière durable</w:t>
      </w:r>
      <w:r w:rsidR="00353322" w:rsidRPr="00915CB5">
        <w:t xml:space="preserve"> et</w:t>
      </w:r>
      <w:r w:rsidRPr="00915CB5">
        <w:t xml:space="preserve"> ; </w:t>
      </w:r>
    </w:p>
    <w:p w14:paraId="2C27230E" w14:textId="5225E573" w:rsidR="00353322" w:rsidRPr="00915CB5" w:rsidRDefault="00353322" w:rsidP="00660BC1">
      <w:pPr>
        <w:pStyle w:val="Lijstalinea"/>
        <w:numPr>
          <w:ilvl w:val="0"/>
          <w:numId w:val="5"/>
        </w:numPr>
        <w:jc w:val="both"/>
      </w:pPr>
      <w:r w:rsidRPr="00915CB5">
        <w:t xml:space="preserve">à l'importance d'une certification de gestion durable des forêts, </w:t>
      </w:r>
      <w:r w:rsidR="00A04D45" w:rsidRPr="00915CB5">
        <w:t>comme défini à l'article 8, § 4</w:t>
      </w:r>
      <w:r w:rsidRPr="00915CB5">
        <w:t>, du présent accord</w:t>
      </w:r>
      <w:r w:rsidR="00597DEF" w:rsidRPr="00915CB5">
        <w:t xml:space="preserve">, dans une perspective globale de développement durable. </w:t>
      </w:r>
    </w:p>
    <w:p w14:paraId="4FEE6AE1" w14:textId="0D133654" w:rsidR="00306193" w:rsidRPr="00915CB5" w:rsidRDefault="00306193" w:rsidP="008546A7">
      <w:pPr>
        <w:jc w:val="both"/>
      </w:pPr>
      <w:r w:rsidRPr="00915CB5">
        <w:t xml:space="preserve">  Art. </w:t>
      </w:r>
      <w:r>
        <w:t>2</w:t>
      </w:r>
      <w:r w:rsidRPr="00915CB5">
        <w:t xml:space="preserve">.  Cet Accord sectoriel constitue une </w:t>
      </w:r>
      <w:r w:rsidRPr="00915CB5">
        <w:rPr>
          <w:b/>
        </w:rPr>
        <w:t>obligation de moyens</w:t>
      </w:r>
      <w:r w:rsidRPr="00915CB5">
        <w:t xml:space="preserve"> de la part des parties signataires</w:t>
      </w:r>
      <w:r w:rsidR="00220612">
        <w:t xml:space="preserve">, sauf pour les résultats </w:t>
      </w:r>
      <w:r w:rsidRPr="00915CB5">
        <w:t xml:space="preserve"> </w:t>
      </w:r>
      <w:r w:rsidR="00220612">
        <w:t>visés dans l</w:t>
      </w:r>
      <w:r w:rsidRPr="00915CB5">
        <w:t xml:space="preserve">es obligations juridiquement contraignantes </w:t>
      </w:r>
      <w:r w:rsidR="00220612">
        <w:t>contenues dans</w:t>
      </w:r>
      <w:r w:rsidRPr="00915CB5">
        <w:t xml:space="preserve"> d’autres législations. </w:t>
      </w:r>
    </w:p>
    <w:p w14:paraId="088711C8" w14:textId="77777777" w:rsidR="00306193" w:rsidRPr="00915CB5" w:rsidRDefault="00306193" w:rsidP="008546A7">
      <w:pPr>
        <w:autoSpaceDE w:val="0"/>
        <w:autoSpaceDN w:val="0"/>
        <w:adjustRightInd w:val="0"/>
        <w:spacing w:after="0" w:line="240" w:lineRule="auto"/>
        <w:jc w:val="both"/>
      </w:pPr>
      <w:r w:rsidRPr="00915CB5">
        <w:t>Les parties s’engagent à collaborer dans le respect mutuel à l’atteinte des objectifs de cet Accord.</w:t>
      </w:r>
    </w:p>
    <w:p w14:paraId="4BF0B8A0" w14:textId="77777777" w:rsidR="00306193" w:rsidRPr="00915CB5" w:rsidRDefault="00306193" w:rsidP="008546A7">
      <w:pPr>
        <w:jc w:val="both"/>
      </w:pPr>
    </w:p>
    <w:p w14:paraId="6CE7A5AB" w14:textId="77777777" w:rsidR="00353322" w:rsidRPr="008546A7" w:rsidRDefault="00353322" w:rsidP="008546A7">
      <w:pPr>
        <w:jc w:val="both"/>
        <w:rPr>
          <w:u w:val="single"/>
        </w:rPr>
      </w:pPr>
      <w:r w:rsidRPr="00915CB5">
        <w:t xml:space="preserve">  </w:t>
      </w:r>
      <w:r w:rsidRPr="008546A7">
        <w:rPr>
          <w:u w:val="single"/>
        </w:rPr>
        <w:t>Section 2. - Définitions</w:t>
      </w:r>
    </w:p>
    <w:p w14:paraId="0DCB7F45" w14:textId="77777777" w:rsidR="00353322" w:rsidRPr="00915CB5" w:rsidRDefault="00353322" w:rsidP="008546A7">
      <w:pPr>
        <w:jc w:val="both"/>
      </w:pPr>
      <w:r w:rsidRPr="00915CB5">
        <w:t xml:space="preserve">  Art. </w:t>
      </w:r>
      <w:r w:rsidR="004C0D6B">
        <w:t>3</w:t>
      </w:r>
      <w:r w:rsidRPr="00915CB5">
        <w:t>. Pour l'application du présent accord, l'on entend par :</w:t>
      </w:r>
    </w:p>
    <w:p w14:paraId="52DE2E24" w14:textId="77777777" w:rsidR="00353322" w:rsidRPr="00915CB5" w:rsidRDefault="00353322" w:rsidP="008546A7">
      <w:pPr>
        <w:jc w:val="both"/>
      </w:pPr>
      <w:r w:rsidRPr="00915CB5">
        <w:t xml:space="preserve">  1° produits à base de bois : produits </w:t>
      </w:r>
      <w:r w:rsidR="005F7D0C" w:rsidRPr="00915CB5">
        <w:rPr>
          <w:b/>
        </w:rPr>
        <w:t xml:space="preserve">non-transformés, </w:t>
      </w:r>
      <w:r w:rsidR="001A3CFF" w:rsidRPr="00915CB5">
        <w:rPr>
          <w:b/>
        </w:rPr>
        <w:t xml:space="preserve">de première </w:t>
      </w:r>
      <w:r w:rsidR="005F7D0C" w:rsidRPr="00915CB5">
        <w:rPr>
          <w:b/>
        </w:rPr>
        <w:t>ou</w:t>
      </w:r>
      <w:r w:rsidR="001A3CFF" w:rsidRPr="00915CB5">
        <w:rPr>
          <w:b/>
        </w:rPr>
        <w:t xml:space="preserve"> seconde transformation</w:t>
      </w:r>
      <w:r w:rsidR="001A3CFF" w:rsidRPr="00915CB5">
        <w:t xml:space="preserve"> </w:t>
      </w:r>
      <w:r w:rsidRPr="00915CB5">
        <w:t>fabriqués à partir de bois de conifères, de bois de feuillus tropicaux, de bois de feui</w:t>
      </w:r>
      <w:r w:rsidR="00A04D45" w:rsidRPr="00915CB5">
        <w:t>llus tempérés</w:t>
      </w:r>
      <w:r w:rsidR="00306193">
        <w:t xml:space="preserve">, </w:t>
      </w:r>
      <w:r w:rsidR="00A04D45" w:rsidRPr="00915CB5">
        <w:t>de panneaux</w:t>
      </w:r>
      <w:r w:rsidR="00306193">
        <w:t xml:space="preserve"> et de bois-énergie</w:t>
      </w:r>
      <w:r w:rsidRPr="00915CB5">
        <w:t>;</w:t>
      </w:r>
    </w:p>
    <w:p w14:paraId="309CFE22" w14:textId="77777777" w:rsidR="00353322" w:rsidRDefault="00353322" w:rsidP="008546A7">
      <w:pPr>
        <w:jc w:val="both"/>
      </w:pPr>
      <w:r w:rsidRPr="00915CB5">
        <w:t xml:space="preserve">  2° gestion durable des forêts : une gestion des forêts qui maintient leur diversité biologique, leur productivité, leur capacité de régénération, leur vitalité et leur capacité à satisfaire, actuellement et </w:t>
      </w:r>
      <w:r w:rsidRPr="00915CB5">
        <w:lastRenderedPageBreak/>
        <w:t>pour le futur, les fonctions écologiques, économiques et sociales pertinentes aux niveaux local, national et mondial et qui ne cause pas de préjudi</w:t>
      </w:r>
      <w:r w:rsidR="00F56794" w:rsidRPr="00915CB5">
        <w:t>ces à d'autres écosystèmes</w:t>
      </w:r>
      <w:r w:rsidR="009861B2" w:rsidRPr="00915CB5">
        <w:t xml:space="preserve"> </w:t>
      </w:r>
      <w:bookmarkStart w:id="2" w:name="_Ref535414270"/>
      <w:r w:rsidR="009861B2" w:rsidRPr="00915CB5">
        <w:rPr>
          <w:rStyle w:val="Voetnootmarkering"/>
        </w:rPr>
        <w:footnoteReference w:id="1"/>
      </w:r>
      <w:bookmarkEnd w:id="2"/>
      <w:r w:rsidRPr="00915CB5">
        <w:t>;</w:t>
      </w:r>
    </w:p>
    <w:p w14:paraId="11CE3D24" w14:textId="297A6C94" w:rsidR="00B1529E" w:rsidRDefault="00B1529E" w:rsidP="008546A7">
      <w:pPr>
        <w:jc w:val="both"/>
      </w:pPr>
      <w:r>
        <w:t xml:space="preserve">Les systèmes de certification suivants </w:t>
      </w:r>
      <w:r w:rsidR="00DB6856">
        <w:t xml:space="preserve">reconnus par l'autorité fédérale et </w:t>
      </w:r>
      <w:r w:rsidR="00DB6856" w:rsidRPr="00915CB5">
        <w:t>par la Direction générale Environnemen</w:t>
      </w:r>
      <w:r w:rsidR="00DB6856">
        <w:t xml:space="preserve">t </w:t>
      </w:r>
      <w:r>
        <w:t>sont conformes aux critères ci-dessus : — la « certification FSC »; — la « certification PEFC</w:t>
      </w:r>
      <w:r w:rsidR="00C1159A" w:rsidRPr="00C1159A">
        <w:t xml:space="preserve"> </w:t>
      </w:r>
      <w:r w:rsidR="00C1159A">
        <w:t>quelle que soit la provenance</w:t>
      </w:r>
      <w:r w:rsidR="00C1159A">
        <w:rPr>
          <w:rStyle w:val="Voetnootmarkering"/>
        </w:rPr>
        <w:footnoteReference w:id="2"/>
      </w:r>
      <w:r w:rsidR="00C1159A">
        <w:t xml:space="preserve"> </w:t>
      </w:r>
      <w:r w:rsidR="00C45EE2">
        <w:t xml:space="preserve">»; </w:t>
      </w:r>
    </w:p>
    <w:p w14:paraId="5FF12521" w14:textId="77777777" w:rsidR="00353322" w:rsidRPr="00915CB5" w:rsidRDefault="009861B2" w:rsidP="008546A7">
      <w:pPr>
        <w:jc w:val="both"/>
      </w:pPr>
      <w:r w:rsidRPr="00915CB5">
        <w:t xml:space="preserve">  3</w:t>
      </w:r>
      <w:r w:rsidR="00353322" w:rsidRPr="00915CB5">
        <w:t xml:space="preserve">° Direction générale Environnement : Direction générale Environnement </w:t>
      </w:r>
      <w:r w:rsidR="00F56794" w:rsidRPr="00915CB5">
        <w:t>du Service public fédéral Santé.</w:t>
      </w:r>
    </w:p>
    <w:p w14:paraId="3EBC7D5A" w14:textId="77777777" w:rsidR="00353322" w:rsidRPr="00915CB5" w:rsidRDefault="00353322" w:rsidP="008546A7">
      <w:pPr>
        <w:jc w:val="both"/>
        <w:rPr>
          <w:b/>
        </w:rPr>
      </w:pPr>
      <w:r w:rsidRPr="00915CB5">
        <w:rPr>
          <w:b/>
        </w:rPr>
        <w:t xml:space="preserve">  CHAPITRE II. - Engagements</w:t>
      </w:r>
    </w:p>
    <w:p w14:paraId="6021B20C" w14:textId="36A82F78" w:rsidR="00353322" w:rsidRPr="008546A7" w:rsidRDefault="008546A7" w:rsidP="008546A7">
      <w:pPr>
        <w:jc w:val="both"/>
        <w:rPr>
          <w:u w:val="single"/>
        </w:rPr>
      </w:pPr>
      <w:r>
        <w:rPr>
          <w:u w:val="single"/>
        </w:rPr>
        <w:t>Section 1</w:t>
      </w:r>
      <w:r w:rsidRPr="008546A7">
        <w:rPr>
          <w:u w:val="single"/>
          <w:vertAlign w:val="superscript"/>
        </w:rPr>
        <w:t>re</w:t>
      </w:r>
      <w:r w:rsidR="00353322" w:rsidRPr="008546A7">
        <w:rPr>
          <w:u w:val="single"/>
        </w:rPr>
        <w:t>. - Engagement collectifs</w:t>
      </w:r>
    </w:p>
    <w:p w14:paraId="07B853B9" w14:textId="77777777" w:rsidR="00AA2427" w:rsidRDefault="00353322" w:rsidP="008546A7">
      <w:pPr>
        <w:jc w:val="both"/>
      </w:pPr>
      <w:r w:rsidRPr="00915CB5">
        <w:t xml:space="preserve">  Art. </w:t>
      </w:r>
      <w:r w:rsidR="004C0D6B">
        <w:t>4</w:t>
      </w:r>
      <w:r w:rsidRPr="00915CB5">
        <w:t xml:space="preserve">. </w:t>
      </w:r>
      <w:r w:rsidR="005164D3" w:rsidRPr="00915CB5">
        <w:t xml:space="preserve">§1. </w:t>
      </w:r>
      <w:r w:rsidRPr="00915CB5">
        <w:t xml:space="preserve">Les parties signataires organisent </w:t>
      </w:r>
      <w:r w:rsidR="005538FE" w:rsidRPr="00915CB5">
        <w:t xml:space="preserve">régulièrement </w:t>
      </w:r>
      <w:r w:rsidRPr="00915CB5">
        <w:t xml:space="preserve">pendant toute la durée du présent accord, </w:t>
      </w:r>
      <w:r w:rsidR="005538FE" w:rsidRPr="00915CB5">
        <w:t>des</w:t>
      </w:r>
      <w:r w:rsidRPr="00915CB5">
        <w:t xml:space="preserve"> </w:t>
      </w:r>
      <w:r w:rsidRPr="00915CB5">
        <w:rPr>
          <w:b/>
        </w:rPr>
        <w:t>communication</w:t>
      </w:r>
      <w:r w:rsidR="005538FE" w:rsidRPr="00915CB5">
        <w:rPr>
          <w:b/>
        </w:rPr>
        <w:t>s</w:t>
      </w:r>
      <w:r w:rsidRPr="00915CB5">
        <w:rPr>
          <w:b/>
        </w:rPr>
        <w:t xml:space="preserve"> </w:t>
      </w:r>
      <w:r w:rsidR="005538FE" w:rsidRPr="00915CB5">
        <w:rPr>
          <w:b/>
        </w:rPr>
        <w:t xml:space="preserve">conjointes et distinctes </w:t>
      </w:r>
      <w:r w:rsidRPr="00915CB5">
        <w:t>visant à informer et sensibiliser</w:t>
      </w:r>
      <w:r w:rsidR="00DF6189" w:rsidRPr="00915CB5">
        <w:t xml:space="preserve"> leurs membres</w:t>
      </w:r>
      <w:r w:rsidR="00AD66CD" w:rsidRPr="00915CB5">
        <w:t>,</w:t>
      </w:r>
      <w:r w:rsidR="00DF6189" w:rsidRPr="00915CB5">
        <w:t xml:space="preserve"> et</w:t>
      </w:r>
      <w:r w:rsidRPr="00915CB5">
        <w:t xml:space="preserve"> le</w:t>
      </w:r>
      <w:r w:rsidR="009B6CCD" w:rsidRPr="00915CB5">
        <w:t>s</w:t>
      </w:r>
      <w:r w:rsidRPr="00915CB5">
        <w:t xml:space="preserve"> consommateur</w:t>
      </w:r>
      <w:r w:rsidR="009B6CCD" w:rsidRPr="00915CB5">
        <w:t>s</w:t>
      </w:r>
      <w:r w:rsidR="004132B7" w:rsidRPr="00915CB5">
        <w:t xml:space="preserve"> (</w:t>
      </w:r>
      <w:r w:rsidR="00DF6189" w:rsidRPr="00915CB5">
        <w:t>notamment sur le lieu d’</w:t>
      </w:r>
      <w:r w:rsidR="004132B7" w:rsidRPr="00915CB5">
        <w:t>achat)</w:t>
      </w:r>
      <w:r w:rsidRPr="00915CB5">
        <w:t xml:space="preserve"> à la gestion durable des forêts et à </w:t>
      </w:r>
      <w:r w:rsidR="00896947" w:rsidRPr="00915CB5">
        <w:t xml:space="preserve">l’utilisation de </w:t>
      </w:r>
      <w:r w:rsidR="00260784" w:rsidRPr="00915CB5">
        <w:t>produits à base de bois</w:t>
      </w:r>
      <w:r w:rsidR="00896947" w:rsidRPr="00915CB5">
        <w:t xml:space="preserve"> issus </w:t>
      </w:r>
      <w:r w:rsidRPr="00915CB5">
        <w:t xml:space="preserve">d'une certification de gestion durable des forêts, comme défini à l'article </w:t>
      </w:r>
      <w:r w:rsidR="0081505B">
        <w:t>9</w:t>
      </w:r>
      <w:r w:rsidRPr="00915CB5">
        <w:t xml:space="preserve">, § </w:t>
      </w:r>
      <w:r w:rsidR="0081505B">
        <w:t>3</w:t>
      </w:r>
      <w:r w:rsidRPr="00915CB5">
        <w:t xml:space="preserve">. </w:t>
      </w:r>
      <w:r w:rsidR="005914F8" w:rsidRPr="00915CB5">
        <w:t>Lorsque c</w:t>
      </w:r>
      <w:r w:rsidRPr="00915CB5">
        <w:t>ette communication</w:t>
      </w:r>
      <w:r w:rsidR="005914F8" w:rsidRPr="00915CB5">
        <w:t xml:space="preserve"> est conjointe, celle-ci</w:t>
      </w:r>
      <w:r w:rsidRPr="00915CB5">
        <w:t xml:space="preserve"> est préparée au sein du Comité </w:t>
      </w:r>
      <w:r w:rsidR="00BC6710" w:rsidRPr="00915CB5">
        <w:t>de suivi, établi par l’article 14,</w:t>
      </w:r>
      <w:r w:rsidRPr="00915CB5">
        <w:t xml:space="preserve"> </w:t>
      </w:r>
      <w:r w:rsidR="005253EF">
        <w:t>qui</w:t>
      </w:r>
      <w:r w:rsidRPr="00915CB5">
        <w:t xml:space="preserve"> définit les moyens et le plan de communication les plus appropriés.</w:t>
      </w:r>
    </w:p>
    <w:p w14:paraId="4570A01F" w14:textId="69C7985E" w:rsidR="00592F0D" w:rsidRDefault="005253EF" w:rsidP="008546A7">
      <w:pPr>
        <w:jc w:val="both"/>
      </w:pPr>
      <w:r>
        <w:t>Les communications</w:t>
      </w:r>
      <w:r w:rsidR="00DF6216">
        <w:t xml:space="preserve"> dans le cadre de cet Accord</w:t>
      </w:r>
      <w:r>
        <w:t xml:space="preserve"> auprès des </w:t>
      </w:r>
      <w:r w:rsidR="00592F0D">
        <w:t xml:space="preserve">membres </w:t>
      </w:r>
      <w:r>
        <w:t>et</w:t>
      </w:r>
      <w:r w:rsidR="00592F0D">
        <w:t xml:space="preserve"> des consommateurs </w:t>
      </w:r>
      <w:r>
        <w:t xml:space="preserve">sont établies </w:t>
      </w:r>
      <w:r w:rsidR="00592F0D">
        <w:t xml:space="preserve">de manière neutre </w:t>
      </w:r>
      <w:r w:rsidR="00897026">
        <w:t xml:space="preserve">et impartiale </w:t>
      </w:r>
      <w:r>
        <w:t>entre les</w:t>
      </w:r>
      <w:r w:rsidR="00592F0D">
        <w:t xml:space="preserve"> </w:t>
      </w:r>
      <w:r>
        <w:t xml:space="preserve">systèmes de </w:t>
      </w:r>
      <w:r w:rsidR="00592F0D">
        <w:t>certifications</w:t>
      </w:r>
      <w:r>
        <w:t xml:space="preserve"> reconnus par l'autorité fédérale et </w:t>
      </w:r>
      <w:r w:rsidRPr="00915CB5">
        <w:t>par la Direction générale Environnemen</w:t>
      </w:r>
      <w:r>
        <w:t>t.</w:t>
      </w:r>
    </w:p>
    <w:p w14:paraId="147A5E21" w14:textId="77777777" w:rsidR="004132B7" w:rsidRPr="00915CB5" w:rsidRDefault="00353322" w:rsidP="008546A7">
      <w:pPr>
        <w:jc w:val="both"/>
      </w:pPr>
      <w:r w:rsidRPr="00915CB5">
        <w:t xml:space="preserve">  Art. </w:t>
      </w:r>
      <w:r w:rsidR="004C0D6B">
        <w:t>5</w:t>
      </w:r>
      <w:r w:rsidRPr="00915CB5">
        <w:t xml:space="preserve">. </w:t>
      </w:r>
      <w:r w:rsidR="008E3897" w:rsidRPr="00915CB5">
        <w:t xml:space="preserve">Afin de garantir la </w:t>
      </w:r>
      <w:r w:rsidR="00FA1CA1" w:rsidRPr="00915CB5">
        <w:t>réalisation des objectifs</w:t>
      </w:r>
      <w:r w:rsidR="008E3897" w:rsidRPr="00915CB5">
        <w:t xml:space="preserve"> de l’accord, défini</w:t>
      </w:r>
      <w:r w:rsidR="00BC6710" w:rsidRPr="00915CB5">
        <w:t>s</w:t>
      </w:r>
      <w:r w:rsidR="008E3897" w:rsidRPr="00915CB5">
        <w:t xml:space="preserve"> à l’article 1§2, l</w:t>
      </w:r>
      <w:r w:rsidRPr="00915CB5">
        <w:t>es parties signataires organisent</w:t>
      </w:r>
      <w:r w:rsidR="000D6DFA">
        <w:t>,</w:t>
      </w:r>
      <w:r w:rsidR="005253EF">
        <w:t xml:space="preserve"> </w:t>
      </w:r>
      <w:r w:rsidR="006B622D">
        <w:t xml:space="preserve">et </w:t>
      </w:r>
      <w:r w:rsidR="00F8390C">
        <w:t>intègrent</w:t>
      </w:r>
      <w:r w:rsidR="006B622D">
        <w:t xml:space="preserve"> </w:t>
      </w:r>
      <w:r w:rsidR="0040080A">
        <w:t>de préférence</w:t>
      </w:r>
      <w:r w:rsidR="005253EF">
        <w:t xml:space="preserve"> dans un cursus </w:t>
      </w:r>
      <w:r w:rsidR="00F8390C">
        <w:t>existant</w:t>
      </w:r>
      <w:r w:rsidRPr="00915CB5">
        <w:t xml:space="preserve"> </w:t>
      </w:r>
      <w:r w:rsidRPr="00915CB5">
        <w:rPr>
          <w:b/>
        </w:rPr>
        <w:t>des formations</w:t>
      </w:r>
      <w:r w:rsidR="00EA4837">
        <w:rPr>
          <w:b/>
        </w:rPr>
        <w:t xml:space="preserve">  et </w:t>
      </w:r>
      <w:r w:rsidR="00EA4837">
        <w:t xml:space="preserve">diffusent une information </w:t>
      </w:r>
      <w:r w:rsidR="00EA4837">
        <w:rPr>
          <w:b/>
        </w:rPr>
        <w:t>sur la certification de gestion durable des forêts</w:t>
      </w:r>
      <w:r w:rsidRPr="00915CB5">
        <w:t xml:space="preserve"> à l'intention de leurs membres</w:t>
      </w:r>
      <w:r w:rsidR="004132B7" w:rsidRPr="00915CB5">
        <w:t xml:space="preserve">, </w:t>
      </w:r>
      <w:r w:rsidR="00FE5C43" w:rsidRPr="00915CB5">
        <w:t xml:space="preserve">à l’intention </w:t>
      </w:r>
      <w:r w:rsidR="004132B7" w:rsidRPr="00915CB5">
        <w:t xml:space="preserve">des </w:t>
      </w:r>
      <w:r w:rsidR="00FE5C43" w:rsidRPr="00915CB5">
        <w:t>établissements</w:t>
      </w:r>
      <w:r w:rsidR="004132B7" w:rsidRPr="00915CB5">
        <w:t xml:space="preserve"> de formation techniques et professionnels dans les secteurs </w:t>
      </w:r>
      <w:r w:rsidR="00FE5C43" w:rsidRPr="00915CB5">
        <w:t>qui utilisent et transforment le bois</w:t>
      </w:r>
      <w:r w:rsidR="002B2337" w:rsidRPr="00915CB5">
        <w:t xml:space="preserve">, </w:t>
      </w:r>
      <w:r w:rsidR="008E7F30">
        <w:t>ainsi qu’</w:t>
      </w:r>
      <w:r w:rsidR="008E7F30" w:rsidRPr="00915CB5">
        <w:t xml:space="preserve"> </w:t>
      </w:r>
      <w:r w:rsidR="002B2337" w:rsidRPr="00915CB5">
        <w:t xml:space="preserve">à l’intention de toute institution </w:t>
      </w:r>
      <w:r w:rsidR="000D6DFA">
        <w:t>pertinente qui en fait la demande</w:t>
      </w:r>
      <w:r w:rsidR="0081505B">
        <w:t xml:space="preserve">. </w:t>
      </w:r>
      <w:r w:rsidR="000D6DFA">
        <w:t xml:space="preserve">Ces demandes de formations ainsi que leurs contenus et leurs </w:t>
      </w:r>
      <w:r w:rsidR="0081505B">
        <w:t xml:space="preserve">organisations </w:t>
      </w:r>
      <w:r w:rsidR="0081505B" w:rsidRPr="00915CB5">
        <w:t>sont</w:t>
      </w:r>
      <w:r w:rsidR="00264F6B" w:rsidRPr="00915CB5">
        <w:t xml:space="preserve"> discutés </w:t>
      </w:r>
      <w:r w:rsidRPr="00915CB5">
        <w:t xml:space="preserve">au sein du Comité </w:t>
      </w:r>
      <w:r w:rsidR="00BC6710" w:rsidRPr="00915CB5">
        <w:t>de suivi</w:t>
      </w:r>
      <w:r w:rsidR="008674F0" w:rsidRPr="00915CB5">
        <w:t xml:space="preserve"> et peuvent y être préparés</w:t>
      </w:r>
      <w:r w:rsidRPr="00915CB5">
        <w:t>.</w:t>
      </w:r>
    </w:p>
    <w:p w14:paraId="3579D7AE" w14:textId="3517EBD0" w:rsidR="00081A44" w:rsidRDefault="002C29DE" w:rsidP="008546A7">
      <w:pPr>
        <w:jc w:val="both"/>
      </w:pPr>
      <w:r w:rsidRPr="00915CB5">
        <w:t xml:space="preserve">Art. </w:t>
      </w:r>
      <w:r w:rsidR="004C0D6B">
        <w:t>6</w:t>
      </w:r>
      <w:r w:rsidRPr="00915CB5">
        <w:t xml:space="preserve">. Les parties signataires apportent leur concours à des </w:t>
      </w:r>
      <w:r w:rsidRPr="00915CB5">
        <w:rPr>
          <w:b/>
        </w:rPr>
        <w:t xml:space="preserve">études et </w:t>
      </w:r>
      <w:r w:rsidR="00A554F9" w:rsidRPr="00915CB5">
        <w:rPr>
          <w:b/>
        </w:rPr>
        <w:t>des projets</w:t>
      </w:r>
      <w:r w:rsidR="00A554F9" w:rsidRPr="00915CB5">
        <w:t>, décidé</w:t>
      </w:r>
      <w:r w:rsidRPr="00915CB5">
        <w:t xml:space="preserve">s dans le cadre du Comité de </w:t>
      </w:r>
      <w:r w:rsidR="006E3CD3">
        <w:t>s</w:t>
      </w:r>
      <w:r w:rsidR="00B556A5" w:rsidRPr="00915CB5">
        <w:t>uivi</w:t>
      </w:r>
      <w:r w:rsidRPr="00915CB5">
        <w:t xml:space="preserve">, et visant à </w:t>
      </w:r>
      <w:r w:rsidR="00260784" w:rsidRPr="00915CB5">
        <w:t>caractériser le</w:t>
      </w:r>
      <w:r w:rsidRPr="00915CB5">
        <w:t xml:space="preserve"> marché des produits à base de bois en Belgique</w:t>
      </w:r>
      <w:r w:rsidR="00A554F9" w:rsidRPr="00915CB5">
        <w:t>, à améliorer la connaissance du marché parmi les parties prenantes concernées et à identifier, éliminer ou réduire les obstacles dans la chaîne du bois certifié.</w:t>
      </w:r>
      <w:r w:rsidR="00F8390C">
        <w:t xml:space="preserve"> </w:t>
      </w:r>
      <w:r w:rsidR="00B077A2">
        <w:t xml:space="preserve">Les parties signataires </w:t>
      </w:r>
      <w:r w:rsidR="0040080A">
        <w:t>assure</w:t>
      </w:r>
      <w:r w:rsidR="00B077A2">
        <w:t>nt par ailleurs la promotion des résultats de ces études et projets.</w:t>
      </w:r>
    </w:p>
    <w:p w14:paraId="1E53F0D3" w14:textId="64DD2A13" w:rsidR="00081A44" w:rsidRPr="00915CB5" w:rsidRDefault="00081A44" w:rsidP="008546A7">
      <w:pPr>
        <w:jc w:val="both"/>
      </w:pPr>
      <w:r>
        <w:t xml:space="preserve">Art 7. </w:t>
      </w:r>
      <w:r w:rsidRPr="00915CB5">
        <w:t xml:space="preserve"> Les parties signataires s’engagent à mettre en œuvre </w:t>
      </w:r>
      <w:r w:rsidR="006E3CD3">
        <w:t>tous l</w:t>
      </w:r>
      <w:r w:rsidRPr="00915CB5">
        <w:t>es moyens qu’ils jugent utiles</w:t>
      </w:r>
      <w:r w:rsidR="0040080A" w:rsidRPr="0040080A">
        <w:t xml:space="preserve"> </w:t>
      </w:r>
      <w:r w:rsidR="0040080A" w:rsidRPr="00915CB5">
        <w:t xml:space="preserve">afin d’atteindre l’objectif </w:t>
      </w:r>
      <w:r w:rsidR="0040080A">
        <w:t>de l’art1§2 ;</w:t>
      </w:r>
      <w:r w:rsidRPr="00915CB5">
        <w:t xml:space="preserve"> à les </w:t>
      </w:r>
      <w:r>
        <w:t>présenter</w:t>
      </w:r>
      <w:r w:rsidRPr="00915CB5">
        <w:t xml:space="preserve"> sous forme d’un plan </w:t>
      </w:r>
      <w:r w:rsidR="0040080A">
        <w:t>annuel d’actions ;</w:t>
      </w:r>
      <w:r w:rsidRPr="00915CB5">
        <w:t xml:space="preserve"> à les </w:t>
      </w:r>
      <w:r>
        <w:t>adapter, le cas échéant, suite aux discussions</w:t>
      </w:r>
      <w:r w:rsidRPr="00915CB5">
        <w:t xml:space="preserve"> au sein du </w:t>
      </w:r>
      <w:r w:rsidR="006E3CD3">
        <w:t>C</w:t>
      </w:r>
      <w:r w:rsidRPr="00915CB5">
        <w:t>omité de suivi tel que défini au chapitre III</w:t>
      </w:r>
      <w:r w:rsidR="0040080A">
        <w:t>;</w:t>
      </w:r>
      <w:r w:rsidRPr="00915CB5">
        <w:t xml:space="preserve"> et à les rendre public</w:t>
      </w:r>
      <w:r w:rsidR="006E3CD3">
        <w:t>s</w:t>
      </w:r>
      <w:r w:rsidRPr="00915CB5">
        <w:t>.</w:t>
      </w:r>
      <w:r>
        <w:t xml:space="preserve"> Le </w:t>
      </w:r>
      <w:r w:rsidR="006E3CD3">
        <w:t>C</w:t>
      </w:r>
      <w:r>
        <w:t xml:space="preserve">omité de suivi </w:t>
      </w:r>
      <w:r w:rsidR="0040080A">
        <w:t>mesure et évalue</w:t>
      </w:r>
      <w:r>
        <w:t xml:space="preserve"> le</w:t>
      </w:r>
      <w:r w:rsidR="0040080A">
        <w:t>s</w:t>
      </w:r>
      <w:r>
        <w:t xml:space="preserve"> progrès des plans d’actions</w:t>
      </w:r>
      <w:r w:rsidR="0040080A">
        <w:t>.</w:t>
      </w:r>
    </w:p>
    <w:p w14:paraId="692F3DF9" w14:textId="49AFA7FF" w:rsidR="00F74EA0" w:rsidRPr="00915CB5" w:rsidRDefault="00182D68" w:rsidP="008546A7">
      <w:pPr>
        <w:jc w:val="both"/>
      </w:pPr>
      <w:r>
        <w:t>Dans le cadre de l’élaboration de ces plans d’actions, les parties signataires identifient des éventuelles synergies entre leurs plans d’actions respectifs et définissent des objectifs partagés.</w:t>
      </w:r>
    </w:p>
    <w:p w14:paraId="54696CFF" w14:textId="290181DA" w:rsidR="00353322" w:rsidRPr="008546A7" w:rsidRDefault="00353322" w:rsidP="008546A7">
      <w:pPr>
        <w:jc w:val="both"/>
        <w:rPr>
          <w:u w:val="single"/>
        </w:rPr>
      </w:pPr>
      <w:r w:rsidRPr="00915CB5">
        <w:lastRenderedPageBreak/>
        <w:t xml:space="preserve"> </w:t>
      </w:r>
      <w:r w:rsidRPr="008546A7">
        <w:rPr>
          <w:u w:val="single"/>
        </w:rPr>
        <w:t>Section 2. - Engagements des parties signataires, à l'exception de l'Etat fédéral</w:t>
      </w:r>
      <w:r w:rsidR="0038087A" w:rsidRPr="008546A7">
        <w:rPr>
          <w:u w:val="single"/>
        </w:rPr>
        <w:t xml:space="preserve"> et des systèmes de certification</w:t>
      </w:r>
    </w:p>
    <w:p w14:paraId="6B874FEC" w14:textId="13A3F5F1" w:rsidR="00353322" w:rsidRPr="00915CB5" w:rsidRDefault="00353322" w:rsidP="008546A7">
      <w:pPr>
        <w:jc w:val="both"/>
      </w:pPr>
      <w:r w:rsidRPr="00915CB5">
        <w:t xml:space="preserve">  Art. </w:t>
      </w:r>
      <w:r w:rsidR="005E4E77">
        <w:t>8</w:t>
      </w:r>
      <w:r w:rsidRPr="00915CB5">
        <w:t xml:space="preserve">. A partir de l'entrée en vigueur du présent accord, les parties signataires s'engagent </w:t>
      </w:r>
      <w:r w:rsidR="004C0D6B" w:rsidRPr="002021EB">
        <w:rPr>
          <w:b/>
        </w:rPr>
        <w:t xml:space="preserve">à </w:t>
      </w:r>
      <w:r w:rsidR="004C0D6B">
        <w:rPr>
          <w:b/>
        </w:rPr>
        <w:t xml:space="preserve">mettre en œuvre </w:t>
      </w:r>
      <w:r w:rsidR="006E3CD3">
        <w:rPr>
          <w:b/>
        </w:rPr>
        <w:t>tous l</w:t>
      </w:r>
      <w:r w:rsidR="004C0D6B">
        <w:rPr>
          <w:b/>
        </w:rPr>
        <w:t>es moyens</w:t>
      </w:r>
      <w:r w:rsidR="006E3CD3">
        <w:rPr>
          <w:b/>
        </w:rPr>
        <w:t xml:space="preserve"> qu’ils jugent utiles</w:t>
      </w:r>
      <w:r w:rsidR="004C0D6B" w:rsidRPr="002021EB">
        <w:rPr>
          <w:b/>
        </w:rPr>
        <w:t xml:space="preserve"> </w:t>
      </w:r>
      <w:r w:rsidR="004C0D6B">
        <w:t xml:space="preserve">afin d’étendre l’application par leurs membres, du principe </w:t>
      </w:r>
      <w:r w:rsidR="004C0D6B" w:rsidRPr="00915CB5">
        <w:t>de « diligence raisonnée », tel que défini par le Règlement (EU) n° 995/2010 du Parlement européen et du Conseil du 20 octobre 2010 établissant les obligations des opérateurs qui mettent du bois et des produits dérivés sur</w:t>
      </w:r>
      <w:r w:rsidR="00C546D1">
        <w:t xml:space="preserve"> le marché</w:t>
      </w:r>
      <w:r w:rsidR="004C0D6B">
        <w:t xml:space="preserve">, à la mise sur le marché de l’ensemble des produits à base de bois qui ne sont pas repris à l’annexe I du Règlement précité.  </w:t>
      </w:r>
    </w:p>
    <w:p w14:paraId="4111F00B" w14:textId="6453216F" w:rsidR="00D31144" w:rsidRDefault="00302B25" w:rsidP="008546A7">
      <w:pPr>
        <w:jc w:val="both"/>
      </w:pPr>
      <w:r w:rsidRPr="00915CB5">
        <w:t xml:space="preserve">  Art.</w:t>
      </w:r>
      <w:r w:rsidR="005E4E77">
        <w:t>9</w:t>
      </w:r>
      <w:r w:rsidR="008546A7">
        <w:t>. § 1</w:t>
      </w:r>
      <w:r w:rsidR="008546A7" w:rsidRPr="008546A7">
        <w:rPr>
          <w:vertAlign w:val="superscript"/>
        </w:rPr>
        <w:t>er</w:t>
      </w:r>
      <w:r w:rsidRPr="00915CB5">
        <w:t xml:space="preserve">. </w:t>
      </w:r>
      <w:r w:rsidR="00453FA0" w:rsidRPr="00915CB5">
        <w:t>Les parties signataires s’engagent</w:t>
      </w:r>
      <w:r w:rsidR="00135BC4" w:rsidRPr="00915CB5">
        <w:t>, chacun</w:t>
      </w:r>
      <w:r w:rsidR="006E3CD3">
        <w:t>e</w:t>
      </w:r>
      <w:r w:rsidR="00135BC4" w:rsidRPr="00915CB5">
        <w:t xml:space="preserve"> pour le</w:t>
      </w:r>
      <w:r w:rsidR="0047218C" w:rsidRPr="00915CB5">
        <w:t>s catégories de produits qui l</w:t>
      </w:r>
      <w:r w:rsidR="006E3CD3">
        <w:t>a</w:t>
      </w:r>
      <w:r w:rsidR="00135BC4" w:rsidRPr="00915CB5">
        <w:t xml:space="preserve"> concernent,</w:t>
      </w:r>
      <w:r w:rsidR="00453FA0" w:rsidRPr="00915CB5">
        <w:t xml:space="preserve"> </w:t>
      </w:r>
      <w:r w:rsidR="00135BC4" w:rsidRPr="00915CB5">
        <w:t xml:space="preserve">à </w:t>
      </w:r>
      <w:r w:rsidR="008E7F30">
        <w:t xml:space="preserve">mettre en œuvre </w:t>
      </w:r>
      <w:r w:rsidR="00DF6216">
        <w:t>d</w:t>
      </w:r>
      <w:r w:rsidR="008E7F30">
        <w:t>es moyens</w:t>
      </w:r>
      <w:r w:rsidR="006E3CD3">
        <w:t xml:space="preserve"> qu’elles jugent utiles</w:t>
      </w:r>
      <w:r w:rsidR="008E7F30">
        <w:t xml:space="preserve"> </w:t>
      </w:r>
      <w:r w:rsidR="00FC4F8B">
        <w:t xml:space="preserve">pour mettre en œuvre le plan d’action </w:t>
      </w:r>
      <w:r w:rsidR="008E7F30">
        <w:t>afin d’</w:t>
      </w:r>
      <w:r w:rsidR="00D31144" w:rsidRPr="00915CB5">
        <w:t>augmenter</w:t>
      </w:r>
      <w:r w:rsidR="0047218C" w:rsidRPr="00915CB5">
        <w:t xml:space="preserve"> </w:t>
      </w:r>
      <w:r w:rsidR="00D31144" w:rsidRPr="00915CB5">
        <w:t xml:space="preserve">la part </w:t>
      </w:r>
      <w:r w:rsidR="00CF550A" w:rsidRPr="00915CB5">
        <w:t xml:space="preserve">des produits </w:t>
      </w:r>
      <w:r w:rsidR="00260784" w:rsidRPr="00915CB5">
        <w:t>à base de</w:t>
      </w:r>
      <w:r w:rsidR="00CF550A" w:rsidRPr="00915CB5">
        <w:t xml:space="preserve"> bois issus de forêts gérées de manière durable </w:t>
      </w:r>
      <w:r w:rsidR="00780486" w:rsidRPr="00915CB5">
        <w:t>qu’</w:t>
      </w:r>
      <w:r w:rsidR="006E3CD3">
        <w:t>elles</w:t>
      </w:r>
      <w:r w:rsidR="00780486" w:rsidRPr="00915CB5">
        <w:t xml:space="preserve"> mettent</w:t>
      </w:r>
      <w:r w:rsidR="00CF550A" w:rsidRPr="00915CB5">
        <w:t xml:space="preserve"> sur le marché</w:t>
      </w:r>
      <w:r w:rsidR="0047218C" w:rsidRPr="00915CB5">
        <w:t xml:space="preserve"> en Belgique</w:t>
      </w:r>
      <w:r w:rsidR="00135BC4" w:rsidRPr="00915CB5">
        <w:t>,</w:t>
      </w:r>
      <w:r w:rsidR="00CF550A" w:rsidRPr="00915CB5">
        <w:t xml:space="preserve"> </w:t>
      </w:r>
      <w:r w:rsidR="00135BC4" w:rsidRPr="00915CB5">
        <w:t>par rapport à la situation décrite</w:t>
      </w:r>
      <w:r w:rsidR="00755DE6">
        <w:t>, à titre indicatif,</w:t>
      </w:r>
      <w:r w:rsidR="00135BC4" w:rsidRPr="00915CB5">
        <w:t xml:space="preserve"> dans l’étude de marché « gecertificeerd hout op de Belgische markt in 2016 » menée dans le cadre de l’Accord Sectoriel du 1</w:t>
      </w:r>
      <w:r w:rsidR="00135BC4" w:rsidRPr="00915CB5">
        <w:rPr>
          <w:vertAlign w:val="superscript"/>
        </w:rPr>
        <w:t>er</w:t>
      </w:r>
      <w:r w:rsidR="00135BC4" w:rsidRPr="00915CB5">
        <w:t xml:space="preserve"> mars 2011 visant à augmenter l’offre de </w:t>
      </w:r>
      <w:r w:rsidR="0047218C" w:rsidRPr="00915CB5">
        <w:t>produits</w:t>
      </w:r>
      <w:r w:rsidR="00135BC4" w:rsidRPr="00915CB5">
        <w:t xml:space="preserve"> à base de bois provenant de forêts exploitées durablement</w:t>
      </w:r>
      <w:r w:rsidR="00107BB9">
        <w:t xml:space="preserve"> </w:t>
      </w:r>
      <w:r w:rsidR="00107BB9" w:rsidRPr="00915CB5">
        <w:t>(et reprise en annexe I)</w:t>
      </w:r>
      <w:r w:rsidR="00135BC4" w:rsidRPr="00915CB5">
        <w:t xml:space="preserve">. </w:t>
      </w:r>
    </w:p>
    <w:p w14:paraId="6832B1A2" w14:textId="561B1DEC" w:rsidR="00F07AC3" w:rsidRPr="00915CB5" w:rsidRDefault="00F07AC3" w:rsidP="008546A7">
      <w:pPr>
        <w:jc w:val="both"/>
      </w:pPr>
      <w:r>
        <w:t xml:space="preserve">Cet engagement doit </w:t>
      </w:r>
      <w:r w:rsidR="00B17881">
        <w:t>être inclus dans</w:t>
      </w:r>
      <w:r w:rsidR="0096569D">
        <w:t xml:space="preserve"> </w:t>
      </w:r>
      <w:r w:rsidR="00B17881">
        <w:t>l</w:t>
      </w:r>
      <w:r w:rsidR="0096569D">
        <w:t>es</w:t>
      </w:r>
      <w:r w:rsidR="00900084">
        <w:t xml:space="preserve"> objectifs et missions </w:t>
      </w:r>
      <w:r>
        <w:t>des fédérations signataires du présent Accord.</w:t>
      </w:r>
    </w:p>
    <w:p w14:paraId="7BD5734F" w14:textId="7328368F" w:rsidR="00E57724" w:rsidRPr="00915CB5" w:rsidRDefault="0047218C" w:rsidP="008546A7">
      <w:pPr>
        <w:jc w:val="both"/>
      </w:pPr>
      <w:r w:rsidRPr="00915CB5">
        <w:t xml:space="preserve">§2. </w:t>
      </w:r>
      <w:r w:rsidR="00DD4143" w:rsidRPr="00915CB5">
        <w:t xml:space="preserve">A titre </w:t>
      </w:r>
      <w:r w:rsidR="006E3CD3">
        <w:t xml:space="preserve">de référence </w:t>
      </w:r>
      <w:r w:rsidR="00DD4143" w:rsidRPr="00915CB5">
        <w:t>en vue de réaliser l’objectif du §1, l</w:t>
      </w:r>
      <w:r w:rsidRPr="00915CB5">
        <w:t xml:space="preserve">es parties signataires </w:t>
      </w:r>
      <w:r w:rsidR="00DD4143" w:rsidRPr="00915CB5">
        <w:t>prennent acte des perspectives à l’horizon 2030 ét</w:t>
      </w:r>
      <w:r w:rsidR="00E04A2C" w:rsidRPr="00915CB5">
        <w:t xml:space="preserve">ablies par l’étude de marché </w:t>
      </w:r>
      <w:r w:rsidR="00DD4143" w:rsidRPr="00915CB5">
        <w:t>citée</w:t>
      </w:r>
      <w:r w:rsidR="00E04A2C" w:rsidRPr="00915CB5">
        <w:t xml:space="preserve"> au §1</w:t>
      </w:r>
      <w:r w:rsidR="00E57724" w:rsidRPr="00915CB5">
        <w:t xml:space="preserve"> </w:t>
      </w:r>
      <w:r w:rsidR="00DD4143" w:rsidRPr="00915CB5">
        <w:t xml:space="preserve">et des parts de marché des </w:t>
      </w:r>
      <w:r w:rsidR="00260784" w:rsidRPr="00915CB5">
        <w:t>produits à base de bois</w:t>
      </w:r>
      <w:r w:rsidR="00DD4143" w:rsidRPr="00915CB5">
        <w:t xml:space="preserve"> issus de forêts gérées de manière durable</w:t>
      </w:r>
      <w:r w:rsidR="00107BB9">
        <w:t>, tout en tenant compte des incertitude</w:t>
      </w:r>
      <w:r w:rsidR="007A58EB">
        <w:t>s liées à de telles projections,</w:t>
      </w:r>
      <w:r w:rsidR="0096569D">
        <w:t xml:space="preserve"> </w:t>
      </w:r>
      <w:r w:rsidR="00107BB9">
        <w:t>à l’évolution des marchés</w:t>
      </w:r>
      <w:r w:rsidR="00FC4F8B">
        <w:t xml:space="preserve">, </w:t>
      </w:r>
      <w:r w:rsidR="00FC4F8B" w:rsidRPr="00FC4F8B">
        <w:t>et à la disponibilité de la matière première certifiée.</w:t>
      </w:r>
    </w:p>
    <w:p w14:paraId="46B58746" w14:textId="77777777" w:rsidR="00353322" w:rsidRPr="00915CB5" w:rsidRDefault="00353322" w:rsidP="008546A7">
      <w:pPr>
        <w:jc w:val="both"/>
      </w:pPr>
      <w:r w:rsidRPr="00915CB5">
        <w:t xml:space="preserve">  § </w:t>
      </w:r>
      <w:r w:rsidR="005E4E77">
        <w:t>3</w:t>
      </w:r>
      <w:r w:rsidRPr="00915CB5">
        <w:t>. Pour démontrer que des produits à base de bois proviennent de forêts exploitées durablement, comme défini dans l'article 2, § 2 ci-dessus, ces produits doivent, dans le ca</w:t>
      </w:r>
      <w:r w:rsidR="00CE2244" w:rsidRPr="00915CB5">
        <w:t>dre du présent accord, dispose</w:t>
      </w:r>
      <w:r w:rsidRPr="00915CB5">
        <w:t>r</w:t>
      </w:r>
      <w:r w:rsidR="00CE2244" w:rsidRPr="00915CB5">
        <w:t> :</w:t>
      </w:r>
    </w:p>
    <w:p w14:paraId="3D135FB9" w14:textId="564059C7" w:rsidR="00353322" w:rsidRPr="00915CB5" w:rsidRDefault="00353322" w:rsidP="00E53D0C">
      <w:pPr>
        <w:pStyle w:val="Lijstalinea"/>
        <w:numPr>
          <w:ilvl w:val="0"/>
          <w:numId w:val="6"/>
        </w:numPr>
        <w:jc w:val="both"/>
      </w:pPr>
      <w:r w:rsidRPr="00915CB5">
        <w:t>d'une certification de gestion durable des forêts reconnue par l'autorité fédérale dans le cadre de la politique fédérale d'achat de produits à base de</w:t>
      </w:r>
      <w:r w:rsidR="00D45C33" w:rsidRPr="00915CB5">
        <w:t xml:space="preserve"> bois</w:t>
      </w:r>
      <w:r w:rsidR="0006668F" w:rsidRPr="00915CB5">
        <w:t xml:space="preserve"> issus d'une production durable</w:t>
      </w:r>
      <w:r w:rsidRPr="00915CB5">
        <w:t>.</w:t>
      </w:r>
    </w:p>
    <w:p w14:paraId="2B4C0723" w14:textId="77777777" w:rsidR="00353322" w:rsidRPr="00915CB5" w:rsidRDefault="00353322" w:rsidP="008546A7">
      <w:pPr>
        <w:jc w:val="both"/>
      </w:pPr>
      <w:r w:rsidRPr="00915CB5">
        <w:t xml:space="preserve">  Ou</w:t>
      </w:r>
    </w:p>
    <w:p w14:paraId="1EBA95C5" w14:textId="33B8E954" w:rsidR="00353322" w:rsidRPr="00915CB5" w:rsidRDefault="00353322" w:rsidP="00E53D0C">
      <w:pPr>
        <w:pStyle w:val="Lijstalinea"/>
        <w:numPr>
          <w:ilvl w:val="0"/>
          <w:numId w:val="6"/>
        </w:numPr>
        <w:jc w:val="both"/>
      </w:pPr>
      <w:r w:rsidRPr="00915CB5">
        <w:t>d'une certification ou d'un brevet équivalent reposant sur des principes et des critères</w:t>
      </w:r>
      <w:r w:rsidR="00463457">
        <w:t xml:space="preserve"> de l’accord d’Helsinki</w:t>
      </w:r>
      <w:r w:rsidR="00C45EE2">
        <w:t xml:space="preserve"> (repris en annexe II)</w:t>
      </w:r>
      <w:r w:rsidR="00463457">
        <w:t xml:space="preserve"> (</w:t>
      </w:r>
      <w:r w:rsidRPr="00915CB5">
        <w:t xml:space="preserve"> admis au niveau international </w:t>
      </w:r>
      <w:r w:rsidR="00463457">
        <w:t xml:space="preserve">, </w:t>
      </w:r>
      <w:r w:rsidRPr="00915CB5">
        <w:t xml:space="preserve">p. ex. critères MCPFE (4) et/ou ITTO (5). Ces principes et ces critères doivent être publiquement disponibles et soumis à un contrôle périodique indépendant. Ces systèmes de certification doivent être communiqués </w:t>
      </w:r>
      <w:r w:rsidR="00A744DE" w:rsidRPr="00915CB5">
        <w:t xml:space="preserve">et approuvés par </w:t>
      </w:r>
      <w:r w:rsidRPr="00915CB5">
        <w:t>la Direction générale Environnement</w:t>
      </w:r>
      <w:r w:rsidR="00F07AC3">
        <w:t xml:space="preserve">, après consultation des parties prenantes, </w:t>
      </w:r>
      <w:r w:rsidRPr="00915CB5">
        <w:t xml:space="preserve">avant </w:t>
      </w:r>
      <w:r w:rsidR="00A744DE" w:rsidRPr="00915CB5">
        <w:t xml:space="preserve">qu’ils ne puissent être pris en considération dans le </w:t>
      </w:r>
      <w:r w:rsidR="00BC6710" w:rsidRPr="00915CB5">
        <w:t>cadre de cet Accord.</w:t>
      </w:r>
    </w:p>
    <w:p w14:paraId="13AA0B9B" w14:textId="1FD12592" w:rsidR="00C12BFF" w:rsidRPr="00915CB5" w:rsidRDefault="00353322" w:rsidP="008546A7">
      <w:pPr>
        <w:jc w:val="both"/>
      </w:pPr>
      <w:r w:rsidRPr="00915CB5">
        <w:t xml:space="preserve">  Art. </w:t>
      </w:r>
      <w:r w:rsidR="005D6401">
        <w:t>10</w:t>
      </w:r>
      <w:r w:rsidRPr="00915CB5">
        <w:t xml:space="preserve">. Les parties signataires s'engagent à promouvoir activement, parmi leurs membres affiliés, la certification de gestion durable des forêts, définie à l'article </w:t>
      </w:r>
      <w:r w:rsidR="005E4E77">
        <w:t>9</w:t>
      </w:r>
      <w:r w:rsidRPr="00915CB5">
        <w:t xml:space="preserve">, § </w:t>
      </w:r>
      <w:r w:rsidR="005E4E77">
        <w:t>3</w:t>
      </w:r>
      <w:r w:rsidRPr="00915CB5">
        <w:t>, le contrôle de la chaîne de production</w:t>
      </w:r>
      <w:r w:rsidR="00847ABD">
        <w:t xml:space="preserve"> dans le cadre de politiques d’approvisionnement </w:t>
      </w:r>
      <w:r w:rsidR="0081505B">
        <w:t>responsables</w:t>
      </w:r>
      <w:r w:rsidR="006D6033">
        <w:t xml:space="preserve"> et une communication active dans la chaîne de valeur.</w:t>
      </w:r>
    </w:p>
    <w:p w14:paraId="7D8BFA91" w14:textId="7237FF44" w:rsidR="00353322" w:rsidRPr="008546A7" w:rsidRDefault="00353322" w:rsidP="008546A7">
      <w:pPr>
        <w:jc w:val="both"/>
        <w:rPr>
          <w:u w:val="single"/>
        </w:rPr>
      </w:pPr>
      <w:r w:rsidRPr="008546A7">
        <w:rPr>
          <w:u w:val="single"/>
        </w:rPr>
        <w:t>Section 3. - Engagements de l'Etat fédéral</w:t>
      </w:r>
    </w:p>
    <w:p w14:paraId="7E1894E4" w14:textId="77777777" w:rsidR="00463457" w:rsidRDefault="00353322" w:rsidP="008546A7">
      <w:pPr>
        <w:jc w:val="both"/>
      </w:pPr>
      <w:r w:rsidRPr="00915CB5">
        <w:t xml:space="preserve">  Art. </w:t>
      </w:r>
      <w:r w:rsidR="005D6401" w:rsidRPr="00915CB5">
        <w:t>1</w:t>
      </w:r>
      <w:r w:rsidR="005D6401">
        <w:t>1</w:t>
      </w:r>
      <w:r w:rsidRPr="00915CB5">
        <w:t xml:space="preserve">. Afin de garantir la bonne exécution </w:t>
      </w:r>
      <w:r w:rsidR="002042FA" w:rsidRPr="00915CB5">
        <w:t>de ses engagements au titre du présent Accord</w:t>
      </w:r>
      <w:r w:rsidR="00463457">
        <w:t>,</w:t>
      </w:r>
      <w:r w:rsidR="00463457" w:rsidRPr="00463457">
        <w:t xml:space="preserve"> </w:t>
      </w:r>
      <w:r w:rsidR="00463457" w:rsidRPr="00915CB5">
        <w:t>l'Etat fédéral</w:t>
      </w:r>
      <w:r w:rsidR="005E4E77">
        <w:t xml:space="preserve">, </w:t>
      </w:r>
      <w:r w:rsidR="00561383">
        <w:t xml:space="preserve">à travers </w:t>
      </w:r>
      <w:r w:rsidR="001160D0" w:rsidRPr="00915CB5">
        <w:t>la Direction générale Environnement</w:t>
      </w:r>
      <w:r w:rsidR="005E4E77">
        <w:t>,</w:t>
      </w:r>
      <w:r w:rsidR="001160D0">
        <w:t xml:space="preserve"> </w:t>
      </w:r>
      <w:r w:rsidR="00463457">
        <w:t>s’engage à :</w:t>
      </w:r>
    </w:p>
    <w:p w14:paraId="1014F7BA" w14:textId="777A497C" w:rsidR="00463457" w:rsidRDefault="00463457" w:rsidP="008546A7">
      <w:pPr>
        <w:jc w:val="both"/>
      </w:pPr>
      <w:r>
        <w:lastRenderedPageBreak/>
        <w:t xml:space="preserve">§1 prévoir </w:t>
      </w:r>
      <w:r w:rsidRPr="00915CB5">
        <w:t>une assistance technique et/ou de</w:t>
      </w:r>
      <w:r>
        <w:t xml:space="preserve">s </w:t>
      </w:r>
      <w:r w:rsidRPr="004F5E23">
        <w:t>moyens budgétaires</w:t>
      </w:r>
      <w:r w:rsidR="00224615">
        <w:t xml:space="preserve"> nécessaires et suffisants</w:t>
      </w:r>
      <w:r>
        <w:t xml:space="preserve"> </w:t>
      </w:r>
      <w:r w:rsidRPr="00915CB5">
        <w:t xml:space="preserve">en ce qui concerne </w:t>
      </w:r>
      <w:r w:rsidR="006E3CD3">
        <w:t>l</w:t>
      </w:r>
      <w:r w:rsidRPr="00915CB5">
        <w:t xml:space="preserve">es campagnes de communication conjointes visées à l'article </w:t>
      </w:r>
      <w:r w:rsidR="005E4E77">
        <w:t>4</w:t>
      </w:r>
      <w:r w:rsidRPr="00915CB5">
        <w:t>,</w:t>
      </w:r>
      <w:r>
        <w:t xml:space="preserve"> </w:t>
      </w:r>
      <w:r w:rsidRPr="00915CB5">
        <w:t xml:space="preserve">les formations </w:t>
      </w:r>
      <w:r w:rsidR="00AA1B8F">
        <w:t xml:space="preserve">et informations </w:t>
      </w:r>
      <w:r w:rsidRPr="00915CB5">
        <w:t xml:space="preserve">mentionnées à l'article </w:t>
      </w:r>
      <w:r w:rsidR="005E4E77">
        <w:t>5</w:t>
      </w:r>
      <w:r w:rsidRPr="00915CB5">
        <w:t xml:space="preserve">, </w:t>
      </w:r>
      <w:r w:rsidR="004F5E23">
        <w:t>l</w:t>
      </w:r>
      <w:r w:rsidRPr="00915CB5">
        <w:t>es études et projets mentionné</w:t>
      </w:r>
      <w:r>
        <w:t xml:space="preserve">s à l’article </w:t>
      </w:r>
      <w:r w:rsidR="005E4E77">
        <w:t>6</w:t>
      </w:r>
      <w:r w:rsidR="0097123C">
        <w:t>, et les modalités de rapportage prévues à l’article 16§1, 2</w:t>
      </w:r>
      <w:r w:rsidR="0097123C" w:rsidRPr="006F152E">
        <w:rPr>
          <w:vertAlign w:val="superscript"/>
        </w:rPr>
        <w:t>ème</w:t>
      </w:r>
      <w:r w:rsidR="0097123C">
        <w:t xml:space="preserve"> tiret</w:t>
      </w:r>
      <w:r>
        <w:t>.</w:t>
      </w:r>
    </w:p>
    <w:p w14:paraId="0F7048A8" w14:textId="77777777" w:rsidR="00597DEF" w:rsidRDefault="004C3B64" w:rsidP="008546A7">
      <w:pPr>
        <w:jc w:val="both"/>
      </w:pPr>
      <w:r w:rsidRPr="00915CB5">
        <w:t xml:space="preserve">§2. </w:t>
      </w:r>
      <w:r w:rsidR="00A744DE" w:rsidRPr="00915CB5">
        <w:t xml:space="preserve">promouvoir </w:t>
      </w:r>
      <w:r w:rsidR="005538FE" w:rsidRPr="00915CB5">
        <w:t>les</w:t>
      </w:r>
      <w:r w:rsidRPr="00915CB5">
        <w:t xml:space="preserve"> </w:t>
      </w:r>
      <w:r w:rsidR="00260784" w:rsidRPr="00915CB5">
        <w:t>produits à base de bois</w:t>
      </w:r>
      <w:r w:rsidRPr="00915CB5">
        <w:t xml:space="preserve"> issus de forêts gérées de manière durable</w:t>
      </w:r>
      <w:r w:rsidR="00597DEF" w:rsidRPr="00915CB5">
        <w:t xml:space="preserve">, </w:t>
      </w:r>
      <w:r w:rsidR="001A3CFF" w:rsidRPr="00915CB5">
        <w:t>ainsi qu’</w:t>
      </w:r>
      <w:r w:rsidR="00597DEF" w:rsidRPr="00915CB5">
        <w:t>à présenter les résultats atteints</w:t>
      </w:r>
      <w:r w:rsidR="001A3CFF" w:rsidRPr="00915CB5">
        <w:t xml:space="preserve"> dans le cadre de cet Accord</w:t>
      </w:r>
      <w:r w:rsidR="001160D0">
        <w:t xml:space="preserve"> d</w:t>
      </w:r>
      <w:r w:rsidR="001160D0" w:rsidRPr="00915CB5">
        <w:t>ans ses outils de communication et lors des évènements l’impliquant</w:t>
      </w:r>
      <w:r w:rsidR="001160D0">
        <w:t>.</w:t>
      </w:r>
    </w:p>
    <w:p w14:paraId="619FFD57" w14:textId="5B803EAF" w:rsidR="005E4E77" w:rsidRDefault="005E4E77" w:rsidP="008546A7">
      <w:pPr>
        <w:jc w:val="both"/>
      </w:pPr>
      <w:r>
        <w:t xml:space="preserve">§3 financer </w:t>
      </w:r>
      <w:r w:rsidR="005D6401">
        <w:t>au moins une</w:t>
      </w:r>
      <w:r>
        <w:t xml:space="preserve"> étude de marché qui sera réalisée en vue du suivi de </w:t>
      </w:r>
      <w:r w:rsidR="005D6401">
        <w:t xml:space="preserve">l’augmentation de </w:t>
      </w:r>
      <w:r w:rsidR="005D6401" w:rsidRPr="00915CB5">
        <w:t>la part des produits à base de bois issus de forêts gérées de manière durable sur le marché belge</w:t>
      </w:r>
      <w:r w:rsidR="00BA5607">
        <w:t>, et afin d’évaluer la reconnaissance des systèmes de certifications par les consommateurs</w:t>
      </w:r>
      <w:r w:rsidR="005D6401">
        <w:t xml:space="preserve">. </w:t>
      </w:r>
      <w:r>
        <w:t>Les parties signataires seront consultées lors de la rédaction du cahier des charges relatif à cette étude de marché, dont la méthodologie sera semblable à celle appliquée dans l’étude de marché, faite par Probos en 2009</w:t>
      </w:r>
      <w:r w:rsidR="00BA5607">
        <w:t>.</w:t>
      </w:r>
    </w:p>
    <w:p w14:paraId="56C5933C" w14:textId="77777777" w:rsidR="004A60CB" w:rsidRPr="00915CB5" w:rsidRDefault="00597DEF" w:rsidP="008546A7">
      <w:pPr>
        <w:jc w:val="both"/>
      </w:pPr>
      <w:r w:rsidRPr="00915CB5">
        <w:t xml:space="preserve">Art. 12. </w:t>
      </w:r>
      <w:r w:rsidR="001C3E11" w:rsidRPr="00915CB5">
        <w:t xml:space="preserve">L’Etat fédéral s’engage à </w:t>
      </w:r>
      <w:r w:rsidR="001A0AB5" w:rsidRPr="00915CB5">
        <w:t>solliciter</w:t>
      </w:r>
      <w:r w:rsidR="005E4E77">
        <w:t xml:space="preserve"> et</w:t>
      </w:r>
      <w:r w:rsidR="001160D0">
        <w:t xml:space="preserve"> à informer</w:t>
      </w:r>
      <w:r w:rsidR="004A60CB" w:rsidRPr="00915CB5">
        <w:t xml:space="preserve"> </w:t>
      </w:r>
      <w:r w:rsidR="001C3E11" w:rsidRPr="00915CB5">
        <w:t>les différentes autorités publiques pertinentes</w:t>
      </w:r>
      <w:r w:rsidR="004A60CB" w:rsidRPr="00915CB5">
        <w:t xml:space="preserve"> : </w:t>
      </w:r>
    </w:p>
    <w:p w14:paraId="74AE47ED" w14:textId="77777777" w:rsidR="001C3E11" w:rsidRPr="00915CB5" w:rsidRDefault="004A60CB" w:rsidP="00E53D0C">
      <w:pPr>
        <w:pStyle w:val="Lijstalinea"/>
        <w:numPr>
          <w:ilvl w:val="0"/>
          <w:numId w:val="7"/>
        </w:numPr>
        <w:jc w:val="both"/>
      </w:pPr>
      <w:r w:rsidRPr="00915CB5">
        <w:t>d</w:t>
      </w:r>
      <w:r w:rsidR="001C3E11" w:rsidRPr="00915CB5">
        <w:t>ans le cadre des politiques d’achat public</w:t>
      </w:r>
      <w:r w:rsidR="0006668F" w:rsidRPr="00915CB5">
        <w:t xml:space="preserve"> en Belgique</w:t>
      </w:r>
      <w:r w:rsidR="001C3E11" w:rsidRPr="00915CB5">
        <w:t>,</w:t>
      </w:r>
      <w:r w:rsidRPr="00915CB5">
        <w:t xml:space="preserve"> afin de sensibiliser et soutenir les acheteurs publics par rapport à l’inclusion des critères de durabilité pour les produits à base de bois et par rapport </w:t>
      </w:r>
      <w:r w:rsidR="009B6CCD" w:rsidRPr="00915CB5">
        <w:t>à l’instauration de systèmes de vérification</w:t>
      </w:r>
      <w:r w:rsidRPr="00915CB5">
        <w:t xml:space="preserve"> de leur respect après livraison des matériaux</w:t>
      </w:r>
      <w:r w:rsidR="001A0AB5" w:rsidRPr="00915CB5">
        <w:t xml:space="preserve">, notamment via </w:t>
      </w:r>
      <w:r w:rsidR="00561383">
        <w:t xml:space="preserve">le réseau des acheteurs fédéraux </w:t>
      </w:r>
      <w:r w:rsidRPr="00915CB5">
        <w:t xml:space="preserve">; </w:t>
      </w:r>
    </w:p>
    <w:p w14:paraId="5D0A34D9" w14:textId="77777777" w:rsidR="004A60CB" w:rsidRPr="00915CB5" w:rsidRDefault="008674F0" w:rsidP="00E53D0C">
      <w:pPr>
        <w:pStyle w:val="Lijstalinea"/>
        <w:numPr>
          <w:ilvl w:val="0"/>
          <w:numId w:val="7"/>
        </w:numPr>
        <w:jc w:val="both"/>
      </w:pPr>
      <w:r w:rsidRPr="00915CB5">
        <w:t>dans le cadre des politiques en matière de gestion forestière, aux ni</w:t>
      </w:r>
      <w:r w:rsidR="0099522B" w:rsidRPr="00915CB5">
        <w:t xml:space="preserve">veaux régional et international ; </w:t>
      </w:r>
    </w:p>
    <w:p w14:paraId="6B9A5C72" w14:textId="77777777" w:rsidR="00847ABD" w:rsidRDefault="0099522B" w:rsidP="00E53D0C">
      <w:pPr>
        <w:pStyle w:val="Lijstalinea"/>
        <w:numPr>
          <w:ilvl w:val="0"/>
          <w:numId w:val="7"/>
        </w:numPr>
        <w:jc w:val="both"/>
      </w:pPr>
      <w:r w:rsidRPr="00915CB5">
        <w:t>dans le cadre de la production de synthèses de statistiques pertinentes au niveau national</w:t>
      </w:r>
      <w:r w:rsidR="00847ABD">
        <w:t xml:space="preserve"> ; </w:t>
      </w:r>
    </w:p>
    <w:p w14:paraId="1BD965AC" w14:textId="77777777" w:rsidR="00847ABD" w:rsidRDefault="00847ABD" w:rsidP="00E53D0C">
      <w:pPr>
        <w:pStyle w:val="Lijstalinea"/>
        <w:numPr>
          <w:ilvl w:val="0"/>
          <w:numId w:val="7"/>
        </w:numPr>
        <w:jc w:val="both"/>
      </w:pPr>
      <w:r>
        <w:t>dans le cadre du commerce extérieur</w:t>
      </w:r>
      <w:r w:rsidR="005E4E77">
        <w:t> ;</w:t>
      </w:r>
    </w:p>
    <w:p w14:paraId="7E1E2C75" w14:textId="77777777" w:rsidR="00847ABD" w:rsidRPr="00915CB5" w:rsidRDefault="00847ABD" w:rsidP="00E53D0C">
      <w:pPr>
        <w:pStyle w:val="Lijstalinea"/>
        <w:numPr>
          <w:ilvl w:val="0"/>
          <w:numId w:val="7"/>
        </w:numPr>
        <w:jc w:val="both"/>
      </w:pPr>
      <w:r>
        <w:t>dans le cadre de la coopération au développement</w:t>
      </w:r>
    </w:p>
    <w:p w14:paraId="1A462BFD" w14:textId="54FB90D5" w:rsidR="00353322" w:rsidRPr="00915CB5" w:rsidRDefault="00597DEF" w:rsidP="008546A7">
      <w:pPr>
        <w:jc w:val="both"/>
      </w:pPr>
      <w:r w:rsidRPr="00915CB5">
        <w:t xml:space="preserve">Art. 13. </w:t>
      </w:r>
      <w:r w:rsidR="008674F0" w:rsidRPr="00915CB5">
        <w:t xml:space="preserve"> </w:t>
      </w:r>
      <w:r w:rsidR="00353322" w:rsidRPr="00915CB5">
        <w:t xml:space="preserve">L'Etat fédéral publie sur le portail fédéral de la Direction générale de l'Environnement le texte du présent </w:t>
      </w:r>
      <w:r w:rsidR="006E3CD3">
        <w:t>A</w:t>
      </w:r>
      <w:r w:rsidR="00353322" w:rsidRPr="00915CB5">
        <w:t xml:space="preserve">ccord, à la date de son entrée en vigueur, </w:t>
      </w:r>
      <w:r w:rsidR="001A3F77" w:rsidRPr="00915CB5">
        <w:t>les rapports</w:t>
      </w:r>
      <w:r w:rsidR="00B556A5" w:rsidRPr="00915CB5">
        <w:t xml:space="preserve"> de réunions du </w:t>
      </w:r>
      <w:r w:rsidR="006E3CD3">
        <w:t>C</w:t>
      </w:r>
      <w:r w:rsidR="00B556A5" w:rsidRPr="00915CB5">
        <w:t>omité de suivi, ainsi</w:t>
      </w:r>
      <w:r w:rsidR="00353322" w:rsidRPr="00915CB5">
        <w:t xml:space="preserve"> que les</w:t>
      </w:r>
      <w:r w:rsidR="005538FE" w:rsidRPr="00915CB5">
        <w:t xml:space="preserve"> résultats de sa mise en </w:t>
      </w:r>
      <w:r w:rsidR="009B6CCD" w:rsidRPr="00915CB5">
        <w:t>œuvre</w:t>
      </w:r>
      <w:r w:rsidR="00353322" w:rsidRPr="00915CB5">
        <w:t>.</w:t>
      </w:r>
    </w:p>
    <w:p w14:paraId="051C02B3" w14:textId="6D31DCAB" w:rsidR="00353322" w:rsidRPr="00915CB5" w:rsidRDefault="00353322" w:rsidP="008546A7">
      <w:pPr>
        <w:jc w:val="both"/>
        <w:rPr>
          <w:b/>
        </w:rPr>
      </w:pPr>
      <w:r w:rsidRPr="00915CB5">
        <w:rPr>
          <w:b/>
        </w:rPr>
        <w:t xml:space="preserve">  CHAPITRE III. </w:t>
      </w:r>
      <w:r w:rsidR="004F1C9E" w:rsidRPr="00915CB5">
        <w:rPr>
          <w:b/>
        </w:rPr>
        <w:t>–</w:t>
      </w:r>
      <w:r w:rsidRPr="00915CB5">
        <w:rPr>
          <w:b/>
        </w:rPr>
        <w:t xml:space="preserve"> </w:t>
      </w:r>
      <w:r w:rsidR="004F1C9E" w:rsidRPr="00915CB5">
        <w:rPr>
          <w:b/>
        </w:rPr>
        <w:t xml:space="preserve">Comité de Suivi et </w:t>
      </w:r>
      <w:r w:rsidRPr="00915CB5">
        <w:rPr>
          <w:b/>
        </w:rPr>
        <w:t>Modalités de rapportage</w:t>
      </w:r>
    </w:p>
    <w:p w14:paraId="045BCC1A" w14:textId="237DB353" w:rsidR="00B556A5" w:rsidRPr="00915CB5" w:rsidRDefault="00B556A5"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 xml:space="preserve">Art. 14. </w:t>
      </w:r>
      <w:r w:rsidR="009A6FE2" w:rsidRPr="00915CB5">
        <w:rPr>
          <w:rFonts w:ascii="Calibri" w:hAnsi="Calibri" w:cs="Calibri"/>
          <w:color w:val="000000"/>
        </w:rPr>
        <w:t xml:space="preserve">§1 </w:t>
      </w:r>
      <w:r w:rsidRPr="00915CB5">
        <w:rPr>
          <w:rFonts w:ascii="Calibri" w:hAnsi="Calibri" w:cs="Calibri"/>
          <w:color w:val="000000"/>
        </w:rPr>
        <w:t xml:space="preserve">Un </w:t>
      </w:r>
      <w:r w:rsidR="006E3CD3">
        <w:rPr>
          <w:rFonts w:ascii="Calibri" w:hAnsi="Calibri" w:cs="Calibri"/>
          <w:color w:val="000000"/>
        </w:rPr>
        <w:t>C</w:t>
      </w:r>
      <w:r w:rsidRPr="00915CB5">
        <w:rPr>
          <w:rFonts w:ascii="Calibri" w:hAnsi="Calibri" w:cs="Calibri"/>
          <w:color w:val="000000"/>
        </w:rPr>
        <w:t xml:space="preserve">omité de suivi est établi par les parties signataires endéans les deux mois suivant la signature de cet Accord. Ce </w:t>
      </w:r>
      <w:r w:rsidR="006E3CD3">
        <w:rPr>
          <w:rFonts w:ascii="Calibri" w:hAnsi="Calibri" w:cs="Calibri"/>
          <w:color w:val="000000"/>
        </w:rPr>
        <w:t>C</w:t>
      </w:r>
      <w:r w:rsidRPr="00915CB5">
        <w:rPr>
          <w:rFonts w:ascii="Calibri" w:hAnsi="Calibri" w:cs="Calibri"/>
          <w:color w:val="000000"/>
        </w:rPr>
        <w:t xml:space="preserve">omité de suivi est responsable pour le suivi et la mise en œuvre de cet Accord. </w:t>
      </w:r>
    </w:p>
    <w:p w14:paraId="50B1A5DC" w14:textId="28552DA1" w:rsidR="00B556A5" w:rsidRPr="00915CB5" w:rsidRDefault="009A6FE2"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 xml:space="preserve">§2. Ce </w:t>
      </w:r>
      <w:r w:rsidR="006E3CD3">
        <w:rPr>
          <w:rFonts w:ascii="Calibri" w:hAnsi="Calibri" w:cs="Calibri"/>
          <w:color w:val="000000"/>
        </w:rPr>
        <w:t>C</w:t>
      </w:r>
      <w:r w:rsidRPr="00915CB5">
        <w:rPr>
          <w:rFonts w:ascii="Calibri" w:hAnsi="Calibri" w:cs="Calibri"/>
          <w:color w:val="000000"/>
        </w:rPr>
        <w:t xml:space="preserve">omité de suivi est composé d’un </w:t>
      </w:r>
      <w:r w:rsidR="00224615">
        <w:rPr>
          <w:rFonts w:ascii="Calibri" w:hAnsi="Calibri" w:cs="Calibri"/>
          <w:color w:val="000000"/>
        </w:rPr>
        <w:t>représentant</w:t>
      </w:r>
      <w:r w:rsidR="00224615" w:rsidRPr="00915CB5">
        <w:rPr>
          <w:rFonts w:ascii="Calibri" w:hAnsi="Calibri" w:cs="Calibri"/>
          <w:color w:val="000000"/>
        </w:rPr>
        <w:t xml:space="preserve"> </w:t>
      </w:r>
      <w:r w:rsidRPr="00915CB5">
        <w:rPr>
          <w:rFonts w:ascii="Calibri" w:hAnsi="Calibri" w:cs="Calibri"/>
          <w:color w:val="000000"/>
        </w:rPr>
        <w:t xml:space="preserve">de chaque partie signataire, complété d’un </w:t>
      </w:r>
      <w:r w:rsidR="00224615">
        <w:rPr>
          <w:rFonts w:ascii="Calibri" w:hAnsi="Calibri" w:cs="Calibri"/>
          <w:color w:val="000000"/>
        </w:rPr>
        <w:t>représentant</w:t>
      </w:r>
      <w:r w:rsidR="00224615" w:rsidRPr="00915CB5">
        <w:rPr>
          <w:rFonts w:ascii="Calibri" w:hAnsi="Calibri" w:cs="Calibri"/>
          <w:color w:val="000000"/>
        </w:rPr>
        <w:t xml:space="preserve"> </w:t>
      </w:r>
      <w:r w:rsidRPr="00915CB5">
        <w:rPr>
          <w:rFonts w:ascii="Calibri" w:hAnsi="Calibri" w:cs="Calibri"/>
          <w:color w:val="000000"/>
        </w:rPr>
        <w:t xml:space="preserve">de la Direction Générale de l’Environnement qui en assure le secrétariat. </w:t>
      </w:r>
    </w:p>
    <w:p w14:paraId="4A34CD67" w14:textId="0F4B6DEA" w:rsidR="00DC781D" w:rsidRDefault="009A6FE2" w:rsidP="008546A7">
      <w:pPr>
        <w:jc w:val="both"/>
      </w:pPr>
      <w:r w:rsidRPr="00915CB5">
        <w:t xml:space="preserve">§3. Ce </w:t>
      </w:r>
      <w:r w:rsidR="006E3CD3">
        <w:t>C</w:t>
      </w:r>
      <w:r w:rsidRPr="00915CB5">
        <w:t>omité peut également faire appel, selon les besoins, à des représentants des différentes autorités publiques, des consommateurs, d’ONG environnementales, de centr</w:t>
      </w:r>
      <w:r w:rsidR="001A0AB5" w:rsidRPr="00915CB5">
        <w:t>es de formation et de recherche</w:t>
      </w:r>
      <w:r w:rsidR="00DB6856">
        <w:t xml:space="preserve"> et d’acteurs pertinents de la société civile</w:t>
      </w:r>
      <w:r w:rsidR="001A0AB5" w:rsidRPr="00915CB5">
        <w:t xml:space="preserve">, et coopter des membres de </w:t>
      </w:r>
      <w:r w:rsidR="00224615">
        <w:t>c</w:t>
      </w:r>
      <w:r w:rsidR="001A0AB5" w:rsidRPr="00915CB5">
        <w:t xml:space="preserve">es organisations au sein du </w:t>
      </w:r>
      <w:r w:rsidR="006E3CD3">
        <w:t>C</w:t>
      </w:r>
      <w:r w:rsidR="001A0AB5" w:rsidRPr="00915CB5">
        <w:t>omité de suivi</w:t>
      </w:r>
      <w:r w:rsidR="00DB6856">
        <w:t xml:space="preserve">. Ces </w:t>
      </w:r>
      <w:r w:rsidR="005253EF">
        <w:t>membres cooptés</w:t>
      </w:r>
      <w:r w:rsidR="00DB6856">
        <w:t xml:space="preserve"> ont </w:t>
      </w:r>
      <w:r w:rsidR="005253EF">
        <w:t xml:space="preserve">uniquement </w:t>
      </w:r>
      <w:r w:rsidR="00DB6856">
        <w:t>un rôle consultatif</w:t>
      </w:r>
      <w:r w:rsidR="00DB6856" w:rsidRPr="00915CB5">
        <w:t>.</w:t>
      </w:r>
    </w:p>
    <w:p w14:paraId="66B8B225" w14:textId="5BC460DB" w:rsidR="004F1C9E" w:rsidRPr="00915CB5" w:rsidRDefault="004F1C9E" w:rsidP="008546A7">
      <w:pPr>
        <w:jc w:val="both"/>
      </w:pPr>
      <w:r w:rsidRPr="00915CB5">
        <w:t xml:space="preserve">§4. Le </w:t>
      </w:r>
      <w:r w:rsidR="006E3CD3">
        <w:t>C</w:t>
      </w:r>
      <w:r w:rsidRPr="00915CB5">
        <w:t xml:space="preserve">omité de suivi se réunit une fois par an (mois </w:t>
      </w:r>
      <w:r w:rsidR="00A70CE1" w:rsidRPr="00915CB5">
        <w:t>d’octobre</w:t>
      </w:r>
      <w:r w:rsidRPr="00915CB5">
        <w:t xml:space="preserve">) ou plus sur simple demande d’une des parties. </w:t>
      </w:r>
    </w:p>
    <w:p w14:paraId="56972B74" w14:textId="17C489E7" w:rsidR="00606F5B" w:rsidRPr="00915CB5" w:rsidRDefault="00606F5B" w:rsidP="008546A7">
      <w:pPr>
        <w:jc w:val="both"/>
      </w:pPr>
      <w:r w:rsidRPr="00915CB5">
        <w:t xml:space="preserve">§5. </w:t>
      </w:r>
      <w:r w:rsidR="009861B2" w:rsidRPr="00915CB5">
        <w:t>C</w:t>
      </w:r>
      <w:r w:rsidRPr="00915CB5">
        <w:t xml:space="preserve">e </w:t>
      </w:r>
      <w:r w:rsidR="006E3CD3">
        <w:t>C</w:t>
      </w:r>
      <w:r w:rsidRPr="00915CB5">
        <w:t xml:space="preserve">omité de suivi </w:t>
      </w:r>
      <w:r w:rsidR="009861B2" w:rsidRPr="00915CB5">
        <w:t>prend ses décisions</w:t>
      </w:r>
      <w:r w:rsidRPr="00915CB5">
        <w:t xml:space="preserve"> par consensus. </w:t>
      </w:r>
    </w:p>
    <w:p w14:paraId="006ADE35" w14:textId="69EB1C50" w:rsidR="004F1C9E" w:rsidRPr="00915CB5" w:rsidRDefault="004F1C9E" w:rsidP="008546A7">
      <w:pPr>
        <w:jc w:val="both"/>
      </w:pPr>
      <w:r w:rsidRPr="00915CB5">
        <w:t>§</w:t>
      </w:r>
      <w:r w:rsidR="00606F5B" w:rsidRPr="00915CB5">
        <w:t>6</w:t>
      </w:r>
      <w:r w:rsidRPr="00915CB5">
        <w:t xml:space="preserve"> Chaque réunion du </w:t>
      </w:r>
      <w:r w:rsidR="006E3CD3">
        <w:t>C</w:t>
      </w:r>
      <w:r w:rsidRPr="00915CB5">
        <w:t xml:space="preserve">omité de suivi fait l’objet </w:t>
      </w:r>
      <w:r w:rsidR="008E5B29">
        <w:t>d’</w:t>
      </w:r>
      <w:r w:rsidRPr="00915CB5">
        <w:t>un rapport de réunion qui, après validation, est publié sur le portail fédéral de la Direction générale de l'Environnement.</w:t>
      </w:r>
    </w:p>
    <w:p w14:paraId="5B7E943F" w14:textId="77777777" w:rsidR="004F1C9E" w:rsidRPr="00915CB5" w:rsidRDefault="004F1C9E" w:rsidP="008546A7">
      <w:pPr>
        <w:autoSpaceDE w:val="0"/>
        <w:autoSpaceDN w:val="0"/>
        <w:adjustRightInd w:val="0"/>
        <w:spacing w:after="0" w:line="240" w:lineRule="auto"/>
        <w:jc w:val="both"/>
      </w:pPr>
      <w:r w:rsidRPr="00915CB5">
        <w:rPr>
          <w:rFonts w:ascii="Calibri" w:hAnsi="Calibri" w:cs="Calibri"/>
          <w:color w:val="000000"/>
        </w:rPr>
        <w:t xml:space="preserve">Art. 15 </w:t>
      </w:r>
      <w:r w:rsidR="005E3F95" w:rsidRPr="00915CB5">
        <w:rPr>
          <w:rFonts w:ascii="Calibri" w:hAnsi="Calibri" w:cs="Calibri"/>
          <w:color w:val="000000"/>
        </w:rPr>
        <w:t>–</w:t>
      </w:r>
      <w:r w:rsidRPr="00915CB5">
        <w:rPr>
          <w:rFonts w:ascii="Calibri" w:hAnsi="Calibri" w:cs="Calibri"/>
          <w:color w:val="000000"/>
        </w:rPr>
        <w:t xml:space="preserve"> </w:t>
      </w:r>
      <w:r w:rsidR="005E3F95" w:rsidRPr="00915CB5">
        <w:t>Liste des catégories de produits à base de bois faisant l’objet d’un</w:t>
      </w:r>
      <w:r w:rsidRPr="00915CB5">
        <w:t xml:space="preserve"> rapportage</w:t>
      </w:r>
    </w:p>
    <w:p w14:paraId="220A1EBA" w14:textId="77777777" w:rsidR="005E3F95" w:rsidRPr="00915CB5" w:rsidRDefault="005E3F95" w:rsidP="008546A7">
      <w:pPr>
        <w:autoSpaceDE w:val="0"/>
        <w:autoSpaceDN w:val="0"/>
        <w:adjustRightInd w:val="0"/>
        <w:spacing w:after="0" w:line="240" w:lineRule="auto"/>
        <w:jc w:val="both"/>
      </w:pPr>
    </w:p>
    <w:p w14:paraId="79497BAA" w14:textId="7BAA0825" w:rsidR="00E20E4E" w:rsidRPr="00915CB5" w:rsidRDefault="004F1C9E" w:rsidP="008546A7">
      <w:pPr>
        <w:autoSpaceDE w:val="0"/>
        <w:autoSpaceDN w:val="0"/>
        <w:adjustRightInd w:val="0"/>
        <w:spacing w:after="0" w:line="240" w:lineRule="auto"/>
        <w:jc w:val="both"/>
      </w:pPr>
      <w:r w:rsidRPr="00915CB5">
        <w:t>§1</w:t>
      </w:r>
      <w:r w:rsidR="00E20E4E" w:rsidRPr="00915CB5">
        <w:t xml:space="preserve">. Le </w:t>
      </w:r>
      <w:r w:rsidR="00853EAA">
        <w:t>C</w:t>
      </w:r>
      <w:r w:rsidR="00E20E4E" w:rsidRPr="00915CB5">
        <w:t xml:space="preserve">omité de suivi établit une liste de catégories de produits, pour lesquelles les parties signataires rapportent annuellement </w:t>
      </w:r>
      <w:r w:rsidR="00166F6D" w:rsidRPr="00915CB5">
        <w:t>la part de produits à base de bois issus de forêts gérées de manière durable, par rapport à la quantité totale de produits à base de bois qu’ils ont mis</w:t>
      </w:r>
      <w:r w:rsidR="00853EAA">
        <w:t>e</w:t>
      </w:r>
      <w:r w:rsidR="00166F6D" w:rsidRPr="00915CB5">
        <w:t xml:space="preserve"> sur le marché. </w:t>
      </w:r>
    </w:p>
    <w:p w14:paraId="131A2E82" w14:textId="77777777" w:rsidR="00E20E4E" w:rsidRPr="00915CB5" w:rsidRDefault="00E20E4E" w:rsidP="008546A7">
      <w:pPr>
        <w:autoSpaceDE w:val="0"/>
        <w:autoSpaceDN w:val="0"/>
        <w:adjustRightInd w:val="0"/>
        <w:spacing w:after="0" w:line="240" w:lineRule="auto"/>
        <w:jc w:val="both"/>
      </w:pPr>
    </w:p>
    <w:p w14:paraId="6E76ED8B" w14:textId="21598AE8" w:rsidR="004F1C9E" w:rsidRPr="00915CB5" w:rsidRDefault="00166F6D" w:rsidP="008546A7">
      <w:pPr>
        <w:autoSpaceDE w:val="0"/>
        <w:autoSpaceDN w:val="0"/>
        <w:adjustRightInd w:val="0"/>
        <w:spacing w:after="0" w:line="240" w:lineRule="auto"/>
        <w:jc w:val="both"/>
      </w:pPr>
      <w:r w:rsidRPr="00915CB5">
        <w:t>§2.</w:t>
      </w:r>
      <w:r w:rsidR="004F1C9E" w:rsidRPr="00915CB5">
        <w:t xml:space="preserve"> </w:t>
      </w:r>
      <w:r w:rsidR="00A910DF" w:rsidRPr="00915CB5">
        <w:t xml:space="preserve">Lors de la première réunion du </w:t>
      </w:r>
      <w:r w:rsidR="00853EAA">
        <w:t>C</w:t>
      </w:r>
      <w:r w:rsidR="00A910DF" w:rsidRPr="00915CB5">
        <w:t xml:space="preserve">omité de suivi, celui-ci décide de la liste des catégories de produits à base de bois qui feront l’objet d’un </w:t>
      </w:r>
      <w:r w:rsidRPr="00915CB5">
        <w:t>rapportage tel que décrit au §1,</w:t>
      </w:r>
      <w:r w:rsidR="00A910DF" w:rsidRPr="00915CB5">
        <w:t xml:space="preserve"> pour </w:t>
      </w:r>
      <w:r w:rsidR="00F53FC3">
        <w:t>la durée de l’Accord</w:t>
      </w:r>
      <w:r w:rsidR="00A910DF" w:rsidRPr="00915CB5">
        <w:t xml:space="preserve">. </w:t>
      </w:r>
    </w:p>
    <w:p w14:paraId="6383CFCD" w14:textId="74429456" w:rsidR="004F1C9E" w:rsidRPr="00915CB5" w:rsidRDefault="00A910DF" w:rsidP="008546A7">
      <w:pPr>
        <w:autoSpaceDE w:val="0"/>
        <w:autoSpaceDN w:val="0"/>
        <w:adjustRightInd w:val="0"/>
        <w:spacing w:after="0" w:line="240" w:lineRule="auto"/>
        <w:jc w:val="both"/>
      </w:pPr>
      <w:r w:rsidRPr="00915CB5">
        <w:t>Cette liste comprend au minimum les catégories de produits suivantes </w:t>
      </w:r>
      <w:r w:rsidR="00F53FC3">
        <w:t>et peut être adaptée chaque année</w:t>
      </w:r>
      <w:r w:rsidRPr="00915CB5">
        <w:t xml:space="preserve">: </w:t>
      </w:r>
    </w:p>
    <w:p w14:paraId="52C7D14D" w14:textId="77777777" w:rsidR="00606F5B" w:rsidRPr="00915CB5" w:rsidRDefault="00606F5B" w:rsidP="008546A7">
      <w:pPr>
        <w:autoSpaceDE w:val="0"/>
        <w:autoSpaceDN w:val="0"/>
        <w:adjustRightInd w:val="0"/>
        <w:spacing w:after="0" w:line="240" w:lineRule="auto"/>
        <w:jc w:val="both"/>
      </w:pPr>
    </w:p>
    <w:tbl>
      <w:tblPr>
        <w:tblStyle w:val="Tabelraster"/>
        <w:tblW w:w="0" w:type="auto"/>
        <w:tblInd w:w="5" w:type="dxa"/>
        <w:tblLook w:val="04A0" w:firstRow="1" w:lastRow="0" w:firstColumn="1" w:lastColumn="0" w:noHBand="0" w:noVBand="1"/>
      </w:tblPr>
      <w:tblGrid>
        <w:gridCol w:w="1845"/>
        <w:gridCol w:w="3905"/>
        <w:gridCol w:w="3307"/>
      </w:tblGrid>
      <w:tr w:rsidR="00F34822" w:rsidRPr="00915CB5" w14:paraId="5F644362" w14:textId="29774960" w:rsidTr="001A04FF">
        <w:trPr>
          <w:trHeight w:val="281"/>
        </w:trPr>
        <w:tc>
          <w:tcPr>
            <w:tcW w:w="5750" w:type="dxa"/>
            <w:gridSpan w:val="2"/>
          </w:tcPr>
          <w:p w14:paraId="38CE5A20" w14:textId="60E3B0E5" w:rsidR="00F34822" w:rsidRDefault="007F070A" w:rsidP="008546A7">
            <w:pPr>
              <w:autoSpaceDE w:val="0"/>
              <w:autoSpaceDN w:val="0"/>
              <w:adjustRightInd w:val="0"/>
              <w:jc w:val="both"/>
            </w:pPr>
            <w:r>
              <w:t>Catégories de produits</w:t>
            </w:r>
          </w:p>
        </w:tc>
        <w:tc>
          <w:tcPr>
            <w:tcW w:w="3307" w:type="dxa"/>
          </w:tcPr>
          <w:p w14:paraId="6046C370" w14:textId="5F7368BB" w:rsidR="00F34822" w:rsidRDefault="00F34822" w:rsidP="008546A7">
            <w:pPr>
              <w:autoSpaceDE w:val="0"/>
              <w:autoSpaceDN w:val="0"/>
              <w:adjustRightInd w:val="0"/>
              <w:jc w:val="both"/>
            </w:pPr>
            <w:r>
              <w:t xml:space="preserve"> Secteurs représentatifs</w:t>
            </w:r>
          </w:p>
        </w:tc>
      </w:tr>
      <w:tr w:rsidR="00F34822" w:rsidRPr="00915CB5" w14:paraId="76DCB69A" w14:textId="15C4782E" w:rsidTr="007F070A">
        <w:trPr>
          <w:trHeight w:val="281"/>
        </w:trPr>
        <w:tc>
          <w:tcPr>
            <w:tcW w:w="1845" w:type="dxa"/>
            <w:vMerge w:val="restart"/>
          </w:tcPr>
          <w:p w14:paraId="56B54B0B" w14:textId="77777777" w:rsidR="00F34822" w:rsidRPr="00915CB5" w:rsidRDefault="00F34822" w:rsidP="008546A7">
            <w:pPr>
              <w:autoSpaceDE w:val="0"/>
              <w:autoSpaceDN w:val="0"/>
              <w:adjustRightInd w:val="0"/>
              <w:jc w:val="both"/>
            </w:pPr>
            <w:r>
              <w:t>Superficie forestière certifiée</w:t>
            </w:r>
          </w:p>
        </w:tc>
        <w:tc>
          <w:tcPr>
            <w:tcW w:w="3905" w:type="dxa"/>
          </w:tcPr>
          <w:p w14:paraId="040CB732" w14:textId="77777777" w:rsidR="00F34822" w:rsidRPr="00915CB5" w:rsidRDefault="00F34822" w:rsidP="008546A7">
            <w:pPr>
              <w:autoSpaceDE w:val="0"/>
              <w:autoSpaceDN w:val="0"/>
              <w:adjustRightInd w:val="0"/>
              <w:jc w:val="both"/>
            </w:pPr>
            <w:r>
              <w:t>BE</w:t>
            </w:r>
          </w:p>
        </w:tc>
        <w:tc>
          <w:tcPr>
            <w:tcW w:w="3307" w:type="dxa"/>
          </w:tcPr>
          <w:p w14:paraId="2D43440B" w14:textId="77777777" w:rsidR="00F34822" w:rsidRDefault="00F34822" w:rsidP="008546A7">
            <w:pPr>
              <w:autoSpaceDE w:val="0"/>
              <w:autoSpaceDN w:val="0"/>
              <w:adjustRightInd w:val="0"/>
              <w:jc w:val="both"/>
            </w:pPr>
          </w:p>
        </w:tc>
      </w:tr>
      <w:tr w:rsidR="00F34822" w:rsidRPr="00915CB5" w14:paraId="413145A4" w14:textId="089630D7" w:rsidTr="007F070A">
        <w:trPr>
          <w:trHeight w:val="291"/>
        </w:trPr>
        <w:tc>
          <w:tcPr>
            <w:tcW w:w="1845" w:type="dxa"/>
            <w:vMerge/>
          </w:tcPr>
          <w:p w14:paraId="0C56300E" w14:textId="77777777" w:rsidR="00F34822" w:rsidRPr="00915CB5" w:rsidRDefault="00F34822" w:rsidP="008546A7">
            <w:pPr>
              <w:autoSpaceDE w:val="0"/>
              <w:autoSpaceDN w:val="0"/>
              <w:adjustRightInd w:val="0"/>
              <w:jc w:val="both"/>
            </w:pPr>
          </w:p>
        </w:tc>
        <w:tc>
          <w:tcPr>
            <w:tcW w:w="3905" w:type="dxa"/>
          </w:tcPr>
          <w:p w14:paraId="617E312C" w14:textId="77777777" w:rsidR="00F34822" w:rsidRPr="00915CB5" w:rsidRDefault="00F34822" w:rsidP="008546A7">
            <w:pPr>
              <w:autoSpaceDE w:val="0"/>
              <w:autoSpaceDN w:val="0"/>
              <w:adjustRightInd w:val="0"/>
              <w:jc w:val="both"/>
            </w:pPr>
            <w:r>
              <w:t>EU / INT ?</w:t>
            </w:r>
          </w:p>
        </w:tc>
        <w:tc>
          <w:tcPr>
            <w:tcW w:w="3307" w:type="dxa"/>
          </w:tcPr>
          <w:p w14:paraId="04DC6F97" w14:textId="77777777" w:rsidR="00F34822" w:rsidRDefault="00F34822" w:rsidP="008546A7">
            <w:pPr>
              <w:autoSpaceDE w:val="0"/>
              <w:autoSpaceDN w:val="0"/>
              <w:adjustRightInd w:val="0"/>
              <w:jc w:val="both"/>
            </w:pPr>
          </w:p>
        </w:tc>
      </w:tr>
      <w:tr w:rsidR="007F070A" w:rsidRPr="00915CB5" w14:paraId="6D41D02C" w14:textId="17B1B246" w:rsidTr="007F070A">
        <w:trPr>
          <w:trHeight w:val="281"/>
        </w:trPr>
        <w:tc>
          <w:tcPr>
            <w:tcW w:w="1845" w:type="dxa"/>
            <w:vMerge w:val="restart"/>
          </w:tcPr>
          <w:p w14:paraId="1A498A8F" w14:textId="77777777" w:rsidR="007F070A" w:rsidRPr="00915CB5" w:rsidRDefault="007F070A" w:rsidP="008546A7">
            <w:pPr>
              <w:autoSpaceDE w:val="0"/>
              <w:autoSpaceDN w:val="0"/>
              <w:adjustRightInd w:val="0"/>
              <w:jc w:val="both"/>
            </w:pPr>
            <w:r w:rsidRPr="00915CB5">
              <w:t xml:space="preserve">Produits à base de bois non-transformé </w:t>
            </w:r>
          </w:p>
        </w:tc>
        <w:tc>
          <w:tcPr>
            <w:tcW w:w="3905" w:type="dxa"/>
          </w:tcPr>
          <w:p w14:paraId="12554B98" w14:textId="77777777" w:rsidR="007F070A" w:rsidRPr="00915CB5" w:rsidRDefault="007F070A" w:rsidP="008546A7">
            <w:pPr>
              <w:autoSpaceDE w:val="0"/>
              <w:autoSpaceDN w:val="0"/>
              <w:adjustRightInd w:val="0"/>
              <w:jc w:val="both"/>
            </w:pPr>
            <w:r w:rsidRPr="00915CB5">
              <w:t>bois de conifères</w:t>
            </w:r>
          </w:p>
        </w:tc>
        <w:tc>
          <w:tcPr>
            <w:tcW w:w="3307" w:type="dxa"/>
          </w:tcPr>
          <w:p w14:paraId="1710E6AC" w14:textId="77777777" w:rsidR="007F070A" w:rsidRPr="00915CB5" w:rsidRDefault="007F070A" w:rsidP="008546A7">
            <w:pPr>
              <w:autoSpaceDE w:val="0"/>
              <w:autoSpaceDN w:val="0"/>
              <w:adjustRightInd w:val="0"/>
              <w:jc w:val="both"/>
            </w:pPr>
          </w:p>
        </w:tc>
      </w:tr>
      <w:tr w:rsidR="007F070A" w:rsidRPr="00915CB5" w14:paraId="14B2A8A7" w14:textId="7E6E13A5" w:rsidTr="007F070A">
        <w:trPr>
          <w:trHeight w:val="270"/>
        </w:trPr>
        <w:tc>
          <w:tcPr>
            <w:tcW w:w="1845" w:type="dxa"/>
            <w:vMerge/>
          </w:tcPr>
          <w:p w14:paraId="10DC0C8B" w14:textId="77777777" w:rsidR="007F070A" w:rsidRPr="00915CB5" w:rsidRDefault="007F070A" w:rsidP="008546A7">
            <w:pPr>
              <w:autoSpaceDE w:val="0"/>
              <w:autoSpaceDN w:val="0"/>
              <w:adjustRightInd w:val="0"/>
              <w:jc w:val="both"/>
            </w:pPr>
          </w:p>
        </w:tc>
        <w:tc>
          <w:tcPr>
            <w:tcW w:w="3905" w:type="dxa"/>
          </w:tcPr>
          <w:p w14:paraId="64D9DAFB" w14:textId="77777777" w:rsidR="007F070A" w:rsidRPr="00915CB5" w:rsidRDefault="007F070A" w:rsidP="008546A7">
            <w:pPr>
              <w:autoSpaceDE w:val="0"/>
              <w:autoSpaceDN w:val="0"/>
              <w:adjustRightInd w:val="0"/>
              <w:jc w:val="both"/>
            </w:pPr>
            <w:r w:rsidRPr="00915CB5">
              <w:t>bois de feuillus tropicaux</w:t>
            </w:r>
          </w:p>
        </w:tc>
        <w:tc>
          <w:tcPr>
            <w:tcW w:w="3307" w:type="dxa"/>
          </w:tcPr>
          <w:p w14:paraId="5FF4A5DD" w14:textId="77777777" w:rsidR="007F070A" w:rsidRPr="00915CB5" w:rsidRDefault="007F070A" w:rsidP="008546A7">
            <w:pPr>
              <w:autoSpaceDE w:val="0"/>
              <w:autoSpaceDN w:val="0"/>
              <w:adjustRightInd w:val="0"/>
              <w:jc w:val="both"/>
            </w:pPr>
          </w:p>
        </w:tc>
      </w:tr>
      <w:tr w:rsidR="007F070A" w:rsidRPr="00915CB5" w14:paraId="592BA7B4" w14:textId="478BF21E" w:rsidTr="007F070A">
        <w:trPr>
          <w:trHeight w:val="281"/>
        </w:trPr>
        <w:tc>
          <w:tcPr>
            <w:tcW w:w="1845" w:type="dxa"/>
            <w:vMerge/>
          </w:tcPr>
          <w:p w14:paraId="24FCBD80" w14:textId="77777777" w:rsidR="007F070A" w:rsidRPr="00915CB5" w:rsidRDefault="007F070A" w:rsidP="008546A7">
            <w:pPr>
              <w:autoSpaceDE w:val="0"/>
              <w:autoSpaceDN w:val="0"/>
              <w:adjustRightInd w:val="0"/>
              <w:jc w:val="both"/>
            </w:pPr>
          </w:p>
        </w:tc>
        <w:tc>
          <w:tcPr>
            <w:tcW w:w="3905" w:type="dxa"/>
          </w:tcPr>
          <w:p w14:paraId="0EFE9F23" w14:textId="77777777" w:rsidR="007F070A" w:rsidRPr="00915CB5" w:rsidRDefault="007F070A" w:rsidP="008546A7">
            <w:pPr>
              <w:autoSpaceDE w:val="0"/>
              <w:autoSpaceDN w:val="0"/>
              <w:adjustRightInd w:val="0"/>
              <w:jc w:val="both"/>
            </w:pPr>
            <w:r w:rsidRPr="00915CB5">
              <w:t>bois de feuillus tempérés</w:t>
            </w:r>
          </w:p>
        </w:tc>
        <w:tc>
          <w:tcPr>
            <w:tcW w:w="3307" w:type="dxa"/>
          </w:tcPr>
          <w:p w14:paraId="5ED432C7" w14:textId="77777777" w:rsidR="007F070A" w:rsidRPr="00915CB5" w:rsidRDefault="007F070A" w:rsidP="008546A7">
            <w:pPr>
              <w:autoSpaceDE w:val="0"/>
              <w:autoSpaceDN w:val="0"/>
              <w:adjustRightInd w:val="0"/>
              <w:jc w:val="both"/>
            </w:pPr>
          </w:p>
        </w:tc>
      </w:tr>
      <w:tr w:rsidR="00F34822" w:rsidRPr="00915CB5" w14:paraId="0B50A923" w14:textId="0DACD9E2" w:rsidTr="007F070A">
        <w:trPr>
          <w:trHeight w:val="281"/>
        </w:trPr>
        <w:tc>
          <w:tcPr>
            <w:tcW w:w="1845" w:type="dxa"/>
            <w:vMerge w:val="restart"/>
          </w:tcPr>
          <w:p w14:paraId="7ACD81BF" w14:textId="77777777" w:rsidR="00F34822" w:rsidRPr="00915CB5" w:rsidRDefault="00F34822" w:rsidP="008546A7">
            <w:pPr>
              <w:autoSpaceDE w:val="0"/>
              <w:autoSpaceDN w:val="0"/>
              <w:adjustRightInd w:val="0"/>
              <w:jc w:val="both"/>
            </w:pPr>
            <w:r w:rsidRPr="00915CB5">
              <w:t>Produits à base de bois de 1</w:t>
            </w:r>
            <w:r w:rsidRPr="00915CB5">
              <w:rPr>
                <w:vertAlign w:val="superscript"/>
              </w:rPr>
              <w:t>ère</w:t>
            </w:r>
            <w:r w:rsidRPr="00915CB5">
              <w:t xml:space="preserve"> transformation</w:t>
            </w:r>
          </w:p>
        </w:tc>
        <w:tc>
          <w:tcPr>
            <w:tcW w:w="3905" w:type="dxa"/>
          </w:tcPr>
          <w:p w14:paraId="38F78907" w14:textId="77777777" w:rsidR="00F34822" w:rsidRPr="00915CB5" w:rsidRDefault="00F34822" w:rsidP="008546A7">
            <w:pPr>
              <w:autoSpaceDE w:val="0"/>
              <w:autoSpaceDN w:val="0"/>
              <w:adjustRightInd w:val="0"/>
              <w:jc w:val="both"/>
            </w:pPr>
            <w:r w:rsidRPr="00915CB5">
              <w:t>bois scié de conifères</w:t>
            </w:r>
          </w:p>
        </w:tc>
        <w:tc>
          <w:tcPr>
            <w:tcW w:w="3307" w:type="dxa"/>
          </w:tcPr>
          <w:p w14:paraId="3B2F618F" w14:textId="77777777" w:rsidR="00F34822" w:rsidRPr="00915CB5" w:rsidRDefault="00F34822" w:rsidP="008546A7">
            <w:pPr>
              <w:autoSpaceDE w:val="0"/>
              <w:autoSpaceDN w:val="0"/>
              <w:adjustRightInd w:val="0"/>
              <w:jc w:val="both"/>
            </w:pPr>
          </w:p>
        </w:tc>
      </w:tr>
      <w:tr w:rsidR="00F34822" w:rsidRPr="00915CB5" w14:paraId="0B79BE6F" w14:textId="23BE761B" w:rsidTr="007F070A">
        <w:trPr>
          <w:trHeight w:val="291"/>
        </w:trPr>
        <w:tc>
          <w:tcPr>
            <w:tcW w:w="1845" w:type="dxa"/>
            <w:vMerge/>
          </w:tcPr>
          <w:p w14:paraId="30756428" w14:textId="77777777" w:rsidR="00F34822" w:rsidRPr="00915CB5" w:rsidRDefault="00F34822" w:rsidP="008546A7">
            <w:pPr>
              <w:autoSpaceDE w:val="0"/>
              <w:autoSpaceDN w:val="0"/>
              <w:adjustRightInd w:val="0"/>
              <w:jc w:val="both"/>
            </w:pPr>
          </w:p>
        </w:tc>
        <w:tc>
          <w:tcPr>
            <w:tcW w:w="3905" w:type="dxa"/>
          </w:tcPr>
          <w:p w14:paraId="22900E1A" w14:textId="77777777" w:rsidR="00F34822" w:rsidRPr="00915CB5" w:rsidRDefault="00F34822" w:rsidP="008546A7">
            <w:pPr>
              <w:autoSpaceDE w:val="0"/>
              <w:autoSpaceDN w:val="0"/>
              <w:adjustRightInd w:val="0"/>
              <w:jc w:val="both"/>
            </w:pPr>
            <w:r w:rsidRPr="00915CB5">
              <w:t>bois scié de feuillus tropicaux</w:t>
            </w:r>
          </w:p>
        </w:tc>
        <w:tc>
          <w:tcPr>
            <w:tcW w:w="3307" w:type="dxa"/>
          </w:tcPr>
          <w:p w14:paraId="5CC5A467" w14:textId="77777777" w:rsidR="00F34822" w:rsidRPr="00915CB5" w:rsidRDefault="00F34822" w:rsidP="008546A7">
            <w:pPr>
              <w:autoSpaceDE w:val="0"/>
              <w:autoSpaceDN w:val="0"/>
              <w:adjustRightInd w:val="0"/>
              <w:jc w:val="both"/>
            </w:pPr>
          </w:p>
        </w:tc>
      </w:tr>
      <w:tr w:rsidR="00F34822" w:rsidRPr="00915CB5" w14:paraId="076EE030" w14:textId="2540DEE8" w:rsidTr="007F070A">
        <w:trPr>
          <w:trHeight w:val="291"/>
        </w:trPr>
        <w:tc>
          <w:tcPr>
            <w:tcW w:w="1845" w:type="dxa"/>
            <w:vMerge/>
          </w:tcPr>
          <w:p w14:paraId="588B6AA2" w14:textId="77777777" w:rsidR="00F34822" w:rsidRPr="00915CB5" w:rsidRDefault="00F34822" w:rsidP="008546A7">
            <w:pPr>
              <w:autoSpaceDE w:val="0"/>
              <w:autoSpaceDN w:val="0"/>
              <w:adjustRightInd w:val="0"/>
              <w:jc w:val="both"/>
            </w:pPr>
          </w:p>
        </w:tc>
        <w:tc>
          <w:tcPr>
            <w:tcW w:w="3905" w:type="dxa"/>
          </w:tcPr>
          <w:p w14:paraId="7786BF89" w14:textId="77777777" w:rsidR="00F34822" w:rsidRPr="00915CB5" w:rsidRDefault="00F34822" w:rsidP="008546A7">
            <w:pPr>
              <w:autoSpaceDE w:val="0"/>
              <w:autoSpaceDN w:val="0"/>
              <w:adjustRightInd w:val="0"/>
              <w:jc w:val="both"/>
            </w:pPr>
            <w:r w:rsidRPr="00915CB5">
              <w:t>bois scié de feuillus tempérés</w:t>
            </w:r>
          </w:p>
        </w:tc>
        <w:tc>
          <w:tcPr>
            <w:tcW w:w="3307" w:type="dxa"/>
          </w:tcPr>
          <w:p w14:paraId="44B43BCE" w14:textId="77777777" w:rsidR="00F34822" w:rsidRPr="00915CB5" w:rsidRDefault="00F34822" w:rsidP="008546A7">
            <w:pPr>
              <w:autoSpaceDE w:val="0"/>
              <w:autoSpaceDN w:val="0"/>
              <w:adjustRightInd w:val="0"/>
              <w:jc w:val="both"/>
            </w:pPr>
          </w:p>
        </w:tc>
      </w:tr>
      <w:tr w:rsidR="00F34822" w:rsidRPr="00915CB5" w14:paraId="0D7EA729" w14:textId="5167194A" w:rsidTr="007F070A">
        <w:trPr>
          <w:trHeight w:val="291"/>
        </w:trPr>
        <w:tc>
          <w:tcPr>
            <w:tcW w:w="1845" w:type="dxa"/>
            <w:vMerge/>
          </w:tcPr>
          <w:p w14:paraId="439B36D4" w14:textId="77777777" w:rsidR="00F34822" w:rsidRPr="00915CB5" w:rsidRDefault="00F34822" w:rsidP="008546A7">
            <w:pPr>
              <w:autoSpaceDE w:val="0"/>
              <w:autoSpaceDN w:val="0"/>
              <w:adjustRightInd w:val="0"/>
              <w:jc w:val="both"/>
            </w:pPr>
          </w:p>
        </w:tc>
        <w:tc>
          <w:tcPr>
            <w:tcW w:w="3905" w:type="dxa"/>
          </w:tcPr>
          <w:p w14:paraId="34932EFE" w14:textId="77777777" w:rsidR="00F34822" w:rsidRPr="00915CB5" w:rsidRDefault="00F34822" w:rsidP="008546A7">
            <w:pPr>
              <w:autoSpaceDE w:val="0"/>
              <w:autoSpaceDN w:val="0"/>
              <w:adjustRightInd w:val="0"/>
              <w:jc w:val="both"/>
            </w:pPr>
            <w:r w:rsidRPr="00915CB5">
              <w:t>panneaux</w:t>
            </w:r>
          </w:p>
        </w:tc>
        <w:tc>
          <w:tcPr>
            <w:tcW w:w="3307" w:type="dxa"/>
          </w:tcPr>
          <w:p w14:paraId="7B420259" w14:textId="77777777" w:rsidR="00F34822" w:rsidRPr="00915CB5" w:rsidRDefault="00F34822" w:rsidP="008546A7">
            <w:pPr>
              <w:autoSpaceDE w:val="0"/>
              <w:autoSpaceDN w:val="0"/>
              <w:adjustRightInd w:val="0"/>
              <w:jc w:val="both"/>
            </w:pPr>
          </w:p>
        </w:tc>
      </w:tr>
      <w:tr w:rsidR="00F34822" w:rsidRPr="00915CB5" w14:paraId="10A9773B" w14:textId="2E6101B3" w:rsidTr="007F070A">
        <w:trPr>
          <w:trHeight w:val="291"/>
        </w:trPr>
        <w:tc>
          <w:tcPr>
            <w:tcW w:w="1845" w:type="dxa"/>
            <w:vMerge/>
          </w:tcPr>
          <w:p w14:paraId="4EDF7E0D" w14:textId="77777777" w:rsidR="00F34822" w:rsidRPr="00915CB5" w:rsidRDefault="00F34822" w:rsidP="008546A7">
            <w:pPr>
              <w:autoSpaceDE w:val="0"/>
              <w:autoSpaceDN w:val="0"/>
              <w:adjustRightInd w:val="0"/>
              <w:jc w:val="both"/>
            </w:pPr>
          </w:p>
        </w:tc>
        <w:tc>
          <w:tcPr>
            <w:tcW w:w="3905" w:type="dxa"/>
          </w:tcPr>
          <w:p w14:paraId="6EF38E5D" w14:textId="77777777" w:rsidR="00F34822" w:rsidRPr="00915CB5" w:rsidRDefault="00F34822" w:rsidP="008546A7">
            <w:pPr>
              <w:autoSpaceDE w:val="0"/>
              <w:autoSpaceDN w:val="0"/>
              <w:adjustRightInd w:val="0"/>
              <w:jc w:val="both"/>
            </w:pPr>
            <w:r w:rsidRPr="00915CB5">
              <w:t>Papier et emballage</w:t>
            </w:r>
          </w:p>
        </w:tc>
        <w:tc>
          <w:tcPr>
            <w:tcW w:w="3307" w:type="dxa"/>
          </w:tcPr>
          <w:p w14:paraId="5A8B031F" w14:textId="77777777" w:rsidR="00F34822" w:rsidRPr="00915CB5" w:rsidRDefault="00F34822" w:rsidP="008546A7">
            <w:pPr>
              <w:autoSpaceDE w:val="0"/>
              <w:autoSpaceDN w:val="0"/>
              <w:adjustRightInd w:val="0"/>
              <w:jc w:val="both"/>
            </w:pPr>
          </w:p>
        </w:tc>
      </w:tr>
      <w:tr w:rsidR="00F34822" w:rsidRPr="00915CB5" w14:paraId="38849D61" w14:textId="2203A6F6" w:rsidTr="007F070A">
        <w:trPr>
          <w:trHeight w:val="281"/>
        </w:trPr>
        <w:tc>
          <w:tcPr>
            <w:tcW w:w="1845" w:type="dxa"/>
            <w:vMerge/>
          </w:tcPr>
          <w:p w14:paraId="504FC635" w14:textId="77777777" w:rsidR="00F34822" w:rsidRPr="00915CB5" w:rsidRDefault="00F34822" w:rsidP="008546A7">
            <w:pPr>
              <w:autoSpaceDE w:val="0"/>
              <w:autoSpaceDN w:val="0"/>
              <w:adjustRightInd w:val="0"/>
              <w:jc w:val="both"/>
            </w:pPr>
          </w:p>
        </w:tc>
        <w:tc>
          <w:tcPr>
            <w:tcW w:w="3905" w:type="dxa"/>
          </w:tcPr>
          <w:p w14:paraId="1F73CCCD" w14:textId="77777777" w:rsidR="00F34822" w:rsidRPr="00915CB5" w:rsidRDefault="00F34822" w:rsidP="008546A7">
            <w:pPr>
              <w:autoSpaceDE w:val="0"/>
              <w:autoSpaceDN w:val="0"/>
              <w:adjustRightInd w:val="0"/>
              <w:jc w:val="both"/>
              <w:rPr>
                <w:color w:val="FF0000"/>
              </w:rPr>
            </w:pPr>
            <w:r w:rsidRPr="00501696">
              <w:t>Bois-énergie</w:t>
            </w:r>
          </w:p>
        </w:tc>
        <w:tc>
          <w:tcPr>
            <w:tcW w:w="3307" w:type="dxa"/>
          </w:tcPr>
          <w:p w14:paraId="0128F806" w14:textId="77777777" w:rsidR="00F34822" w:rsidRPr="00501696" w:rsidRDefault="00F34822" w:rsidP="008546A7">
            <w:pPr>
              <w:autoSpaceDE w:val="0"/>
              <w:autoSpaceDN w:val="0"/>
              <w:adjustRightInd w:val="0"/>
              <w:jc w:val="both"/>
            </w:pPr>
          </w:p>
        </w:tc>
      </w:tr>
      <w:tr w:rsidR="00F34822" w:rsidRPr="00915CB5" w14:paraId="1B845557" w14:textId="1BBFAAB1" w:rsidTr="007F070A">
        <w:trPr>
          <w:trHeight w:val="291"/>
        </w:trPr>
        <w:tc>
          <w:tcPr>
            <w:tcW w:w="1845" w:type="dxa"/>
            <w:vMerge/>
          </w:tcPr>
          <w:p w14:paraId="529661F6" w14:textId="77777777" w:rsidR="00F34822" w:rsidRPr="00915CB5" w:rsidRDefault="00F34822" w:rsidP="008546A7">
            <w:pPr>
              <w:autoSpaceDE w:val="0"/>
              <w:autoSpaceDN w:val="0"/>
              <w:adjustRightInd w:val="0"/>
              <w:jc w:val="both"/>
            </w:pPr>
          </w:p>
        </w:tc>
        <w:tc>
          <w:tcPr>
            <w:tcW w:w="3905" w:type="dxa"/>
          </w:tcPr>
          <w:p w14:paraId="6E38FE65" w14:textId="77777777" w:rsidR="00F34822" w:rsidRPr="00915CB5" w:rsidRDefault="00F34822" w:rsidP="008546A7">
            <w:pPr>
              <w:autoSpaceDE w:val="0"/>
              <w:autoSpaceDN w:val="0"/>
              <w:adjustRightInd w:val="0"/>
              <w:jc w:val="both"/>
            </w:pPr>
            <w:r w:rsidRPr="00915CB5">
              <w:t>….</w:t>
            </w:r>
          </w:p>
        </w:tc>
        <w:tc>
          <w:tcPr>
            <w:tcW w:w="3307" w:type="dxa"/>
          </w:tcPr>
          <w:p w14:paraId="2303F7BC" w14:textId="77777777" w:rsidR="00F34822" w:rsidRPr="00915CB5" w:rsidRDefault="00F34822" w:rsidP="008546A7">
            <w:pPr>
              <w:autoSpaceDE w:val="0"/>
              <w:autoSpaceDN w:val="0"/>
              <w:adjustRightInd w:val="0"/>
              <w:jc w:val="both"/>
            </w:pPr>
          </w:p>
        </w:tc>
      </w:tr>
      <w:tr w:rsidR="00F34822" w:rsidRPr="00915CB5" w14:paraId="02343EF0" w14:textId="6A43A573" w:rsidTr="007F070A">
        <w:trPr>
          <w:trHeight w:val="281"/>
        </w:trPr>
        <w:tc>
          <w:tcPr>
            <w:tcW w:w="1845" w:type="dxa"/>
            <w:vMerge w:val="restart"/>
          </w:tcPr>
          <w:p w14:paraId="3ECAACC4" w14:textId="77777777" w:rsidR="00F34822" w:rsidRPr="00915CB5" w:rsidRDefault="00F34822" w:rsidP="008546A7">
            <w:pPr>
              <w:autoSpaceDE w:val="0"/>
              <w:autoSpaceDN w:val="0"/>
              <w:adjustRightInd w:val="0"/>
              <w:jc w:val="both"/>
            </w:pPr>
            <w:r w:rsidRPr="00915CB5">
              <w:t>Produits à base de bois de 2</w:t>
            </w:r>
            <w:r w:rsidRPr="00915CB5">
              <w:rPr>
                <w:vertAlign w:val="superscript"/>
              </w:rPr>
              <w:t>ème</w:t>
            </w:r>
            <w:r w:rsidRPr="00915CB5">
              <w:t xml:space="preserve">  transformation</w:t>
            </w:r>
          </w:p>
        </w:tc>
        <w:tc>
          <w:tcPr>
            <w:tcW w:w="3905" w:type="dxa"/>
          </w:tcPr>
          <w:p w14:paraId="0052C3F5" w14:textId="77777777" w:rsidR="00F34822" w:rsidRPr="00915CB5" w:rsidRDefault="00F34822" w:rsidP="008546A7">
            <w:pPr>
              <w:autoSpaceDE w:val="0"/>
              <w:autoSpaceDN w:val="0"/>
              <w:adjustRightInd w:val="0"/>
              <w:jc w:val="both"/>
            </w:pPr>
            <w:r w:rsidRPr="00915CB5">
              <w:t>palettes</w:t>
            </w:r>
          </w:p>
        </w:tc>
        <w:tc>
          <w:tcPr>
            <w:tcW w:w="3307" w:type="dxa"/>
          </w:tcPr>
          <w:p w14:paraId="402F0D2C" w14:textId="77777777" w:rsidR="00F34822" w:rsidRPr="00915CB5" w:rsidRDefault="00F34822" w:rsidP="008546A7">
            <w:pPr>
              <w:autoSpaceDE w:val="0"/>
              <w:autoSpaceDN w:val="0"/>
              <w:adjustRightInd w:val="0"/>
              <w:jc w:val="both"/>
            </w:pPr>
          </w:p>
        </w:tc>
      </w:tr>
      <w:tr w:rsidR="00F34822" w:rsidRPr="00915CB5" w14:paraId="02C0684E" w14:textId="681931CA" w:rsidTr="007F070A">
        <w:trPr>
          <w:trHeight w:val="291"/>
        </w:trPr>
        <w:tc>
          <w:tcPr>
            <w:tcW w:w="1845" w:type="dxa"/>
            <w:vMerge/>
          </w:tcPr>
          <w:p w14:paraId="295F21C1" w14:textId="77777777" w:rsidR="00F34822" w:rsidRPr="00915CB5" w:rsidRDefault="00F34822" w:rsidP="008546A7">
            <w:pPr>
              <w:autoSpaceDE w:val="0"/>
              <w:autoSpaceDN w:val="0"/>
              <w:adjustRightInd w:val="0"/>
              <w:jc w:val="both"/>
            </w:pPr>
          </w:p>
        </w:tc>
        <w:tc>
          <w:tcPr>
            <w:tcW w:w="3905" w:type="dxa"/>
          </w:tcPr>
          <w:p w14:paraId="419EC38A" w14:textId="6784500E" w:rsidR="00F34822" w:rsidRPr="00915CB5" w:rsidRDefault="00F34822" w:rsidP="008546A7">
            <w:pPr>
              <w:autoSpaceDE w:val="0"/>
              <w:autoSpaceDN w:val="0"/>
              <w:adjustRightInd w:val="0"/>
              <w:jc w:val="both"/>
            </w:pPr>
            <w:r w:rsidRPr="00915CB5">
              <w:t xml:space="preserve">meubles en bois </w:t>
            </w:r>
          </w:p>
        </w:tc>
        <w:tc>
          <w:tcPr>
            <w:tcW w:w="3307" w:type="dxa"/>
          </w:tcPr>
          <w:p w14:paraId="2998064C" w14:textId="77777777" w:rsidR="00F34822" w:rsidRPr="00915CB5" w:rsidRDefault="00F34822" w:rsidP="008546A7">
            <w:pPr>
              <w:autoSpaceDE w:val="0"/>
              <w:autoSpaceDN w:val="0"/>
              <w:adjustRightInd w:val="0"/>
              <w:jc w:val="both"/>
            </w:pPr>
          </w:p>
        </w:tc>
      </w:tr>
      <w:tr w:rsidR="00F34822" w:rsidRPr="00915CB5" w14:paraId="44D681C4" w14:textId="48366B60" w:rsidTr="007F070A">
        <w:trPr>
          <w:trHeight w:val="291"/>
        </w:trPr>
        <w:tc>
          <w:tcPr>
            <w:tcW w:w="1845" w:type="dxa"/>
            <w:vMerge/>
          </w:tcPr>
          <w:p w14:paraId="2A6E27FE" w14:textId="77777777" w:rsidR="00F34822" w:rsidRPr="00915CB5" w:rsidRDefault="00F34822" w:rsidP="008546A7">
            <w:pPr>
              <w:autoSpaceDE w:val="0"/>
              <w:autoSpaceDN w:val="0"/>
              <w:adjustRightInd w:val="0"/>
              <w:jc w:val="both"/>
            </w:pPr>
          </w:p>
        </w:tc>
        <w:tc>
          <w:tcPr>
            <w:tcW w:w="3905" w:type="dxa"/>
          </w:tcPr>
          <w:p w14:paraId="5F0102D5" w14:textId="77777777" w:rsidR="00F34822" w:rsidRPr="00915CB5" w:rsidRDefault="00F34822" w:rsidP="008546A7">
            <w:pPr>
              <w:autoSpaceDE w:val="0"/>
              <w:autoSpaceDN w:val="0"/>
              <w:adjustRightInd w:val="0"/>
              <w:jc w:val="both"/>
            </w:pPr>
            <w:r w:rsidRPr="00915CB5">
              <w:t>fenêtres et portes</w:t>
            </w:r>
          </w:p>
        </w:tc>
        <w:tc>
          <w:tcPr>
            <w:tcW w:w="3307" w:type="dxa"/>
          </w:tcPr>
          <w:p w14:paraId="6AC20C94" w14:textId="77777777" w:rsidR="00F34822" w:rsidRPr="00915CB5" w:rsidRDefault="00F34822" w:rsidP="008546A7">
            <w:pPr>
              <w:autoSpaceDE w:val="0"/>
              <w:autoSpaceDN w:val="0"/>
              <w:adjustRightInd w:val="0"/>
              <w:jc w:val="both"/>
            </w:pPr>
          </w:p>
        </w:tc>
      </w:tr>
      <w:tr w:rsidR="00F34822" w:rsidRPr="00915CB5" w14:paraId="2D0C1EAA" w14:textId="31696747" w:rsidTr="007F070A">
        <w:trPr>
          <w:trHeight w:val="291"/>
        </w:trPr>
        <w:tc>
          <w:tcPr>
            <w:tcW w:w="1845" w:type="dxa"/>
            <w:vMerge/>
          </w:tcPr>
          <w:p w14:paraId="743D149E" w14:textId="77777777" w:rsidR="00F34822" w:rsidRPr="00915CB5" w:rsidRDefault="00F34822" w:rsidP="008546A7">
            <w:pPr>
              <w:autoSpaceDE w:val="0"/>
              <w:autoSpaceDN w:val="0"/>
              <w:adjustRightInd w:val="0"/>
              <w:jc w:val="both"/>
            </w:pPr>
          </w:p>
        </w:tc>
        <w:tc>
          <w:tcPr>
            <w:tcW w:w="3905" w:type="dxa"/>
          </w:tcPr>
          <w:p w14:paraId="664CD820" w14:textId="77777777" w:rsidR="00F34822" w:rsidRPr="00915CB5" w:rsidRDefault="00F34822" w:rsidP="008546A7">
            <w:pPr>
              <w:autoSpaceDE w:val="0"/>
              <w:autoSpaceDN w:val="0"/>
              <w:adjustRightInd w:val="0"/>
              <w:jc w:val="both"/>
            </w:pPr>
            <w:r w:rsidRPr="00915CB5">
              <w:t>Parquets</w:t>
            </w:r>
          </w:p>
        </w:tc>
        <w:tc>
          <w:tcPr>
            <w:tcW w:w="3307" w:type="dxa"/>
          </w:tcPr>
          <w:p w14:paraId="33ABDCA5" w14:textId="77777777" w:rsidR="00F34822" w:rsidRPr="00915CB5" w:rsidRDefault="00F34822" w:rsidP="008546A7">
            <w:pPr>
              <w:autoSpaceDE w:val="0"/>
              <w:autoSpaceDN w:val="0"/>
              <w:adjustRightInd w:val="0"/>
              <w:jc w:val="both"/>
            </w:pPr>
          </w:p>
        </w:tc>
      </w:tr>
      <w:tr w:rsidR="00F34822" w:rsidRPr="00915CB5" w14:paraId="4048CA2B" w14:textId="633C7537" w:rsidTr="007F070A">
        <w:trPr>
          <w:trHeight w:val="291"/>
        </w:trPr>
        <w:tc>
          <w:tcPr>
            <w:tcW w:w="1845" w:type="dxa"/>
            <w:vMerge/>
          </w:tcPr>
          <w:p w14:paraId="45012DD5" w14:textId="77777777" w:rsidR="00F34822" w:rsidRPr="00915CB5" w:rsidRDefault="00F34822" w:rsidP="008546A7">
            <w:pPr>
              <w:autoSpaceDE w:val="0"/>
              <w:autoSpaceDN w:val="0"/>
              <w:adjustRightInd w:val="0"/>
              <w:jc w:val="both"/>
            </w:pPr>
          </w:p>
        </w:tc>
        <w:tc>
          <w:tcPr>
            <w:tcW w:w="3905" w:type="dxa"/>
          </w:tcPr>
          <w:p w14:paraId="5948288F" w14:textId="77777777" w:rsidR="00F34822" w:rsidRPr="00915CB5" w:rsidRDefault="00F34822" w:rsidP="008546A7">
            <w:pPr>
              <w:autoSpaceDE w:val="0"/>
              <w:autoSpaceDN w:val="0"/>
              <w:adjustRightInd w:val="0"/>
              <w:jc w:val="both"/>
            </w:pPr>
            <w:r w:rsidRPr="00915CB5">
              <w:t>Habillage mur et plafond</w:t>
            </w:r>
          </w:p>
        </w:tc>
        <w:tc>
          <w:tcPr>
            <w:tcW w:w="3307" w:type="dxa"/>
          </w:tcPr>
          <w:p w14:paraId="21699F91" w14:textId="77777777" w:rsidR="00F34822" w:rsidRPr="00915CB5" w:rsidRDefault="00F34822" w:rsidP="008546A7">
            <w:pPr>
              <w:autoSpaceDE w:val="0"/>
              <w:autoSpaceDN w:val="0"/>
              <w:adjustRightInd w:val="0"/>
              <w:jc w:val="both"/>
            </w:pPr>
          </w:p>
        </w:tc>
      </w:tr>
      <w:tr w:rsidR="00F34822" w:rsidRPr="00915CB5" w14:paraId="3E119B57" w14:textId="6C1B3652" w:rsidTr="007F070A">
        <w:trPr>
          <w:trHeight w:val="281"/>
        </w:trPr>
        <w:tc>
          <w:tcPr>
            <w:tcW w:w="1845" w:type="dxa"/>
            <w:vMerge/>
          </w:tcPr>
          <w:p w14:paraId="4380B3C1" w14:textId="77777777" w:rsidR="00F34822" w:rsidRPr="00915CB5" w:rsidRDefault="00F34822" w:rsidP="008546A7">
            <w:pPr>
              <w:autoSpaceDE w:val="0"/>
              <w:autoSpaceDN w:val="0"/>
              <w:adjustRightInd w:val="0"/>
              <w:jc w:val="both"/>
            </w:pPr>
          </w:p>
        </w:tc>
        <w:tc>
          <w:tcPr>
            <w:tcW w:w="3905" w:type="dxa"/>
          </w:tcPr>
          <w:p w14:paraId="3B7CCEAD" w14:textId="77777777" w:rsidR="00F34822" w:rsidRPr="00915CB5" w:rsidRDefault="00F34822" w:rsidP="008546A7">
            <w:pPr>
              <w:autoSpaceDE w:val="0"/>
              <w:autoSpaceDN w:val="0"/>
              <w:adjustRightInd w:val="0"/>
              <w:jc w:val="both"/>
            </w:pPr>
            <w:r w:rsidRPr="00915CB5">
              <w:t>Bois de structure</w:t>
            </w:r>
          </w:p>
        </w:tc>
        <w:tc>
          <w:tcPr>
            <w:tcW w:w="3307" w:type="dxa"/>
          </w:tcPr>
          <w:p w14:paraId="6AFFCDEA" w14:textId="77777777" w:rsidR="00F34822" w:rsidRPr="00915CB5" w:rsidRDefault="00F34822" w:rsidP="008546A7">
            <w:pPr>
              <w:autoSpaceDE w:val="0"/>
              <w:autoSpaceDN w:val="0"/>
              <w:adjustRightInd w:val="0"/>
              <w:jc w:val="both"/>
            </w:pPr>
          </w:p>
        </w:tc>
      </w:tr>
      <w:tr w:rsidR="00F34822" w:rsidRPr="00915CB5" w14:paraId="78A12762" w14:textId="728B7A06" w:rsidTr="007F070A">
        <w:trPr>
          <w:trHeight w:val="291"/>
        </w:trPr>
        <w:tc>
          <w:tcPr>
            <w:tcW w:w="1845" w:type="dxa"/>
            <w:vMerge/>
          </w:tcPr>
          <w:p w14:paraId="44811FF0" w14:textId="77777777" w:rsidR="00F34822" w:rsidRPr="00915CB5" w:rsidRDefault="00F34822" w:rsidP="008546A7">
            <w:pPr>
              <w:autoSpaceDE w:val="0"/>
              <w:autoSpaceDN w:val="0"/>
              <w:adjustRightInd w:val="0"/>
              <w:jc w:val="both"/>
            </w:pPr>
          </w:p>
        </w:tc>
        <w:tc>
          <w:tcPr>
            <w:tcW w:w="3905" w:type="dxa"/>
          </w:tcPr>
          <w:p w14:paraId="28B31108" w14:textId="77777777" w:rsidR="00F34822" w:rsidRPr="00915CB5" w:rsidRDefault="00F34822" w:rsidP="008546A7">
            <w:pPr>
              <w:autoSpaceDE w:val="0"/>
              <w:autoSpaceDN w:val="0"/>
              <w:adjustRightInd w:val="0"/>
              <w:jc w:val="both"/>
            </w:pPr>
            <w:r w:rsidRPr="00915CB5">
              <w:t>….</w:t>
            </w:r>
          </w:p>
        </w:tc>
        <w:tc>
          <w:tcPr>
            <w:tcW w:w="3307" w:type="dxa"/>
          </w:tcPr>
          <w:p w14:paraId="6BD5274C" w14:textId="77777777" w:rsidR="00F34822" w:rsidRPr="00915CB5" w:rsidRDefault="00F34822" w:rsidP="008546A7">
            <w:pPr>
              <w:autoSpaceDE w:val="0"/>
              <w:autoSpaceDN w:val="0"/>
              <w:adjustRightInd w:val="0"/>
              <w:jc w:val="both"/>
            </w:pPr>
          </w:p>
        </w:tc>
      </w:tr>
    </w:tbl>
    <w:p w14:paraId="5970E5BE" w14:textId="77777777" w:rsidR="00A910DF" w:rsidRPr="00915CB5" w:rsidRDefault="00A910DF" w:rsidP="008546A7">
      <w:pPr>
        <w:autoSpaceDE w:val="0"/>
        <w:autoSpaceDN w:val="0"/>
        <w:adjustRightInd w:val="0"/>
        <w:spacing w:after="0" w:line="240" w:lineRule="auto"/>
        <w:jc w:val="both"/>
      </w:pPr>
    </w:p>
    <w:p w14:paraId="5B2A8FB3" w14:textId="3206B04F" w:rsidR="00E20E4E" w:rsidRPr="00915CB5" w:rsidRDefault="00E20E4E" w:rsidP="008546A7">
      <w:pPr>
        <w:autoSpaceDE w:val="0"/>
        <w:autoSpaceDN w:val="0"/>
        <w:adjustRightInd w:val="0"/>
        <w:spacing w:after="0" w:line="240" w:lineRule="auto"/>
        <w:jc w:val="both"/>
      </w:pPr>
      <w:r w:rsidRPr="00915CB5">
        <w:t>§</w:t>
      </w:r>
      <w:r w:rsidR="00332118">
        <w:t>3</w:t>
      </w:r>
      <w:r w:rsidRPr="00915CB5">
        <w:t xml:space="preserve"> De nouvelles catégories de produits à base de bois peuvent, suite à une décision du </w:t>
      </w:r>
      <w:r w:rsidR="00853EAA">
        <w:t>C</w:t>
      </w:r>
      <w:r w:rsidRPr="00915CB5">
        <w:t xml:space="preserve">omité de suivi, être ajoutées à cette liste. </w:t>
      </w:r>
      <w:r w:rsidR="00606F5B" w:rsidRPr="00915CB5">
        <w:t>La</w:t>
      </w:r>
      <w:r w:rsidRPr="00915CB5">
        <w:t xml:space="preserve"> liste </w:t>
      </w:r>
      <w:r w:rsidR="001A3F77" w:rsidRPr="00915CB5">
        <w:t>actualisée est annexée au rapport</w:t>
      </w:r>
      <w:r w:rsidR="00606F5B" w:rsidRPr="00915CB5">
        <w:t xml:space="preserve"> de chaque </w:t>
      </w:r>
      <w:r w:rsidRPr="00915CB5">
        <w:t>réunion</w:t>
      </w:r>
      <w:r w:rsidR="00606F5B" w:rsidRPr="00915CB5">
        <w:t xml:space="preserve"> </w:t>
      </w:r>
      <w:r w:rsidRPr="00915CB5">
        <w:t xml:space="preserve">du </w:t>
      </w:r>
      <w:r w:rsidR="00853EAA">
        <w:t>C</w:t>
      </w:r>
      <w:r w:rsidRPr="00915CB5">
        <w:t>omité de suivi et rendue publique conformément à l’article 14 §</w:t>
      </w:r>
      <w:r w:rsidR="001A3F77" w:rsidRPr="00915CB5">
        <w:t>6</w:t>
      </w:r>
    </w:p>
    <w:p w14:paraId="0AD7B287" w14:textId="359B0B6F" w:rsidR="00103E6D" w:rsidRDefault="00103E6D" w:rsidP="008546A7">
      <w:pPr>
        <w:autoSpaceDE w:val="0"/>
        <w:autoSpaceDN w:val="0"/>
        <w:adjustRightInd w:val="0"/>
        <w:spacing w:after="0" w:line="240" w:lineRule="auto"/>
        <w:jc w:val="both"/>
        <w:rPr>
          <w:rFonts w:ascii="Calibri" w:hAnsi="Calibri" w:cs="Calibri"/>
          <w:color w:val="000000"/>
        </w:rPr>
      </w:pPr>
    </w:p>
    <w:p w14:paraId="0FE8991F" w14:textId="77777777" w:rsidR="00103E6D" w:rsidRPr="00915CB5" w:rsidRDefault="003102B6"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Art. 16</w:t>
      </w:r>
      <w:r w:rsidR="00103E6D" w:rsidRPr="00915CB5">
        <w:rPr>
          <w:rFonts w:ascii="Calibri" w:hAnsi="Calibri" w:cs="Calibri"/>
          <w:color w:val="000000"/>
        </w:rPr>
        <w:t xml:space="preserve">. </w:t>
      </w:r>
      <w:r w:rsidR="00A70CE1" w:rsidRPr="00915CB5">
        <w:rPr>
          <w:rFonts w:ascii="Calibri" w:hAnsi="Calibri" w:cs="Calibri"/>
          <w:color w:val="000000"/>
        </w:rPr>
        <w:t>Modalités</w:t>
      </w:r>
      <w:r w:rsidR="00103E6D" w:rsidRPr="00915CB5">
        <w:rPr>
          <w:rFonts w:ascii="Calibri" w:hAnsi="Calibri" w:cs="Calibri"/>
          <w:color w:val="000000"/>
        </w:rPr>
        <w:t xml:space="preserve"> de rapportage </w:t>
      </w:r>
    </w:p>
    <w:p w14:paraId="6946F6F4" w14:textId="77777777" w:rsidR="00166F6D" w:rsidRPr="00915CB5" w:rsidRDefault="00166F6D" w:rsidP="008546A7">
      <w:pPr>
        <w:autoSpaceDE w:val="0"/>
        <w:autoSpaceDN w:val="0"/>
        <w:adjustRightInd w:val="0"/>
        <w:spacing w:after="0" w:line="240" w:lineRule="auto"/>
        <w:jc w:val="both"/>
        <w:rPr>
          <w:rFonts w:ascii="Calibri" w:hAnsi="Calibri" w:cs="Calibri"/>
          <w:color w:val="000000"/>
        </w:rPr>
      </w:pPr>
    </w:p>
    <w:p w14:paraId="627CCD6C" w14:textId="77777777" w:rsidR="00A03478" w:rsidRDefault="00103E6D" w:rsidP="008546A7">
      <w:pPr>
        <w:autoSpaceDE w:val="0"/>
        <w:autoSpaceDN w:val="0"/>
        <w:adjustRightInd w:val="0"/>
        <w:spacing w:after="0" w:line="240" w:lineRule="auto"/>
        <w:jc w:val="both"/>
      </w:pPr>
      <w:r w:rsidRPr="00915CB5">
        <w:rPr>
          <w:rFonts w:ascii="Calibri" w:hAnsi="Calibri" w:cs="Calibri"/>
          <w:color w:val="000000"/>
        </w:rPr>
        <w:t xml:space="preserve">§1 Au plus tard </w:t>
      </w:r>
      <w:r w:rsidR="00322CC3" w:rsidRPr="00915CB5">
        <w:rPr>
          <w:rFonts w:ascii="Calibri" w:hAnsi="Calibri" w:cs="Calibri"/>
          <w:color w:val="000000"/>
        </w:rPr>
        <w:t>le 15 septembre</w:t>
      </w:r>
      <w:r w:rsidR="00473189" w:rsidRPr="00915CB5">
        <w:rPr>
          <w:rFonts w:ascii="Calibri" w:hAnsi="Calibri" w:cs="Calibri"/>
          <w:color w:val="000000"/>
        </w:rPr>
        <w:t xml:space="preserve"> de chaque année</w:t>
      </w:r>
      <w:r w:rsidRPr="00915CB5">
        <w:rPr>
          <w:rFonts w:ascii="Calibri" w:hAnsi="Calibri" w:cs="Calibri"/>
          <w:color w:val="000000"/>
        </w:rPr>
        <w:t xml:space="preserve">, </w:t>
      </w:r>
      <w:r w:rsidR="00322CC3" w:rsidRPr="00915CB5">
        <w:t>les parties signataires fournissent, pour l’année calendaire précédente, à la Direction générale Environnement</w:t>
      </w:r>
      <w:r w:rsidR="00B077A2">
        <w:t> :</w:t>
      </w:r>
    </w:p>
    <w:p w14:paraId="68E19FD1" w14:textId="77777777" w:rsidR="00DC781D" w:rsidRDefault="00DC781D" w:rsidP="008546A7">
      <w:pPr>
        <w:autoSpaceDE w:val="0"/>
        <w:autoSpaceDN w:val="0"/>
        <w:adjustRightInd w:val="0"/>
        <w:spacing w:after="0" w:line="240" w:lineRule="auto"/>
        <w:jc w:val="both"/>
      </w:pPr>
    </w:p>
    <w:p w14:paraId="32BD113C" w14:textId="653AF12B" w:rsidR="00DC781D" w:rsidRPr="00915CB5" w:rsidRDefault="00B077A2" w:rsidP="008546A7">
      <w:pPr>
        <w:autoSpaceDE w:val="0"/>
        <w:autoSpaceDN w:val="0"/>
        <w:adjustRightInd w:val="0"/>
        <w:spacing w:after="0" w:line="240" w:lineRule="auto"/>
        <w:jc w:val="both"/>
        <w:rPr>
          <w:rFonts w:ascii="Calibri" w:hAnsi="Calibri" w:cs="Calibri"/>
          <w:color w:val="000000"/>
        </w:rPr>
      </w:pPr>
      <w:r>
        <w:t xml:space="preserve">- </w:t>
      </w:r>
      <w:r w:rsidR="00DC781D">
        <w:t>u</w:t>
      </w:r>
      <w:r w:rsidR="00DC781D" w:rsidRPr="00915CB5">
        <w:t xml:space="preserve">n rapport des activités </w:t>
      </w:r>
      <w:r w:rsidR="00DC781D">
        <w:t>réalisées dans le cadre de cet Accord</w:t>
      </w:r>
      <w:r w:rsidR="004752F0">
        <w:t xml:space="preserve">, et plus spécifiquement </w:t>
      </w:r>
      <w:r w:rsidR="00DC781D" w:rsidRPr="00915CB5">
        <w:t xml:space="preserve"> </w:t>
      </w:r>
      <w:r w:rsidR="004752F0">
        <w:t xml:space="preserve">des </w:t>
      </w:r>
      <w:r w:rsidR="004752F0" w:rsidRPr="004752F0">
        <w:t>résultats des plans d’action</w:t>
      </w:r>
      <w:r w:rsidR="004752F0">
        <w:t>,</w:t>
      </w:r>
      <w:r w:rsidR="004752F0" w:rsidRPr="004752F0">
        <w:t xml:space="preserve">  </w:t>
      </w:r>
      <w:r w:rsidR="00DC781D" w:rsidRPr="00915CB5">
        <w:t>au cours d</w:t>
      </w:r>
      <w:r w:rsidR="00DC781D">
        <w:t>e l’année calendaire précédente.</w:t>
      </w:r>
    </w:p>
    <w:p w14:paraId="1A4AEB63" w14:textId="77777777" w:rsidR="00733A7E" w:rsidRPr="00915CB5" w:rsidRDefault="00733A7E"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Pour chaque moyen mis en œuvre, les parties signataires prévoient au moins un indicateur de suivi spécifique à ce moyen, et informent des résultats</w:t>
      </w:r>
      <w:r>
        <w:rPr>
          <w:rFonts w:ascii="Calibri" w:hAnsi="Calibri" w:cs="Calibri"/>
          <w:color w:val="000000"/>
        </w:rPr>
        <w:t xml:space="preserve"> dans ce rapport</w:t>
      </w:r>
      <w:r w:rsidRPr="00915CB5">
        <w:rPr>
          <w:rFonts w:ascii="Calibri" w:hAnsi="Calibri" w:cs="Calibri"/>
          <w:color w:val="000000"/>
        </w:rPr>
        <w:t>.</w:t>
      </w:r>
    </w:p>
    <w:p w14:paraId="4734FE78" w14:textId="77777777" w:rsidR="00A03478" w:rsidRDefault="00A03478" w:rsidP="008546A7">
      <w:pPr>
        <w:autoSpaceDE w:val="0"/>
        <w:autoSpaceDN w:val="0"/>
        <w:adjustRightInd w:val="0"/>
        <w:spacing w:after="0" w:line="240" w:lineRule="auto"/>
        <w:jc w:val="both"/>
      </w:pPr>
    </w:p>
    <w:p w14:paraId="571322B3" w14:textId="2142EA5F" w:rsidR="00747148" w:rsidRPr="00915CB5" w:rsidRDefault="00B077A2" w:rsidP="008546A7">
      <w:pPr>
        <w:autoSpaceDE w:val="0"/>
        <w:autoSpaceDN w:val="0"/>
        <w:adjustRightInd w:val="0"/>
        <w:spacing w:after="0" w:line="240" w:lineRule="auto"/>
        <w:jc w:val="both"/>
        <w:rPr>
          <w:rFonts w:ascii="Calibri" w:hAnsi="Calibri" w:cs="Calibri"/>
          <w:color w:val="000000"/>
        </w:rPr>
      </w:pPr>
      <w:r>
        <w:t xml:space="preserve">- </w:t>
      </w:r>
      <w:r w:rsidR="00322CC3" w:rsidRPr="00915CB5">
        <w:t xml:space="preserve"> les chiffres </w:t>
      </w:r>
      <w:r>
        <w:t xml:space="preserve">provenant </w:t>
      </w:r>
      <w:r w:rsidR="00322CC3" w:rsidRPr="00915CB5">
        <w:t xml:space="preserve">de leurs membres, </w:t>
      </w:r>
      <w:r w:rsidR="00322CC3" w:rsidRPr="00915CB5">
        <w:rPr>
          <w:rFonts w:ascii="Calibri" w:hAnsi="Calibri" w:cs="Calibri"/>
          <w:color w:val="000000"/>
        </w:rPr>
        <w:t xml:space="preserve">relatifs à </w:t>
      </w:r>
      <w:r w:rsidR="00322CC3" w:rsidRPr="00915CB5">
        <w:t>la part de produits à base de bois issus de forêts gérées de manière durable, ainsi que la quantité totale de produits à base de bois qu’ils ont mis</w:t>
      </w:r>
      <w:r w:rsidR="004752F0">
        <w:t>e</w:t>
      </w:r>
      <w:r w:rsidR="00322CC3" w:rsidRPr="00915CB5">
        <w:t xml:space="preserve"> sur le marché pour chaque catégorie de produits à base de bois </w:t>
      </w:r>
      <w:r w:rsidR="003102B6" w:rsidRPr="00915CB5">
        <w:t>figurant sur la liste telle que décrite à l’</w:t>
      </w:r>
      <w:r w:rsidR="00747148" w:rsidRPr="00915CB5">
        <w:t xml:space="preserve">article 15. </w:t>
      </w:r>
    </w:p>
    <w:p w14:paraId="14271674" w14:textId="77777777" w:rsidR="00C546D1" w:rsidRDefault="00747148" w:rsidP="008546A7">
      <w:pPr>
        <w:autoSpaceDE w:val="0"/>
        <w:autoSpaceDN w:val="0"/>
        <w:adjustRightInd w:val="0"/>
        <w:spacing w:after="0" w:line="240" w:lineRule="auto"/>
        <w:jc w:val="both"/>
      </w:pPr>
      <w:r w:rsidRPr="00915CB5">
        <w:lastRenderedPageBreak/>
        <w:t xml:space="preserve">Les parties signataires </w:t>
      </w:r>
      <w:r w:rsidR="00C546D1">
        <w:t>fournissent également un indicateur de la représentativité de ces chiffres, par rapport à l’ensemble de leurs membres</w:t>
      </w:r>
      <w:r w:rsidR="00C546D1" w:rsidRPr="00C546D1">
        <w:t xml:space="preserve"> </w:t>
      </w:r>
      <w:r w:rsidR="00C546D1">
        <w:t xml:space="preserve">selon une méthodologie transparente. </w:t>
      </w:r>
    </w:p>
    <w:p w14:paraId="0762E071" w14:textId="77777777" w:rsidR="00A70CE1" w:rsidRPr="00915CB5" w:rsidRDefault="00C546D1" w:rsidP="008546A7">
      <w:pPr>
        <w:autoSpaceDE w:val="0"/>
        <w:autoSpaceDN w:val="0"/>
        <w:adjustRightInd w:val="0"/>
        <w:spacing w:after="0" w:line="240" w:lineRule="auto"/>
        <w:jc w:val="both"/>
      </w:pPr>
      <w:r>
        <w:t xml:space="preserve"> </w:t>
      </w:r>
    </w:p>
    <w:p w14:paraId="7748F81C" w14:textId="77777777" w:rsidR="00FA1CA1" w:rsidRDefault="00A70CE1" w:rsidP="008546A7">
      <w:pPr>
        <w:autoSpaceDE w:val="0"/>
        <w:autoSpaceDN w:val="0"/>
        <w:adjustRightInd w:val="0"/>
        <w:spacing w:after="0" w:line="240" w:lineRule="auto"/>
        <w:jc w:val="both"/>
      </w:pPr>
      <w:r w:rsidRPr="00915CB5">
        <w:t>§</w:t>
      </w:r>
      <w:r w:rsidR="00322CC3" w:rsidRPr="00915CB5">
        <w:t>2</w:t>
      </w:r>
      <w:r w:rsidRPr="00915CB5">
        <w:t xml:space="preserve">. La Direction générale Environnement présente les résultats de l’ensemble des parties signataires </w:t>
      </w:r>
      <w:r w:rsidR="002042FA" w:rsidRPr="00915CB5">
        <w:t xml:space="preserve">pour chaque catégorie de produits à base de bois, </w:t>
      </w:r>
      <w:r w:rsidRPr="00915CB5">
        <w:t xml:space="preserve">à la réunion </w:t>
      </w:r>
      <w:r w:rsidR="002042FA" w:rsidRPr="00915CB5">
        <w:t xml:space="preserve">annuelle </w:t>
      </w:r>
      <w:r w:rsidR="001A3F77" w:rsidRPr="00915CB5">
        <w:t xml:space="preserve">du Comité de suivi </w:t>
      </w:r>
      <w:r w:rsidRPr="00915CB5">
        <w:t>prévue à l’article 14§4</w:t>
      </w:r>
      <w:r w:rsidR="00332118">
        <w:t xml:space="preserve"> et propose une communication conjointe au Comité de suivi</w:t>
      </w:r>
      <w:r w:rsidR="00DC781D">
        <w:t>.</w:t>
      </w:r>
    </w:p>
    <w:p w14:paraId="456338B1" w14:textId="77777777" w:rsidR="00733A7E" w:rsidRPr="00DC781D" w:rsidRDefault="00733A7E" w:rsidP="008546A7">
      <w:pPr>
        <w:autoSpaceDE w:val="0"/>
        <w:autoSpaceDN w:val="0"/>
        <w:adjustRightInd w:val="0"/>
        <w:spacing w:after="0" w:line="240" w:lineRule="auto"/>
        <w:jc w:val="both"/>
      </w:pPr>
    </w:p>
    <w:p w14:paraId="0A82B525" w14:textId="77777777" w:rsidR="001A3F77" w:rsidRDefault="00DC781D" w:rsidP="008546A7">
      <w:pPr>
        <w:autoSpaceDE w:val="0"/>
        <w:autoSpaceDN w:val="0"/>
        <w:adjustRightInd w:val="0"/>
        <w:spacing w:after="0" w:line="240" w:lineRule="auto"/>
        <w:jc w:val="both"/>
      </w:pPr>
      <w:r>
        <w:t>L</w:t>
      </w:r>
      <w:r w:rsidR="00733A7E">
        <w:t>e Comité de suivi débattra d</w:t>
      </w:r>
      <w:r w:rsidRPr="00915CB5">
        <w:t>es rapports</w:t>
      </w:r>
      <w:r w:rsidR="00733A7E">
        <w:t xml:space="preserve"> et des chiffres du §1</w:t>
      </w:r>
      <w:r w:rsidRPr="00915CB5">
        <w:t xml:space="preserve"> et formulera des recommandations pour améliorer l'efficience et la cohérence des actions</w:t>
      </w:r>
      <w:r w:rsidR="00733A7E">
        <w:t>.</w:t>
      </w:r>
    </w:p>
    <w:p w14:paraId="536C13EC" w14:textId="77777777" w:rsidR="00DC781D" w:rsidRDefault="00DC781D" w:rsidP="008546A7">
      <w:pPr>
        <w:autoSpaceDE w:val="0"/>
        <w:autoSpaceDN w:val="0"/>
        <w:adjustRightInd w:val="0"/>
        <w:spacing w:after="0" w:line="240" w:lineRule="auto"/>
        <w:jc w:val="both"/>
      </w:pPr>
    </w:p>
    <w:p w14:paraId="1C566C32" w14:textId="77777777" w:rsidR="001A3F77" w:rsidRPr="00915CB5" w:rsidRDefault="004B5374"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w:t>
      </w:r>
      <w:r w:rsidR="00DC781D">
        <w:rPr>
          <w:rFonts w:ascii="Calibri" w:hAnsi="Calibri" w:cs="Calibri"/>
          <w:color w:val="000000"/>
        </w:rPr>
        <w:t>3</w:t>
      </w:r>
      <w:r w:rsidR="005F7D0C" w:rsidRPr="00915CB5">
        <w:rPr>
          <w:rFonts w:ascii="Calibri" w:hAnsi="Calibri" w:cs="Calibri"/>
          <w:color w:val="000000"/>
        </w:rPr>
        <w:t xml:space="preserve"> </w:t>
      </w:r>
      <w:r w:rsidRPr="00915CB5">
        <w:rPr>
          <w:rFonts w:ascii="Calibri" w:hAnsi="Calibri" w:cs="Calibri"/>
          <w:color w:val="000000"/>
        </w:rPr>
        <w:t>S</w:t>
      </w:r>
      <w:r w:rsidR="00FA1CA1" w:rsidRPr="00915CB5">
        <w:rPr>
          <w:rFonts w:ascii="Calibri" w:hAnsi="Calibri" w:cs="Calibri"/>
          <w:color w:val="000000"/>
        </w:rPr>
        <w:t xml:space="preserve">ur base des résultats obtenus </w:t>
      </w:r>
      <w:r w:rsidR="00733A7E">
        <w:rPr>
          <w:rFonts w:ascii="Calibri" w:hAnsi="Calibri" w:cs="Calibri"/>
          <w:color w:val="000000"/>
        </w:rPr>
        <w:t xml:space="preserve">et des débats au sein du comité de suivi, </w:t>
      </w:r>
      <w:r w:rsidR="00FA1CA1" w:rsidRPr="00915CB5">
        <w:rPr>
          <w:rFonts w:ascii="Calibri" w:hAnsi="Calibri" w:cs="Calibri"/>
          <w:color w:val="000000"/>
        </w:rPr>
        <w:t xml:space="preserve">les parties signataires </w:t>
      </w:r>
      <w:r w:rsidR="005F7D0C" w:rsidRPr="00915CB5">
        <w:rPr>
          <w:rFonts w:ascii="Calibri" w:hAnsi="Calibri" w:cs="Calibri"/>
          <w:color w:val="000000"/>
        </w:rPr>
        <w:t>développent</w:t>
      </w:r>
      <w:r w:rsidR="00322CC3" w:rsidRPr="00915CB5">
        <w:rPr>
          <w:rFonts w:ascii="Calibri" w:hAnsi="Calibri" w:cs="Calibri"/>
          <w:color w:val="000000"/>
        </w:rPr>
        <w:t xml:space="preserve"> </w:t>
      </w:r>
      <w:r w:rsidR="00733A7E">
        <w:rPr>
          <w:rFonts w:ascii="Calibri" w:hAnsi="Calibri" w:cs="Calibri"/>
          <w:color w:val="000000"/>
        </w:rPr>
        <w:t>des</w:t>
      </w:r>
      <w:r w:rsidR="00322CC3" w:rsidRPr="00915CB5">
        <w:rPr>
          <w:rFonts w:ascii="Calibri" w:hAnsi="Calibri" w:cs="Calibri"/>
          <w:color w:val="000000"/>
        </w:rPr>
        <w:t xml:space="preserve"> plan</w:t>
      </w:r>
      <w:r w:rsidR="00733A7E">
        <w:rPr>
          <w:rFonts w:ascii="Calibri" w:hAnsi="Calibri" w:cs="Calibri"/>
          <w:color w:val="000000"/>
        </w:rPr>
        <w:t>s</w:t>
      </w:r>
      <w:r w:rsidR="00322CC3" w:rsidRPr="00915CB5">
        <w:rPr>
          <w:rFonts w:ascii="Calibri" w:hAnsi="Calibri" w:cs="Calibri"/>
          <w:color w:val="000000"/>
        </w:rPr>
        <w:t xml:space="preserve"> d’actions</w:t>
      </w:r>
      <w:r w:rsidR="005F7D0C" w:rsidRPr="00915CB5">
        <w:rPr>
          <w:rFonts w:ascii="Calibri" w:hAnsi="Calibri" w:cs="Calibri"/>
          <w:color w:val="000000"/>
        </w:rPr>
        <w:t xml:space="preserve">, </w:t>
      </w:r>
      <w:r w:rsidR="00FA1CA1" w:rsidRPr="00915CB5">
        <w:rPr>
          <w:rFonts w:ascii="Calibri" w:hAnsi="Calibri" w:cs="Calibri"/>
          <w:color w:val="000000"/>
        </w:rPr>
        <w:t xml:space="preserve">adaptent </w:t>
      </w:r>
      <w:r w:rsidR="005F7D0C" w:rsidRPr="00915CB5">
        <w:rPr>
          <w:rFonts w:ascii="Calibri" w:hAnsi="Calibri" w:cs="Calibri"/>
          <w:color w:val="000000"/>
        </w:rPr>
        <w:t xml:space="preserve">et mettent en œuvre </w:t>
      </w:r>
      <w:r w:rsidR="00FA1CA1" w:rsidRPr="00915CB5">
        <w:rPr>
          <w:rFonts w:ascii="Calibri" w:hAnsi="Calibri" w:cs="Calibri"/>
          <w:color w:val="000000"/>
        </w:rPr>
        <w:t xml:space="preserve">les moyens </w:t>
      </w:r>
      <w:r w:rsidR="005F7D0C" w:rsidRPr="00915CB5">
        <w:rPr>
          <w:rFonts w:ascii="Calibri" w:hAnsi="Calibri" w:cs="Calibri"/>
          <w:color w:val="000000"/>
        </w:rPr>
        <w:t xml:space="preserve">nécessaires </w:t>
      </w:r>
      <w:r w:rsidR="00FA1CA1" w:rsidRPr="00915CB5">
        <w:rPr>
          <w:rFonts w:ascii="Calibri" w:hAnsi="Calibri" w:cs="Calibri"/>
          <w:color w:val="000000"/>
        </w:rPr>
        <w:t xml:space="preserve">en vue de réaliser les objectifs de l’Accord, tels que décrits à l’article 1§2. </w:t>
      </w:r>
    </w:p>
    <w:p w14:paraId="3A817954" w14:textId="77777777" w:rsidR="005F7D0C" w:rsidRPr="00915CB5" w:rsidRDefault="005F7D0C" w:rsidP="008546A7">
      <w:pPr>
        <w:autoSpaceDE w:val="0"/>
        <w:autoSpaceDN w:val="0"/>
        <w:adjustRightInd w:val="0"/>
        <w:spacing w:after="0" w:line="240" w:lineRule="auto"/>
        <w:jc w:val="both"/>
        <w:rPr>
          <w:rFonts w:ascii="Calibri" w:hAnsi="Calibri" w:cs="Calibri"/>
          <w:color w:val="000000"/>
        </w:rPr>
      </w:pPr>
    </w:p>
    <w:p w14:paraId="14186A14" w14:textId="77777777" w:rsidR="00FA1CA1" w:rsidRDefault="001A3F77" w:rsidP="008546A7">
      <w:pPr>
        <w:autoSpaceDE w:val="0"/>
        <w:autoSpaceDN w:val="0"/>
        <w:adjustRightInd w:val="0"/>
        <w:spacing w:after="0" w:line="240" w:lineRule="auto"/>
        <w:jc w:val="both"/>
        <w:rPr>
          <w:rFonts w:ascii="Calibri" w:hAnsi="Calibri" w:cs="Calibri"/>
          <w:color w:val="000000"/>
        </w:rPr>
      </w:pPr>
      <w:r w:rsidRPr="00915CB5">
        <w:rPr>
          <w:rFonts w:ascii="Calibri" w:hAnsi="Calibri" w:cs="Calibri"/>
          <w:color w:val="000000"/>
        </w:rPr>
        <w:t>§</w:t>
      </w:r>
      <w:r w:rsidR="004B5374" w:rsidRPr="00915CB5">
        <w:rPr>
          <w:rFonts w:ascii="Calibri" w:hAnsi="Calibri" w:cs="Calibri"/>
          <w:color w:val="000000"/>
        </w:rPr>
        <w:t>4</w:t>
      </w:r>
      <w:r w:rsidR="00322CC3" w:rsidRPr="00915CB5">
        <w:rPr>
          <w:rFonts w:ascii="Calibri" w:hAnsi="Calibri" w:cs="Calibri"/>
          <w:color w:val="000000"/>
        </w:rPr>
        <w:t xml:space="preserve"> Les plans d’actions, l</w:t>
      </w:r>
      <w:r w:rsidRPr="00915CB5">
        <w:rPr>
          <w:rFonts w:ascii="Calibri" w:hAnsi="Calibri" w:cs="Calibri"/>
          <w:color w:val="000000"/>
        </w:rPr>
        <w:t>es</w:t>
      </w:r>
      <w:r w:rsidR="005F7D0C" w:rsidRPr="00915CB5">
        <w:rPr>
          <w:rFonts w:ascii="Calibri" w:hAnsi="Calibri" w:cs="Calibri"/>
          <w:color w:val="000000"/>
        </w:rPr>
        <w:t xml:space="preserve"> moyens</w:t>
      </w:r>
      <w:r w:rsidR="00847ABD">
        <w:rPr>
          <w:rFonts w:ascii="Calibri" w:hAnsi="Calibri" w:cs="Calibri"/>
          <w:color w:val="000000"/>
        </w:rPr>
        <w:t xml:space="preserve">, </w:t>
      </w:r>
      <w:r w:rsidR="00733A7E" w:rsidRPr="00915CB5">
        <w:rPr>
          <w:rFonts w:ascii="Calibri" w:hAnsi="Calibri" w:cs="Calibri"/>
          <w:color w:val="000000"/>
        </w:rPr>
        <w:t xml:space="preserve">indicateurs </w:t>
      </w:r>
      <w:r w:rsidR="00733A7E">
        <w:rPr>
          <w:rFonts w:ascii="Calibri" w:hAnsi="Calibri" w:cs="Calibri"/>
          <w:color w:val="000000"/>
        </w:rPr>
        <w:t>et</w:t>
      </w:r>
      <w:r w:rsidR="00847ABD">
        <w:rPr>
          <w:rFonts w:ascii="Calibri" w:hAnsi="Calibri" w:cs="Calibri"/>
          <w:color w:val="000000"/>
        </w:rPr>
        <w:t xml:space="preserve"> les résultats </w:t>
      </w:r>
      <w:r w:rsidR="005F7D0C" w:rsidRPr="00915CB5">
        <w:rPr>
          <w:rFonts w:ascii="Calibri" w:hAnsi="Calibri" w:cs="Calibri"/>
          <w:color w:val="000000"/>
        </w:rPr>
        <w:t xml:space="preserve">sont actés </w:t>
      </w:r>
      <w:r w:rsidRPr="00915CB5">
        <w:rPr>
          <w:rFonts w:ascii="Calibri" w:hAnsi="Calibri" w:cs="Calibri"/>
          <w:color w:val="000000"/>
        </w:rPr>
        <w:t>dans le</w:t>
      </w:r>
      <w:r w:rsidR="005F7D0C" w:rsidRPr="00915CB5">
        <w:rPr>
          <w:rFonts w:ascii="Calibri" w:hAnsi="Calibri" w:cs="Calibri"/>
          <w:color w:val="000000"/>
        </w:rPr>
        <w:t xml:space="preserve"> </w:t>
      </w:r>
      <w:r w:rsidR="005F7D0C" w:rsidRPr="00915CB5">
        <w:t xml:space="preserve">rapport de réunion </w:t>
      </w:r>
      <w:r w:rsidR="00FA1CA1" w:rsidRPr="00915CB5">
        <w:rPr>
          <w:rFonts w:ascii="Calibri" w:hAnsi="Calibri" w:cs="Calibri"/>
          <w:color w:val="000000"/>
        </w:rPr>
        <w:t>du comité de suivi</w:t>
      </w:r>
      <w:r w:rsidRPr="00915CB5">
        <w:rPr>
          <w:rFonts w:ascii="Calibri" w:hAnsi="Calibri" w:cs="Calibri"/>
          <w:color w:val="000000"/>
        </w:rPr>
        <w:t xml:space="preserve"> de l’article 14§6.</w:t>
      </w:r>
    </w:p>
    <w:p w14:paraId="3265155C" w14:textId="77777777" w:rsidR="0099746E" w:rsidRPr="00915CB5" w:rsidRDefault="0099746E" w:rsidP="008546A7">
      <w:pPr>
        <w:autoSpaceDE w:val="0"/>
        <w:autoSpaceDN w:val="0"/>
        <w:adjustRightInd w:val="0"/>
        <w:spacing w:after="0" w:line="240" w:lineRule="auto"/>
        <w:jc w:val="both"/>
      </w:pPr>
    </w:p>
    <w:p w14:paraId="6AF127DC" w14:textId="77777777" w:rsidR="00353322" w:rsidRPr="008546A7" w:rsidRDefault="00353322" w:rsidP="008546A7">
      <w:pPr>
        <w:jc w:val="both"/>
        <w:rPr>
          <w:b/>
        </w:rPr>
      </w:pPr>
      <w:r w:rsidRPr="008546A7">
        <w:rPr>
          <w:b/>
        </w:rPr>
        <w:t xml:space="preserve">  CHAPITRE IV. - Dispositions finales</w:t>
      </w:r>
    </w:p>
    <w:p w14:paraId="40932107" w14:textId="0E004130" w:rsidR="00353322" w:rsidRPr="008546A7" w:rsidRDefault="008546A7" w:rsidP="008546A7">
      <w:pPr>
        <w:jc w:val="both"/>
        <w:rPr>
          <w:u w:val="single"/>
        </w:rPr>
      </w:pPr>
      <w:r>
        <w:rPr>
          <w:u w:val="single"/>
        </w:rPr>
        <w:t>Section 1</w:t>
      </w:r>
      <w:r w:rsidRPr="008546A7">
        <w:rPr>
          <w:u w:val="single"/>
          <w:vertAlign w:val="superscript"/>
        </w:rPr>
        <w:t>re</w:t>
      </w:r>
      <w:r w:rsidR="00353322" w:rsidRPr="008546A7">
        <w:rPr>
          <w:u w:val="single"/>
        </w:rPr>
        <w:t>. - Durée de l'accord</w:t>
      </w:r>
    </w:p>
    <w:p w14:paraId="6766D7FE" w14:textId="75838791" w:rsidR="00353322" w:rsidRPr="00915CB5" w:rsidRDefault="00353322" w:rsidP="008546A7">
      <w:pPr>
        <w:jc w:val="both"/>
      </w:pPr>
      <w:r w:rsidRPr="00915CB5">
        <w:t xml:space="preserve">  Art. </w:t>
      </w:r>
      <w:r w:rsidR="007D55D0">
        <w:t>17</w:t>
      </w:r>
      <w:r w:rsidRPr="00915CB5">
        <w:t xml:space="preserve">. Le présent accord entre en vigueur le </w:t>
      </w:r>
      <w:r w:rsidR="00E53D0C">
        <w:t>……………</w:t>
      </w:r>
      <w:r w:rsidR="002B2337" w:rsidRPr="00915CB5">
        <w:t xml:space="preserve"> 20</w:t>
      </w:r>
      <w:r w:rsidR="00F22478">
        <w:t>19</w:t>
      </w:r>
      <w:r w:rsidRPr="00915CB5">
        <w:t xml:space="preserve"> et prend fin le 31 décembre </w:t>
      </w:r>
      <w:r w:rsidR="00C546D1" w:rsidRPr="00915CB5">
        <w:t>202</w:t>
      </w:r>
      <w:r w:rsidR="00C546D1">
        <w:t>4</w:t>
      </w:r>
      <w:r w:rsidRPr="00915CB5">
        <w:t>.</w:t>
      </w:r>
    </w:p>
    <w:p w14:paraId="11CB8F71" w14:textId="687BB97A" w:rsidR="00353322" w:rsidRPr="00915CB5" w:rsidRDefault="00353322" w:rsidP="008546A7">
      <w:pPr>
        <w:jc w:val="both"/>
      </w:pPr>
      <w:r w:rsidRPr="00915CB5">
        <w:t xml:space="preserve">  </w:t>
      </w:r>
      <w:r w:rsidR="00AF4D71" w:rsidRPr="00915CB5">
        <w:t xml:space="preserve">Art. </w:t>
      </w:r>
      <w:r w:rsidR="007D55D0">
        <w:t>18</w:t>
      </w:r>
      <w:r w:rsidRPr="00915CB5">
        <w:t>. Le présent accord peut être résilié par l'une des parties, moyennant un préavis de six mois et avec mention du motif.</w:t>
      </w:r>
    </w:p>
    <w:p w14:paraId="494A9DC5" w14:textId="77777777" w:rsidR="00353322" w:rsidRPr="00915CB5" w:rsidRDefault="00353322" w:rsidP="008546A7">
      <w:pPr>
        <w:jc w:val="both"/>
      </w:pPr>
      <w:r w:rsidRPr="00915CB5">
        <w:t xml:space="preserve">  La résiliation est notifiée, sous peine de nullité, par lettre recommandée adressée à tous les signataires de l'accord.</w:t>
      </w:r>
    </w:p>
    <w:p w14:paraId="4E935F7D" w14:textId="77777777" w:rsidR="00353322" w:rsidRPr="00915CB5" w:rsidRDefault="00353322" w:rsidP="008546A7">
      <w:pPr>
        <w:jc w:val="both"/>
      </w:pPr>
      <w:r w:rsidRPr="00915CB5">
        <w:t xml:space="preserve">  Le délai de préavis commence à courir le premier jour du mois qui suit la signification.</w:t>
      </w:r>
    </w:p>
    <w:p w14:paraId="0683158C" w14:textId="77777777" w:rsidR="00353322" w:rsidRPr="008546A7" w:rsidRDefault="00353322" w:rsidP="008546A7">
      <w:pPr>
        <w:jc w:val="both"/>
        <w:rPr>
          <w:u w:val="single"/>
        </w:rPr>
      </w:pPr>
      <w:r w:rsidRPr="00915CB5">
        <w:t xml:space="preserve">  </w:t>
      </w:r>
      <w:r w:rsidRPr="008546A7">
        <w:rPr>
          <w:u w:val="single"/>
        </w:rPr>
        <w:t>Section 2. - Modifications</w:t>
      </w:r>
    </w:p>
    <w:p w14:paraId="6DDE3D80" w14:textId="2E7C848A" w:rsidR="00353322" w:rsidRPr="00915CB5" w:rsidRDefault="00353322" w:rsidP="008546A7">
      <w:pPr>
        <w:jc w:val="both"/>
      </w:pPr>
      <w:r w:rsidRPr="00915CB5">
        <w:t xml:space="preserve">  Art. </w:t>
      </w:r>
      <w:r w:rsidR="007D55D0">
        <w:t>19</w:t>
      </w:r>
      <w:r w:rsidRPr="00915CB5">
        <w:t>. Le présent accord peut être modifié moyennant l'accord de toutes les parties et le respect de l'article 6 de la loi du 21 décembre 1998 relative aux normes de produits ayant pour but la promotion de modes de consommation durable et la protection de l'environnement et de la santé.</w:t>
      </w:r>
    </w:p>
    <w:p w14:paraId="13A6E36C" w14:textId="4BF68EB4" w:rsidR="00353322" w:rsidRPr="00915CB5" w:rsidRDefault="00353322" w:rsidP="008546A7">
      <w:pPr>
        <w:jc w:val="both"/>
      </w:pPr>
      <w:r w:rsidRPr="00915CB5">
        <w:t xml:space="preserve">  Art. </w:t>
      </w:r>
      <w:r w:rsidR="007D55D0">
        <w:t>20</w:t>
      </w:r>
      <w:r w:rsidRPr="00915CB5">
        <w:t>. Toute modification de la réglementation européenne à laquelle se réfère le présent accord est réputée modifier automatiquement le présent accord.</w:t>
      </w:r>
    </w:p>
    <w:p w14:paraId="40F68B17" w14:textId="016455ED" w:rsidR="00E04A2C" w:rsidRPr="00915CB5" w:rsidRDefault="00353322" w:rsidP="008546A7">
      <w:pPr>
        <w:jc w:val="both"/>
      </w:pPr>
      <w:r w:rsidRPr="00915CB5">
        <w:t xml:space="preserve">  Art. 2</w:t>
      </w:r>
      <w:r w:rsidR="007D55D0">
        <w:t>1</w:t>
      </w:r>
      <w:r w:rsidRPr="00915CB5">
        <w:t>. Toutefois, si une des parties estime qu'une telle modification est susceptible d'entraîner une modification des obligations prévues dans le présent accord, qui est contraire aux intérêts qu'elle poursuit, elle peut inviter les autres parties à procéder à une évaluation commune des conséquences de ladite modification et de la nécessité de modifier le présent accord.</w:t>
      </w:r>
    </w:p>
    <w:p w14:paraId="17D2FF52" w14:textId="529DD1F8" w:rsidR="00353322" w:rsidRPr="008546A7" w:rsidRDefault="00353322" w:rsidP="008546A7">
      <w:pPr>
        <w:jc w:val="both"/>
        <w:rPr>
          <w:u w:val="single"/>
        </w:rPr>
      </w:pPr>
      <w:r w:rsidRPr="008546A7">
        <w:rPr>
          <w:u w:val="single"/>
        </w:rPr>
        <w:t>Section 3. - Clause de compétence</w:t>
      </w:r>
    </w:p>
    <w:p w14:paraId="1499A404" w14:textId="1A8EAD59" w:rsidR="00353322" w:rsidRDefault="00353322" w:rsidP="008546A7">
      <w:pPr>
        <w:jc w:val="both"/>
      </w:pPr>
      <w:r w:rsidRPr="00915CB5">
        <w:t xml:space="preserve">  Art. 2</w:t>
      </w:r>
      <w:r w:rsidR="007D55D0">
        <w:t>2</w:t>
      </w:r>
      <w:r w:rsidRPr="00915CB5">
        <w:t>. Tout litige relatif à l'interprétation, à la validité, à l'exécution ou à la rupture du présent accord sera de la compétence exclusive des tribunaux de Bruxelles.</w:t>
      </w:r>
    </w:p>
    <w:p w14:paraId="5E4244CC" w14:textId="12ED5DDB" w:rsidR="00353322" w:rsidRPr="008546A7" w:rsidRDefault="00353322" w:rsidP="008546A7">
      <w:pPr>
        <w:jc w:val="both"/>
        <w:rPr>
          <w:u w:val="single"/>
        </w:rPr>
      </w:pPr>
      <w:r w:rsidRPr="008546A7">
        <w:rPr>
          <w:u w:val="single"/>
        </w:rPr>
        <w:t>Section 4. - Dispositions finales</w:t>
      </w:r>
    </w:p>
    <w:p w14:paraId="172592AB" w14:textId="5E8EDA3F" w:rsidR="00353322" w:rsidRPr="00915CB5" w:rsidRDefault="00353322" w:rsidP="008546A7">
      <w:pPr>
        <w:jc w:val="both"/>
      </w:pPr>
      <w:r w:rsidRPr="00915CB5">
        <w:t xml:space="preserve">  Art. 2</w:t>
      </w:r>
      <w:r w:rsidR="007D55D0">
        <w:t>3</w:t>
      </w:r>
      <w:r w:rsidRPr="00915CB5">
        <w:t>. Le présent accord remplace toutes les versions précédentes de l'accord sectoriel visant à augmenter l'offre de produits à base de bois provenant de forêts exploitées durablement.</w:t>
      </w:r>
    </w:p>
    <w:p w14:paraId="7E6C769B" w14:textId="03B21586" w:rsidR="008960D4" w:rsidRPr="00915CB5" w:rsidRDefault="00E04A2C" w:rsidP="008546A7">
      <w:pPr>
        <w:jc w:val="both"/>
      </w:pPr>
      <w:r w:rsidRPr="00915CB5">
        <w:lastRenderedPageBreak/>
        <w:t>Art. 2</w:t>
      </w:r>
      <w:r w:rsidR="007D55D0">
        <w:t>4</w:t>
      </w:r>
      <w:r w:rsidRPr="00915CB5">
        <w:t>. Les parties signataires ne détourneront ni le contenu, ni l'esprit du présent accord lors de toute communication au public.</w:t>
      </w:r>
    </w:p>
    <w:p w14:paraId="2F29A564" w14:textId="7561DAA0" w:rsidR="00E04A2C" w:rsidRPr="00915CB5" w:rsidRDefault="008960D4" w:rsidP="008546A7">
      <w:pPr>
        <w:jc w:val="both"/>
      </w:pPr>
      <w:r w:rsidRPr="00915CB5">
        <w:t xml:space="preserve">  Art. 2</w:t>
      </w:r>
      <w:r w:rsidR="007D55D0">
        <w:t>5</w:t>
      </w:r>
      <w:r w:rsidRPr="00915CB5">
        <w:t xml:space="preserve">. En cas de non-respect des engagements fixés aux </w:t>
      </w:r>
      <w:r w:rsidR="00C54EC8">
        <w:t>chapitres II et III, constaté par le Comité de suivi</w:t>
      </w:r>
      <w:r w:rsidRPr="00915CB5">
        <w:t xml:space="preserve"> et </w:t>
      </w:r>
      <w:r w:rsidR="00C54EC8">
        <w:t>notifié</w:t>
      </w:r>
      <w:r w:rsidRPr="00915CB5">
        <w:t xml:space="preserve"> par lettre recommandée aux parties signataires, ces dernières introduisent un pl</w:t>
      </w:r>
      <w:r w:rsidR="00C54EC8">
        <w:t xml:space="preserve">an de remise à niveau auprès du secrétariat du Comité de suivi </w:t>
      </w:r>
      <w:r w:rsidRPr="00915CB5">
        <w:t>dans un délai de deux mois à dater d</w:t>
      </w:r>
      <w:r w:rsidR="00C54EC8">
        <w:t>e la signification du constat du non-respect des engagements</w:t>
      </w:r>
      <w:r w:rsidRPr="00915CB5">
        <w:t>.</w:t>
      </w:r>
    </w:p>
    <w:p w14:paraId="6BBAC8D0" w14:textId="60F4F399" w:rsidR="00353322" w:rsidRPr="00915CB5" w:rsidRDefault="00353322" w:rsidP="008546A7">
      <w:pPr>
        <w:jc w:val="both"/>
      </w:pPr>
      <w:r w:rsidRPr="00915CB5">
        <w:t xml:space="preserve">  Art. 2</w:t>
      </w:r>
      <w:r w:rsidR="007D55D0">
        <w:t>6</w:t>
      </w:r>
      <w:r w:rsidRPr="00915CB5">
        <w:t xml:space="preserve">. L'accord est conclu à Bruxelles le </w:t>
      </w:r>
      <w:r w:rsidR="00427DD2">
        <w:t>…………………..</w:t>
      </w:r>
      <w:r w:rsidR="00DE4F9E">
        <w:t xml:space="preserve"> </w:t>
      </w:r>
      <w:r w:rsidRPr="00915CB5">
        <w:t>20</w:t>
      </w:r>
      <w:r w:rsidR="00427DD2">
        <w:t>19</w:t>
      </w:r>
      <w:r w:rsidRPr="00915CB5">
        <w:t xml:space="preserve"> et signé par les représentants de chaque partie.</w:t>
      </w:r>
    </w:p>
    <w:p w14:paraId="77B6CB72" w14:textId="77777777" w:rsidR="00353322" w:rsidRPr="00915CB5" w:rsidRDefault="00353322" w:rsidP="008546A7">
      <w:pPr>
        <w:jc w:val="both"/>
      </w:pPr>
      <w:r w:rsidRPr="00915CB5">
        <w:t xml:space="preserve">  Chaque partie reconnaît avoir reçu un exemplaire de l'accord.</w:t>
      </w:r>
    </w:p>
    <w:p w14:paraId="3AA7C63B" w14:textId="77777777" w:rsidR="00E04A2C" w:rsidRPr="00915CB5" w:rsidRDefault="00E04A2C" w:rsidP="008546A7">
      <w:pPr>
        <w:jc w:val="both"/>
      </w:pPr>
    </w:p>
    <w:p w14:paraId="516C9BFA" w14:textId="77777777" w:rsidR="00353322" w:rsidRPr="00915CB5" w:rsidRDefault="00353322" w:rsidP="008546A7">
      <w:pPr>
        <w:jc w:val="both"/>
      </w:pPr>
      <w:r w:rsidRPr="00915CB5">
        <w:t xml:space="preserve">  Entre :</w:t>
      </w:r>
    </w:p>
    <w:p w14:paraId="4EA897CB" w14:textId="77777777" w:rsidR="00E04A2C" w:rsidRPr="00915CB5" w:rsidRDefault="00E04A2C" w:rsidP="008546A7">
      <w:pPr>
        <w:jc w:val="both"/>
      </w:pPr>
    </w:p>
    <w:p w14:paraId="34D415A6" w14:textId="77777777" w:rsidR="00E04A2C" w:rsidRPr="00915CB5" w:rsidRDefault="00E04A2C" w:rsidP="008546A7">
      <w:pPr>
        <w:jc w:val="both"/>
      </w:pPr>
    </w:p>
    <w:p w14:paraId="343F1CA4" w14:textId="404DBCA3" w:rsidR="00E57724" w:rsidRPr="00BC6710" w:rsidRDefault="00353322" w:rsidP="008546A7">
      <w:pPr>
        <w:jc w:val="both"/>
      </w:pPr>
      <w:r w:rsidRPr="00915CB5">
        <w:t xml:space="preserve">  Ainsi fait à Bruxelles en deux exemplaires, en langue française et néerlandaise, le </w:t>
      </w:r>
      <w:r w:rsidR="00427DD2">
        <w:t>……………….</w:t>
      </w:r>
      <w:r w:rsidR="00DE4F9E">
        <w:t xml:space="preserve"> </w:t>
      </w:r>
      <w:r w:rsidR="00427DD2">
        <w:t xml:space="preserve"> 2019</w:t>
      </w:r>
      <w:r w:rsidRPr="00915CB5">
        <w:t>.</w:t>
      </w:r>
    </w:p>
    <w:sectPr w:rsidR="00E57724" w:rsidRPr="00BC67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BD35" w14:textId="77777777" w:rsidR="00C068D9" w:rsidRDefault="00C068D9" w:rsidP="009861B2">
      <w:pPr>
        <w:spacing w:after="0" w:line="240" w:lineRule="auto"/>
      </w:pPr>
      <w:r>
        <w:separator/>
      </w:r>
    </w:p>
  </w:endnote>
  <w:endnote w:type="continuationSeparator" w:id="0">
    <w:p w14:paraId="460663EA" w14:textId="77777777" w:rsidR="00C068D9" w:rsidRDefault="00C068D9" w:rsidP="0098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0210" w14:textId="77777777" w:rsidR="00C068D9" w:rsidRDefault="00C068D9" w:rsidP="009861B2">
      <w:pPr>
        <w:spacing w:after="0" w:line="240" w:lineRule="auto"/>
      </w:pPr>
      <w:r>
        <w:separator/>
      </w:r>
    </w:p>
  </w:footnote>
  <w:footnote w:type="continuationSeparator" w:id="0">
    <w:p w14:paraId="3D199D2D" w14:textId="77777777" w:rsidR="00C068D9" w:rsidRDefault="00C068D9" w:rsidP="009861B2">
      <w:pPr>
        <w:spacing w:after="0" w:line="240" w:lineRule="auto"/>
      </w:pPr>
      <w:r>
        <w:continuationSeparator/>
      </w:r>
    </w:p>
  </w:footnote>
  <w:footnote w:id="1">
    <w:p w14:paraId="4AA3E341" w14:textId="77777777" w:rsidR="009861B2" w:rsidRPr="00501696" w:rsidRDefault="009861B2">
      <w:pPr>
        <w:pStyle w:val="Voetnoottekst"/>
        <w:rPr>
          <w:sz w:val="16"/>
          <w:szCs w:val="16"/>
          <w:lang w:val="en-US"/>
        </w:rPr>
      </w:pPr>
      <w:r>
        <w:rPr>
          <w:rStyle w:val="Voetnootmarkering"/>
        </w:rPr>
        <w:footnoteRef/>
      </w:r>
      <w:r w:rsidRPr="00501696">
        <w:rPr>
          <w:lang w:val="en-US"/>
        </w:rPr>
        <w:t xml:space="preserve"> </w:t>
      </w:r>
      <w:r w:rsidRPr="00501696">
        <w:rPr>
          <w:sz w:val="16"/>
          <w:szCs w:val="16"/>
          <w:lang w:val="en-US"/>
        </w:rPr>
        <w:t>Résolution H1 du MCPFE définit la gestion durable des forêts comme « the stewardship and use of forests and forest lands in a way, and at a rate, that maintains their biodiversity, productivity, regeneration capacity, vitality and their potential to fulfill, now and in the future, relevant ecological, economic and social functions, at local, national, and global levels, and that does not cause damage to other ecosystems » (MCPFE resolution H1, Helsinki, 1993)</w:t>
      </w:r>
    </w:p>
  </w:footnote>
  <w:footnote w:id="2">
    <w:p w14:paraId="58A43C09" w14:textId="1C5FC1AE" w:rsidR="00C1159A" w:rsidRDefault="00C1159A">
      <w:pPr>
        <w:pStyle w:val="Voetnoottekst"/>
      </w:pPr>
      <w:r>
        <w:rPr>
          <w:rStyle w:val="Voetnootmarkering"/>
        </w:rPr>
        <w:footnoteRef/>
      </w:r>
      <w:r>
        <w:t xml:space="preserve"> </w:t>
      </w:r>
      <w:r w:rsidR="000C0DC3">
        <w:t>la provenance étan</w:t>
      </w:r>
      <w:r>
        <w:t xml:space="preserve">t définie comme du bois ou de la fibre de bois, transformés ou non, provenant d'un système de certification forestier reconnu officiellement par PEFC international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E77"/>
    <w:multiLevelType w:val="hybridMultilevel"/>
    <w:tmpl w:val="49104F62"/>
    <w:lvl w:ilvl="0" w:tplc="6BCA9FAE">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01203B"/>
    <w:multiLevelType w:val="hybridMultilevel"/>
    <w:tmpl w:val="F83474DA"/>
    <w:lvl w:ilvl="0" w:tplc="CE7E6A5A">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6E6C9B"/>
    <w:multiLevelType w:val="hybridMultilevel"/>
    <w:tmpl w:val="FEFCCF40"/>
    <w:lvl w:ilvl="0" w:tplc="6E948F9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19E13E5"/>
    <w:multiLevelType w:val="hybridMultilevel"/>
    <w:tmpl w:val="EB744ECC"/>
    <w:lvl w:ilvl="0" w:tplc="3EBC23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134B73"/>
    <w:multiLevelType w:val="hybridMultilevel"/>
    <w:tmpl w:val="5296C776"/>
    <w:lvl w:ilvl="0" w:tplc="1964779E">
      <w:start w:val="10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95205C6"/>
    <w:multiLevelType w:val="hybridMultilevel"/>
    <w:tmpl w:val="C8CCB6A4"/>
    <w:lvl w:ilvl="0" w:tplc="CE7E6A5A">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B15DDB"/>
    <w:multiLevelType w:val="hybridMultilevel"/>
    <w:tmpl w:val="FE627844"/>
    <w:lvl w:ilvl="0" w:tplc="CE7E6A5A">
      <w:start w:val="1"/>
      <w:numFmt w:val="decimal"/>
      <w:lvlText w:val="%1°"/>
      <w:lvlJc w:val="left"/>
      <w:pPr>
        <w:ind w:left="820" w:hanging="36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7" w15:restartNumberingAfterBreak="0">
    <w:nsid w:val="52F966F8"/>
    <w:multiLevelType w:val="hybridMultilevel"/>
    <w:tmpl w:val="9BBACCF8"/>
    <w:lvl w:ilvl="0" w:tplc="CE7E6A5A">
      <w:start w:val="1"/>
      <w:numFmt w:val="decimal"/>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4EB114D"/>
    <w:multiLevelType w:val="hybridMultilevel"/>
    <w:tmpl w:val="AFB6604C"/>
    <w:lvl w:ilvl="0" w:tplc="CE7E6A5A">
      <w:start w:val="1"/>
      <w:numFmt w:val="decimal"/>
      <w:lvlText w:val="%1°"/>
      <w:lvlJc w:val="left"/>
      <w:pPr>
        <w:ind w:left="769" w:hanging="360"/>
      </w:pPr>
      <w:rPr>
        <w:rFonts w:hint="default"/>
      </w:rPr>
    </w:lvl>
    <w:lvl w:ilvl="1" w:tplc="08130019" w:tentative="1">
      <w:start w:val="1"/>
      <w:numFmt w:val="lowerLetter"/>
      <w:lvlText w:val="%2."/>
      <w:lvlJc w:val="left"/>
      <w:pPr>
        <w:ind w:left="1489" w:hanging="360"/>
      </w:pPr>
    </w:lvl>
    <w:lvl w:ilvl="2" w:tplc="0813001B" w:tentative="1">
      <w:start w:val="1"/>
      <w:numFmt w:val="lowerRoman"/>
      <w:lvlText w:val="%3."/>
      <w:lvlJc w:val="right"/>
      <w:pPr>
        <w:ind w:left="2209" w:hanging="180"/>
      </w:pPr>
    </w:lvl>
    <w:lvl w:ilvl="3" w:tplc="0813000F" w:tentative="1">
      <w:start w:val="1"/>
      <w:numFmt w:val="decimal"/>
      <w:lvlText w:val="%4."/>
      <w:lvlJc w:val="left"/>
      <w:pPr>
        <w:ind w:left="2929" w:hanging="360"/>
      </w:pPr>
    </w:lvl>
    <w:lvl w:ilvl="4" w:tplc="08130019" w:tentative="1">
      <w:start w:val="1"/>
      <w:numFmt w:val="lowerLetter"/>
      <w:lvlText w:val="%5."/>
      <w:lvlJc w:val="left"/>
      <w:pPr>
        <w:ind w:left="3649" w:hanging="360"/>
      </w:pPr>
    </w:lvl>
    <w:lvl w:ilvl="5" w:tplc="0813001B" w:tentative="1">
      <w:start w:val="1"/>
      <w:numFmt w:val="lowerRoman"/>
      <w:lvlText w:val="%6."/>
      <w:lvlJc w:val="right"/>
      <w:pPr>
        <w:ind w:left="4369" w:hanging="180"/>
      </w:pPr>
    </w:lvl>
    <w:lvl w:ilvl="6" w:tplc="0813000F" w:tentative="1">
      <w:start w:val="1"/>
      <w:numFmt w:val="decimal"/>
      <w:lvlText w:val="%7."/>
      <w:lvlJc w:val="left"/>
      <w:pPr>
        <w:ind w:left="5089" w:hanging="360"/>
      </w:pPr>
    </w:lvl>
    <w:lvl w:ilvl="7" w:tplc="08130019" w:tentative="1">
      <w:start w:val="1"/>
      <w:numFmt w:val="lowerLetter"/>
      <w:lvlText w:val="%8."/>
      <w:lvlJc w:val="left"/>
      <w:pPr>
        <w:ind w:left="5809" w:hanging="360"/>
      </w:pPr>
    </w:lvl>
    <w:lvl w:ilvl="8" w:tplc="0813001B" w:tentative="1">
      <w:start w:val="1"/>
      <w:numFmt w:val="lowerRoman"/>
      <w:lvlText w:val="%9."/>
      <w:lvlJc w:val="right"/>
      <w:pPr>
        <w:ind w:left="6529" w:hanging="180"/>
      </w:pPr>
    </w:lvl>
  </w:abstractNum>
  <w:abstractNum w:abstractNumId="9" w15:restartNumberingAfterBreak="0">
    <w:nsid w:val="79755249"/>
    <w:multiLevelType w:val="hybridMultilevel"/>
    <w:tmpl w:val="018EFC02"/>
    <w:lvl w:ilvl="0" w:tplc="CE7E6A5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C022169"/>
    <w:multiLevelType w:val="hybridMultilevel"/>
    <w:tmpl w:val="25C087C8"/>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 w:numId="2">
    <w:abstractNumId w:val="2"/>
  </w:num>
  <w:num w:numId="3">
    <w:abstractNumId w:val="4"/>
  </w:num>
  <w:num w:numId="4">
    <w:abstractNumId w:val="6"/>
  </w:num>
  <w:num w:numId="5">
    <w:abstractNumId w:val="10"/>
  </w:num>
  <w:num w:numId="6">
    <w:abstractNumId w:val="8"/>
  </w:num>
  <w:num w:numId="7">
    <w:abstractNumId w:val="9"/>
  </w:num>
  <w:num w:numId="8">
    <w:abstractNumId w:val="1"/>
  </w:num>
  <w:num w:numId="9">
    <w:abstractNumId w:val="3"/>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2B"/>
    <w:rsid w:val="00013A43"/>
    <w:rsid w:val="0004554D"/>
    <w:rsid w:val="00063B2B"/>
    <w:rsid w:val="0006668F"/>
    <w:rsid w:val="00074922"/>
    <w:rsid w:val="00081A44"/>
    <w:rsid w:val="000C0DC3"/>
    <w:rsid w:val="000D0B12"/>
    <w:rsid w:val="000D6DFA"/>
    <w:rsid w:val="00103E6D"/>
    <w:rsid w:val="00107BB9"/>
    <w:rsid w:val="001160D0"/>
    <w:rsid w:val="00131C9F"/>
    <w:rsid w:val="0013284C"/>
    <w:rsid w:val="00135BC4"/>
    <w:rsid w:val="00166F6D"/>
    <w:rsid w:val="00182D68"/>
    <w:rsid w:val="001A0AB5"/>
    <w:rsid w:val="001A3CFF"/>
    <w:rsid w:val="001A3F77"/>
    <w:rsid w:val="001C3E11"/>
    <w:rsid w:val="001C734F"/>
    <w:rsid w:val="001D24B0"/>
    <w:rsid w:val="001F319B"/>
    <w:rsid w:val="002021EB"/>
    <w:rsid w:val="002042FA"/>
    <w:rsid w:val="0021083B"/>
    <w:rsid w:val="00220612"/>
    <w:rsid w:val="00224615"/>
    <w:rsid w:val="00260784"/>
    <w:rsid w:val="00264F6B"/>
    <w:rsid w:val="002905D7"/>
    <w:rsid w:val="002B2337"/>
    <w:rsid w:val="002C29DE"/>
    <w:rsid w:val="002D7A07"/>
    <w:rsid w:val="00300B71"/>
    <w:rsid w:val="00302B25"/>
    <w:rsid w:val="00306193"/>
    <w:rsid w:val="003102B6"/>
    <w:rsid w:val="00322CC3"/>
    <w:rsid w:val="00332118"/>
    <w:rsid w:val="00332A4D"/>
    <w:rsid w:val="0034530B"/>
    <w:rsid w:val="00353322"/>
    <w:rsid w:val="00364C7F"/>
    <w:rsid w:val="003800CE"/>
    <w:rsid w:val="0038087A"/>
    <w:rsid w:val="00381842"/>
    <w:rsid w:val="003A6B5C"/>
    <w:rsid w:val="003B158A"/>
    <w:rsid w:val="003C5EDB"/>
    <w:rsid w:val="003D0BF8"/>
    <w:rsid w:val="003E423D"/>
    <w:rsid w:val="0040080A"/>
    <w:rsid w:val="004132B7"/>
    <w:rsid w:val="00427DD2"/>
    <w:rsid w:val="0044122B"/>
    <w:rsid w:val="00453FA0"/>
    <w:rsid w:val="004563F6"/>
    <w:rsid w:val="00463457"/>
    <w:rsid w:val="0047218C"/>
    <w:rsid w:val="00473189"/>
    <w:rsid w:val="004752F0"/>
    <w:rsid w:val="00485538"/>
    <w:rsid w:val="004A60CB"/>
    <w:rsid w:val="004B5374"/>
    <w:rsid w:val="004C0D6B"/>
    <w:rsid w:val="004C3B64"/>
    <w:rsid w:val="004F1C9E"/>
    <w:rsid w:val="004F21C4"/>
    <w:rsid w:val="004F5E23"/>
    <w:rsid w:val="00501696"/>
    <w:rsid w:val="005164D3"/>
    <w:rsid w:val="005210D6"/>
    <w:rsid w:val="005253EF"/>
    <w:rsid w:val="00534F54"/>
    <w:rsid w:val="005538FE"/>
    <w:rsid w:val="00561383"/>
    <w:rsid w:val="005914F8"/>
    <w:rsid w:val="00592F0D"/>
    <w:rsid w:val="0059332D"/>
    <w:rsid w:val="00597DEF"/>
    <w:rsid w:val="005D6401"/>
    <w:rsid w:val="005E340C"/>
    <w:rsid w:val="005E3F95"/>
    <w:rsid w:val="005E4E77"/>
    <w:rsid w:val="005F170A"/>
    <w:rsid w:val="005F7D0C"/>
    <w:rsid w:val="00604ABC"/>
    <w:rsid w:val="00606F5B"/>
    <w:rsid w:val="0065629E"/>
    <w:rsid w:val="00660BC1"/>
    <w:rsid w:val="00665F81"/>
    <w:rsid w:val="0067752D"/>
    <w:rsid w:val="006B1645"/>
    <w:rsid w:val="006B622D"/>
    <w:rsid w:val="006B6D3F"/>
    <w:rsid w:val="006D1DE5"/>
    <w:rsid w:val="006D6033"/>
    <w:rsid w:val="006E3CD3"/>
    <w:rsid w:val="006F152E"/>
    <w:rsid w:val="0070540E"/>
    <w:rsid w:val="007149EF"/>
    <w:rsid w:val="00733A7E"/>
    <w:rsid w:val="00736518"/>
    <w:rsid w:val="00737BDD"/>
    <w:rsid w:val="00747148"/>
    <w:rsid w:val="00755DE6"/>
    <w:rsid w:val="00780486"/>
    <w:rsid w:val="007A1CFD"/>
    <w:rsid w:val="007A58EB"/>
    <w:rsid w:val="007A70B4"/>
    <w:rsid w:val="007C6337"/>
    <w:rsid w:val="007D1DB3"/>
    <w:rsid w:val="007D55D0"/>
    <w:rsid w:val="007E716B"/>
    <w:rsid w:val="007F070A"/>
    <w:rsid w:val="007F33EF"/>
    <w:rsid w:val="00806EBE"/>
    <w:rsid w:val="00811F6D"/>
    <w:rsid w:val="00813467"/>
    <w:rsid w:val="0081505B"/>
    <w:rsid w:val="00847ABD"/>
    <w:rsid w:val="00853EAA"/>
    <w:rsid w:val="008546A7"/>
    <w:rsid w:val="008674F0"/>
    <w:rsid w:val="008960D4"/>
    <w:rsid w:val="00896947"/>
    <w:rsid w:val="00897026"/>
    <w:rsid w:val="008D6258"/>
    <w:rsid w:val="008E3897"/>
    <w:rsid w:val="008E5B29"/>
    <w:rsid w:val="008E7F30"/>
    <w:rsid w:val="00900084"/>
    <w:rsid w:val="00915CB5"/>
    <w:rsid w:val="00940791"/>
    <w:rsid w:val="00957698"/>
    <w:rsid w:val="0096569D"/>
    <w:rsid w:val="0097123C"/>
    <w:rsid w:val="00985A2E"/>
    <w:rsid w:val="009861B2"/>
    <w:rsid w:val="00993AA2"/>
    <w:rsid w:val="0099522B"/>
    <w:rsid w:val="00996BC7"/>
    <w:rsid w:val="0099746E"/>
    <w:rsid w:val="009A1EA5"/>
    <w:rsid w:val="009A6FE2"/>
    <w:rsid w:val="009A7E14"/>
    <w:rsid w:val="009B6CCD"/>
    <w:rsid w:val="009D00EA"/>
    <w:rsid w:val="009D4465"/>
    <w:rsid w:val="009F1F79"/>
    <w:rsid w:val="009F5F5D"/>
    <w:rsid w:val="00A03478"/>
    <w:rsid w:val="00A04D45"/>
    <w:rsid w:val="00A22AAA"/>
    <w:rsid w:val="00A30D46"/>
    <w:rsid w:val="00A554F9"/>
    <w:rsid w:val="00A55867"/>
    <w:rsid w:val="00A70CE1"/>
    <w:rsid w:val="00A744DE"/>
    <w:rsid w:val="00A910DF"/>
    <w:rsid w:val="00AA1594"/>
    <w:rsid w:val="00AA1B8F"/>
    <w:rsid w:val="00AA2427"/>
    <w:rsid w:val="00AC7C36"/>
    <w:rsid w:val="00AD66CD"/>
    <w:rsid w:val="00AF4D71"/>
    <w:rsid w:val="00B077A2"/>
    <w:rsid w:val="00B1529E"/>
    <w:rsid w:val="00B17881"/>
    <w:rsid w:val="00B30B44"/>
    <w:rsid w:val="00B33BA6"/>
    <w:rsid w:val="00B52039"/>
    <w:rsid w:val="00B52532"/>
    <w:rsid w:val="00B556A5"/>
    <w:rsid w:val="00B954F1"/>
    <w:rsid w:val="00BA4B2A"/>
    <w:rsid w:val="00BA5607"/>
    <w:rsid w:val="00BC6710"/>
    <w:rsid w:val="00BF206D"/>
    <w:rsid w:val="00C068D9"/>
    <w:rsid w:val="00C1159A"/>
    <w:rsid w:val="00C12BFF"/>
    <w:rsid w:val="00C45EE2"/>
    <w:rsid w:val="00C546D1"/>
    <w:rsid w:val="00C54EC8"/>
    <w:rsid w:val="00CD0700"/>
    <w:rsid w:val="00CE2244"/>
    <w:rsid w:val="00CF550A"/>
    <w:rsid w:val="00D04DFB"/>
    <w:rsid w:val="00D12BB2"/>
    <w:rsid w:val="00D31144"/>
    <w:rsid w:val="00D45C33"/>
    <w:rsid w:val="00D943BC"/>
    <w:rsid w:val="00DB0F2A"/>
    <w:rsid w:val="00DB6856"/>
    <w:rsid w:val="00DC0C7B"/>
    <w:rsid w:val="00DC4B33"/>
    <w:rsid w:val="00DC781D"/>
    <w:rsid w:val="00DD4143"/>
    <w:rsid w:val="00DD4B6E"/>
    <w:rsid w:val="00DD6344"/>
    <w:rsid w:val="00DE4F9E"/>
    <w:rsid w:val="00DF6189"/>
    <w:rsid w:val="00DF6216"/>
    <w:rsid w:val="00E04A2C"/>
    <w:rsid w:val="00E20E4E"/>
    <w:rsid w:val="00E40F1E"/>
    <w:rsid w:val="00E53D0C"/>
    <w:rsid w:val="00E57724"/>
    <w:rsid w:val="00E71407"/>
    <w:rsid w:val="00E76CE0"/>
    <w:rsid w:val="00EA4837"/>
    <w:rsid w:val="00EC586E"/>
    <w:rsid w:val="00ED59C5"/>
    <w:rsid w:val="00F07AC3"/>
    <w:rsid w:val="00F22478"/>
    <w:rsid w:val="00F34822"/>
    <w:rsid w:val="00F42089"/>
    <w:rsid w:val="00F42920"/>
    <w:rsid w:val="00F53FC3"/>
    <w:rsid w:val="00F56794"/>
    <w:rsid w:val="00F74EA0"/>
    <w:rsid w:val="00F8390C"/>
    <w:rsid w:val="00FA1CA1"/>
    <w:rsid w:val="00FB6920"/>
    <w:rsid w:val="00FC4F8B"/>
    <w:rsid w:val="00FE3AD0"/>
    <w:rsid w:val="00FE45BD"/>
    <w:rsid w:val="00FE5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258"/>
  <w15:chartTrackingRefBased/>
  <w15:docId w15:val="{F5941DEA-C684-4490-857B-4B996AA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22B"/>
    <w:pPr>
      <w:ind w:left="720"/>
      <w:contextualSpacing/>
    </w:pPr>
  </w:style>
  <w:style w:type="character" w:styleId="Verwijzingopmerking">
    <w:name w:val="annotation reference"/>
    <w:basedOn w:val="Standaardalinea-lettertype"/>
    <w:uiPriority w:val="99"/>
    <w:semiHidden/>
    <w:unhideWhenUsed/>
    <w:rsid w:val="00364C7F"/>
    <w:rPr>
      <w:sz w:val="16"/>
      <w:szCs w:val="16"/>
    </w:rPr>
  </w:style>
  <w:style w:type="paragraph" w:styleId="Tekstopmerking">
    <w:name w:val="annotation text"/>
    <w:basedOn w:val="Standaard"/>
    <w:link w:val="TekstopmerkingChar"/>
    <w:uiPriority w:val="99"/>
    <w:semiHidden/>
    <w:unhideWhenUsed/>
    <w:rsid w:val="00364C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4C7F"/>
    <w:rPr>
      <w:sz w:val="20"/>
      <w:szCs w:val="20"/>
    </w:rPr>
  </w:style>
  <w:style w:type="paragraph" w:styleId="Onderwerpvanopmerking">
    <w:name w:val="annotation subject"/>
    <w:basedOn w:val="Tekstopmerking"/>
    <w:next w:val="Tekstopmerking"/>
    <w:link w:val="OnderwerpvanopmerkingChar"/>
    <w:uiPriority w:val="99"/>
    <w:semiHidden/>
    <w:unhideWhenUsed/>
    <w:rsid w:val="00364C7F"/>
    <w:rPr>
      <w:b/>
      <w:bCs/>
    </w:rPr>
  </w:style>
  <w:style w:type="character" w:customStyle="1" w:styleId="OnderwerpvanopmerkingChar">
    <w:name w:val="Onderwerp van opmerking Char"/>
    <w:basedOn w:val="TekstopmerkingChar"/>
    <w:link w:val="Onderwerpvanopmerking"/>
    <w:uiPriority w:val="99"/>
    <w:semiHidden/>
    <w:rsid w:val="00364C7F"/>
    <w:rPr>
      <w:b/>
      <w:bCs/>
      <w:sz w:val="20"/>
      <w:szCs w:val="20"/>
    </w:rPr>
  </w:style>
  <w:style w:type="paragraph" w:styleId="Ballontekst">
    <w:name w:val="Balloon Text"/>
    <w:basedOn w:val="Standaard"/>
    <w:link w:val="BallontekstChar"/>
    <w:uiPriority w:val="99"/>
    <w:semiHidden/>
    <w:unhideWhenUsed/>
    <w:rsid w:val="00364C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C7F"/>
    <w:rPr>
      <w:rFonts w:ascii="Segoe UI" w:hAnsi="Segoe UI" w:cs="Segoe UI"/>
      <w:sz w:val="18"/>
      <w:szCs w:val="18"/>
    </w:rPr>
  </w:style>
  <w:style w:type="paragraph" w:styleId="Plattetekst">
    <w:name w:val="Body Text"/>
    <w:basedOn w:val="Standaard"/>
    <w:link w:val="PlattetekstChar"/>
    <w:uiPriority w:val="99"/>
    <w:semiHidden/>
    <w:unhideWhenUsed/>
    <w:rsid w:val="00AA2427"/>
    <w:pPr>
      <w:spacing w:after="120" w:line="240" w:lineRule="auto"/>
    </w:pPr>
  </w:style>
  <w:style w:type="character" w:customStyle="1" w:styleId="PlattetekstChar">
    <w:name w:val="Platte tekst Char"/>
    <w:basedOn w:val="Standaardalinea-lettertype"/>
    <w:link w:val="Plattetekst"/>
    <w:uiPriority w:val="99"/>
    <w:semiHidden/>
    <w:rsid w:val="00AA2427"/>
  </w:style>
  <w:style w:type="table" w:styleId="Tabelraster">
    <w:name w:val="Table Grid"/>
    <w:basedOn w:val="Standaardtabel"/>
    <w:uiPriority w:val="39"/>
    <w:rsid w:val="00A9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6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1B2"/>
  </w:style>
  <w:style w:type="paragraph" w:styleId="Voettekst">
    <w:name w:val="footer"/>
    <w:basedOn w:val="Standaard"/>
    <w:link w:val="VoettekstChar"/>
    <w:uiPriority w:val="99"/>
    <w:unhideWhenUsed/>
    <w:rsid w:val="00986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1B2"/>
  </w:style>
  <w:style w:type="paragraph" w:styleId="Voetnoottekst">
    <w:name w:val="footnote text"/>
    <w:basedOn w:val="Standaard"/>
    <w:link w:val="VoetnoottekstChar"/>
    <w:uiPriority w:val="99"/>
    <w:semiHidden/>
    <w:unhideWhenUsed/>
    <w:rsid w:val="009861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61B2"/>
    <w:rPr>
      <w:sz w:val="20"/>
      <w:szCs w:val="20"/>
    </w:rPr>
  </w:style>
  <w:style w:type="character" w:styleId="Voetnootmarkering">
    <w:name w:val="footnote reference"/>
    <w:basedOn w:val="Standaardalinea-lettertype"/>
    <w:uiPriority w:val="99"/>
    <w:unhideWhenUsed/>
    <w:rsid w:val="009861B2"/>
    <w:rPr>
      <w:vertAlign w:val="superscript"/>
    </w:rPr>
  </w:style>
  <w:style w:type="paragraph" w:customStyle="1" w:styleId="Default">
    <w:name w:val="Default"/>
    <w:rsid w:val="005933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086">
      <w:bodyDiv w:val="1"/>
      <w:marLeft w:val="0"/>
      <w:marRight w:val="0"/>
      <w:marTop w:val="0"/>
      <w:marBottom w:val="0"/>
      <w:divBdr>
        <w:top w:val="none" w:sz="0" w:space="0" w:color="auto"/>
        <w:left w:val="none" w:sz="0" w:space="0" w:color="auto"/>
        <w:bottom w:val="none" w:sz="0" w:space="0" w:color="auto"/>
        <w:right w:val="none" w:sz="0" w:space="0" w:color="auto"/>
      </w:divBdr>
    </w:div>
    <w:div w:id="187453725">
      <w:bodyDiv w:val="1"/>
      <w:marLeft w:val="0"/>
      <w:marRight w:val="0"/>
      <w:marTop w:val="0"/>
      <w:marBottom w:val="0"/>
      <w:divBdr>
        <w:top w:val="none" w:sz="0" w:space="0" w:color="auto"/>
        <w:left w:val="none" w:sz="0" w:space="0" w:color="auto"/>
        <w:bottom w:val="none" w:sz="0" w:space="0" w:color="auto"/>
        <w:right w:val="none" w:sz="0" w:space="0" w:color="auto"/>
      </w:divBdr>
    </w:div>
    <w:div w:id="197164418">
      <w:bodyDiv w:val="1"/>
      <w:marLeft w:val="0"/>
      <w:marRight w:val="0"/>
      <w:marTop w:val="0"/>
      <w:marBottom w:val="0"/>
      <w:divBdr>
        <w:top w:val="none" w:sz="0" w:space="0" w:color="auto"/>
        <w:left w:val="none" w:sz="0" w:space="0" w:color="auto"/>
        <w:bottom w:val="none" w:sz="0" w:space="0" w:color="auto"/>
        <w:right w:val="none" w:sz="0" w:space="0" w:color="auto"/>
      </w:divBdr>
    </w:div>
    <w:div w:id="359822056">
      <w:bodyDiv w:val="1"/>
      <w:marLeft w:val="0"/>
      <w:marRight w:val="0"/>
      <w:marTop w:val="0"/>
      <w:marBottom w:val="0"/>
      <w:divBdr>
        <w:top w:val="none" w:sz="0" w:space="0" w:color="auto"/>
        <w:left w:val="none" w:sz="0" w:space="0" w:color="auto"/>
        <w:bottom w:val="none" w:sz="0" w:space="0" w:color="auto"/>
        <w:right w:val="none" w:sz="0" w:space="0" w:color="auto"/>
      </w:divBdr>
    </w:div>
    <w:div w:id="780952869">
      <w:bodyDiv w:val="1"/>
      <w:marLeft w:val="0"/>
      <w:marRight w:val="0"/>
      <w:marTop w:val="0"/>
      <w:marBottom w:val="0"/>
      <w:divBdr>
        <w:top w:val="none" w:sz="0" w:space="0" w:color="auto"/>
        <w:left w:val="none" w:sz="0" w:space="0" w:color="auto"/>
        <w:bottom w:val="none" w:sz="0" w:space="0" w:color="auto"/>
        <w:right w:val="none" w:sz="0" w:space="0" w:color="auto"/>
      </w:divBdr>
    </w:div>
    <w:div w:id="1019429446">
      <w:bodyDiv w:val="1"/>
      <w:marLeft w:val="0"/>
      <w:marRight w:val="0"/>
      <w:marTop w:val="0"/>
      <w:marBottom w:val="0"/>
      <w:divBdr>
        <w:top w:val="none" w:sz="0" w:space="0" w:color="auto"/>
        <w:left w:val="none" w:sz="0" w:space="0" w:color="auto"/>
        <w:bottom w:val="none" w:sz="0" w:space="0" w:color="auto"/>
        <w:right w:val="none" w:sz="0" w:space="0" w:color="auto"/>
      </w:divBdr>
    </w:div>
    <w:div w:id="1146892002">
      <w:bodyDiv w:val="1"/>
      <w:marLeft w:val="0"/>
      <w:marRight w:val="0"/>
      <w:marTop w:val="0"/>
      <w:marBottom w:val="0"/>
      <w:divBdr>
        <w:top w:val="none" w:sz="0" w:space="0" w:color="auto"/>
        <w:left w:val="none" w:sz="0" w:space="0" w:color="auto"/>
        <w:bottom w:val="none" w:sz="0" w:space="0" w:color="auto"/>
        <w:right w:val="none" w:sz="0" w:space="0" w:color="auto"/>
      </w:divBdr>
    </w:div>
    <w:div w:id="1203634542">
      <w:bodyDiv w:val="1"/>
      <w:marLeft w:val="0"/>
      <w:marRight w:val="0"/>
      <w:marTop w:val="0"/>
      <w:marBottom w:val="0"/>
      <w:divBdr>
        <w:top w:val="none" w:sz="0" w:space="0" w:color="auto"/>
        <w:left w:val="none" w:sz="0" w:space="0" w:color="auto"/>
        <w:bottom w:val="none" w:sz="0" w:space="0" w:color="auto"/>
        <w:right w:val="none" w:sz="0" w:space="0" w:color="auto"/>
      </w:divBdr>
    </w:div>
    <w:div w:id="1320887938">
      <w:bodyDiv w:val="1"/>
      <w:marLeft w:val="0"/>
      <w:marRight w:val="0"/>
      <w:marTop w:val="0"/>
      <w:marBottom w:val="0"/>
      <w:divBdr>
        <w:top w:val="none" w:sz="0" w:space="0" w:color="auto"/>
        <w:left w:val="none" w:sz="0" w:space="0" w:color="auto"/>
        <w:bottom w:val="none" w:sz="0" w:space="0" w:color="auto"/>
        <w:right w:val="none" w:sz="0" w:space="0" w:color="auto"/>
      </w:divBdr>
    </w:div>
    <w:div w:id="1649281430">
      <w:bodyDiv w:val="1"/>
      <w:marLeft w:val="0"/>
      <w:marRight w:val="0"/>
      <w:marTop w:val="0"/>
      <w:marBottom w:val="0"/>
      <w:divBdr>
        <w:top w:val="none" w:sz="0" w:space="0" w:color="auto"/>
        <w:left w:val="none" w:sz="0" w:space="0" w:color="auto"/>
        <w:bottom w:val="none" w:sz="0" w:space="0" w:color="auto"/>
        <w:right w:val="none" w:sz="0" w:space="0" w:color="auto"/>
      </w:divBdr>
    </w:div>
    <w:div w:id="20223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8A1D-A675-4E4B-BFA9-035BDC60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4306</Words>
  <Characters>23684</Characters>
  <Application>Microsoft Office Word</Application>
  <DocSecurity>0</DocSecurity>
  <Lines>197</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Demaret Olivier</dc:creator>
  <cp:keywords/>
  <dc:description/>
  <cp:lastModifiedBy>Vercruysse Brecht</cp:lastModifiedBy>
  <cp:revision>16</cp:revision>
  <cp:lastPrinted>2018-09-12T09:55:00Z</cp:lastPrinted>
  <dcterms:created xsi:type="dcterms:W3CDTF">2019-01-16T14:28:00Z</dcterms:created>
  <dcterms:modified xsi:type="dcterms:W3CDTF">2019-03-11T12:31:00Z</dcterms:modified>
</cp:coreProperties>
</file>