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AA85" w14:textId="77777777" w:rsidR="0023102D" w:rsidRDefault="0069381B" w:rsidP="0069381B">
      <w:pPr>
        <w:jc w:val="right"/>
        <w:rPr>
          <w:color w:val="0A3296"/>
          <w:sz w:val="20"/>
          <w:lang w:val="fr-BE"/>
        </w:rPr>
      </w:pPr>
      <w:r w:rsidRPr="000C58AB">
        <w:rPr>
          <w:color w:val="0A3296"/>
          <w:sz w:val="20"/>
          <w:lang w:val="fr-BE"/>
        </w:rPr>
        <w:t>Bru</w:t>
      </w:r>
      <w:r w:rsidR="000C58AB" w:rsidRPr="000C58AB">
        <w:rPr>
          <w:color w:val="0A3296"/>
          <w:sz w:val="20"/>
          <w:lang w:val="fr-BE"/>
        </w:rPr>
        <w:t>xelles</w:t>
      </w:r>
      <w:r w:rsidRPr="000C58AB">
        <w:rPr>
          <w:color w:val="0A3296"/>
          <w:sz w:val="20"/>
          <w:lang w:val="fr-BE"/>
        </w:rPr>
        <w:t xml:space="preserve">, </w:t>
      </w:r>
      <w:r w:rsidR="000C58AB" w:rsidRPr="000C58AB">
        <w:rPr>
          <w:color w:val="0A3296"/>
          <w:sz w:val="20"/>
          <w:lang w:val="fr-BE"/>
        </w:rPr>
        <w:t xml:space="preserve">le </w:t>
      </w:r>
      <w:r w:rsidR="00DD1F06" w:rsidRPr="000C58AB">
        <w:rPr>
          <w:color w:val="0A3296"/>
          <w:sz w:val="20"/>
          <w:lang w:val="fr-BE"/>
        </w:rPr>
        <w:t>30</w:t>
      </w:r>
      <w:r w:rsidR="000C58AB" w:rsidRPr="000C58AB">
        <w:rPr>
          <w:color w:val="0A3296"/>
          <w:sz w:val="20"/>
          <w:lang w:val="fr-BE"/>
        </w:rPr>
        <w:t xml:space="preserve"> juin</w:t>
      </w:r>
      <w:r w:rsidR="00DE24DC" w:rsidRPr="000C58AB">
        <w:rPr>
          <w:color w:val="0A3296"/>
          <w:sz w:val="20"/>
          <w:lang w:val="fr-BE"/>
        </w:rPr>
        <w:t xml:space="preserve"> </w:t>
      </w:r>
      <w:r w:rsidRPr="000C58AB">
        <w:rPr>
          <w:color w:val="0A3296"/>
          <w:sz w:val="20"/>
          <w:lang w:val="fr-BE"/>
        </w:rPr>
        <w:t>2018</w:t>
      </w:r>
    </w:p>
    <w:p w14:paraId="22CBD53C" w14:textId="77777777" w:rsidR="0023102D" w:rsidRDefault="00194543" w:rsidP="00E356CB">
      <w:pPr>
        <w:rPr>
          <w:i/>
          <w:color w:val="0A3296"/>
          <w:sz w:val="24"/>
          <w:lang w:val="fr-BE"/>
        </w:rPr>
      </w:pPr>
      <w:r w:rsidRPr="000A2AB9">
        <w:rPr>
          <w:i/>
          <w:noProof/>
          <w:color w:val="0A3296"/>
          <w:sz w:val="24"/>
          <w:lang w:val="en-US"/>
        </w:rPr>
        <mc:AlternateContent>
          <mc:Choice Requires="wps">
            <w:drawing>
              <wp:anchor distT="0" distB="0" distL="114300" distR="114300" simplePos="0" relativeHeight="251659264" behindDoc="0" locked="0" layoutInCell="1" allowOverlap="1" wp14:anchorId="732529BD" wp14:editId="73BF1A0A">
                <wp:simplePos x="0" y="0"/>
                <wp:positionH relativeFrom="column">
                  <wp:posOffset>2216150</wp:posOffset>
                </wp:positionH>
                <wp:positionV relativeFrom="paragraph">
                  <wp:posOffset>86360</wp:posOffset>
                </wp:positionV>
                <wp:extent cx="15176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51765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7994C"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6.8pt" to="29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" strokecolor="#4f81bd [3204]" strokeweight="1pt"/>
            </w:pict>
          </mc:Fallback>
        </mc:AlternateContent>
      </w:r>
    </w:p>
    <w:p w14:paraId="68DC5BCD" w14:textId="77777777" w:rsidR="0023102D" w:rsidRDefault="000C58AB" w:rsidP="0069381B">
      <w:pPr>
        <w:jc w:val="center"/>
        <w:rPr>
          <w:b/>
          <w:color w:val="0A3296"/>
          <w:sz w:val="26"/>
          <w:szCs w:val="26"/>
          <w:lang w:val="fr-BE"/>
        </w:rPr>
      </w:pPr>
      <w:r w:rsidRPr="000C58AB">
        <w:rPr>
          <w:b/>
          <w:color w:val="0A3296"/>
          <w:sz w:val="26"/>
          <w:szCs w:val="26"/>
          <w:lang w:val="fr-BE"/>
        </w:rPr>
        <w:t>Deuxième Communiqué de Presse</w:t>
      </w:r>
    </w:p>
    <w:p w14:paraId="5B32D28B" w14:textId="77777777" w:rsidR="0023102D" w:rsidRDefault="00194543" w:rsidP="0069381B">
      <w:pPr>
        <w:jc w:val="center"/>
        <w:rPr>
          <w:color w:val="0A3296"/>
          <w:lang w:val="fr-BE"/>
        </w:rPr>
      </w:pPr>
      <w:r w:rsidRPr="000A2AB9">
        <w:rPr>
          <w:i/>
          <w:noProof/>
          <w:color w:val="0A3296"/>
          <w:sz w:val="24"/>
          <w:lang w:val="en-US"/>
        </w:rPr>
        <mc:AlternateContent>
          <mc:Choice Requires="wps">
            <w:drawing>
              <wp:anchor distT="0" distB="0" distL="114300" distR="114300" simplePos="0" relativeHeight="251661312" behindDoc="0" locked="0" layoutInCell="1" allowOverlap="1" wp14:anchorId="0556DE82" wp14:editId="70A2D1DA">
                <wp:simplePos x="0" y="0"/>
                <wp:positionH relativeFrom="column">
                  <wp:posOffset>2216150</wp:posOffset>
                </wp:positionH>
                <wp:positionV relativeFrom="paragraph">
                  <wp:posOffset>53975</wp:posOffset>
                </wp:positionV>
                <wp:extent cx="15176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51765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B5187"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4.25pt" to="2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" strokecolor="#4f81bd [3204]" strokeweight="1pt"/>
            </w:pict>
          </mc:Fallback>
        </mc:AlternateContent>
      </w:r>
    </w:p>
    <w:p w14:paraId="47C3F4F7" w14:textId="77777777" w:rsidR="0023102D" w:rsidRDefault="0023102D" w:rsidP="0069381B">
      <w:pPr>
        <w:jc w:val="center"/>
        <w:rPr>
          <w:color w:val="0A3296"/>
          <w:lang w:val="fr-BE"/>
        </w:rPr>
      </w:pPr>
    </w:p>
    <w:p w14:paraId="70D36951" w14:textId="0797BBB6" w:rsidR="0023102D" w:rsidRPr="0076004C" w:rsidRDefault="0069381B" w:rsidP="0069381B">
      <w:pPr>
        <w:jc w:val="center"/>
        <w:rPr>
          <w:color w:val="0A3296"/>
          <w:sz w:val="24"/>
          <w:lang w:val="fr-BE"/>
        </w:rPr>
      </w:pPr>
      <w:r w:rsidRPr="0076004C">
        <w:rPr>
          <w:color w:val="0A3296"/>
          <w:sz w:val="24"/>
          <w:lang w:val="fr-BE"/>
        </w:rPr>
        <w:t xml:space="preserve">MSTyr15 </w:t>
      </w:r>
      <w:r w:rsidR="0076004C" w:rsidRPr="0076004C">
        <w:rPr>
          <w:color w:val="0A3296"/>
          <w:sz w:val="24"/>
          <w:lang w:val="fr-BE"/>
        </w:rPr>
        <w:t>a amélioré la fiabilité de l’étiquetage des pneumatiques</w:t>
      </w:r>
    </w:p>
    <w:p w14:paraId="797C2C27" w14:textId="77777777" w:rsidR="0023102D" w:rsidRPr="0076004C" w:rsidRDefault="0023102D" w:rsidP="0069381B">
      <w:pPr>
        <w:jc w:val="both"/>
        <w:rPr>
          <w:color w:val="0A3296"/>
          <w:sz w:val="24"/>
          <w:lang w:val="fr-BE"/>
        </w:rPr>
      </w:pPr>
    </w:p>
    <w:p w14:paraId="1EA521C8" w14:textId="0FA78B89" w:rsidR="0023102D" w:rsidRPr="003B51F5" w:rsidRDefault="001A47D4" w:rsidP="001A47D4">
      <w:pPr>
        <w:jc w:val="both"/>
        <w:rPr>
          <w:i/>
          <w:noProof/>
          <w:color w:val="000000"/>
          <w:sz w:val="20"/>
          <w:szCs w:val="21"/>
          <w:lang w:val="fr-BE"/>
        </w:rPr>
      </w:pPr>
      <w:r w:rsidRPr="003B51F5">
        <w:rPr>
          <w:i/>
          <w:noProof/>
          <w:color w:val="000000"/>
          <w:sz w:val="20"/>
          <w:szCs w:val="21"/>
          <w:lang w:val="fr-BE"/>
        </w:rPr>
        <w:t xml:space="preserve">Au cours des 28 derniers mois, les autorités de surveillance du marché de 14 Etats membres de l’UE et de la Turquie ont collaboré afin de mener à bien l'action de surveillance du marché 2015 (MSTyr15), sous la coordination de </w:t>
      </w:r>
      <w:hyperlink r:id="rId8" w:history="1">
        <w:r w:rsidRPr="003B51F5">
          <w:rPr>
            <w:rStyle w:val="Hyperlink"/>
            <w:i/>
            <w:noProof/>
            <w:sz w:val="20"/>
            <w:szCs w:val="21"/>
            <w:lang w:val="fr-BE"/>
          </w:rPr>
          <w:t>PROSAFE</w:t>
        </w:r>
      </w:hyperlink>
      <w:r w:rsidRPr="003B51F5">
        <w:rPr>
          <w:i/>
          <w:noProof/>
          <w:color w:val="000000"/>
          <w:sz w:val="20"/>
          <w:szCs w:val="21"/>
          <w:lang w:val="fr-BE"/>
        </w:rPr>
        <w:t>.</w:t>
      </w:r>
      <w:r w:rsidR="0069381B" w:rsidRPr="003B51F5">
        <w:rPr>
          <w:i/>
          <w:noProof/>
          <w:color w:val="000000"/>
          <w:sz w:val="20"/>
          <w:szCs w:val="21"/>
          <w:lang w:val="fr-BE"/>
        </w:rPr>
        <w:t xml:space="preserve"> </w:t>
      </w:r>
      <w:r w:rsidRPr="003B51F5">
        <w:rPr>
          <w:i/>
          <w:noProof/>
          <w:color w:val="000000"/>
          <w:sz w:val="20"/>
          <w:szCs w:val="21"/>
          <w:lang w:val="fr-BE"/>
        </w:rPr>
        <w:t xml:space="preserve">L'objectif de ce projet </w:t>
      </w:r>
      <w:hyperlink r:id="rId9" w:history="1">
        <w:r w:rsidRPr="003B51F5">
          <w:rPr>
            <w:rStyle w:val="Hyperlink"/>
            <w:i/>
            <w:noProof/>
            <w:sz w:val="20"/>
            <w:szCs w:val="21"/>
            <w:lang w:val="fr-BE"/>
          </w:rPr>
          <w:t>H2020</w:t>
        </w:r>
      </w:hyperlink>
      <w:r w:rsidRPr="003B51F5">
        <w:rPr>
          <w:i/>
          <w:noProof/>
          <w:color w:val="000000"/>
          <w:sz w:val="20"/>
          <w:szCs w:val="21"/>
          <w:lang w:val="fr-BE"/>
        </w:rPr>
        <w:t xml:space="preserve"> était d’améliorer le fonctionnement du marché intérieur de l’UE en veillant à ce que les mesures réglementaires des pneus soient effectivement appliquées.</w:t>
      </w:r>
    </w:p>
    <w:p w14:paraId="400DAB75" w14:textId="77777777" w:rsidR="0023102D" w:rsidRDefault="0023102D" w:rsidP="0069381B">
      <w:pPr>
        <w:jc w:val="both"/>
        <w:rPr>
          <w:i/>
          <w:noProof/>
          <w:color w:val="000000"/>
          <w:sz w:val="20"/>
          <w:szCs w:val="21"/>
          <w:lang w:val="fr-BE"/>
        </w:rPr>
      </w:pPr>
    </w:p>
    <w:p w14:paraId="67776B03" w14:textId="77777777" w:rsidR="0023102D" w:rsidRDefault="0023102D" w:rsidP="0069381B">
      <w:pPr>
        <w:jc w:val="both"/>
        <w:rPr>
          <w:sz w:val="20"/>
          <w:lang w:val="fr-BE"/>
        </w:rPr>
      </w:pPr>
    </w:p>
    <w:p w14:paraId="27D7CF8D" w14:textId="3EBA64F5" w:rsidR="0023102D" w:rsidRDefault="00054DB0" w:rsidP="005E1C64">
      <w:pPr>
        <w:jc w:val="both"/>
        <w:rPr>
          <w:noProof/>
          <w:sz w:val="20"/>
          <w:szCs w:val="21"/>
          <w:lang w:val="fr-BE"/>
        </w:rPr>
      </w:pPr>
      <w:hyperlink r:id="rId10" w:history="1">
        <w:r w:rsidR="001A47D4" w:rsidRPr="003B51F5">
          <w:rPr>
            <w:rStyle w:val="Hyperlink"/>
            <w:noProof/>
            <w:sz w:val="20"/>
            <w:szCs w:val="21"/>
            <w:lang w:val="fr-BE"/>
          </w:rPr>
          <w:t>MSTyr15</w:t>
        </w:r>
      </w:hyperlink>
      <w:r w:rsidR="001A47D4" w:rsidRPr="001A47D4">
        <w:rPr>
          <w:noProof/>
          <w:color w:val="000000"/>
          <w:sz w:val="20"/>
          <w:szCs w:val="21"/>
          <w:lang w:val="fr-BE"/>
        </w:rPr>
        <w:t>, financé par l</w:t>
      </w:r>
      <w:r w:rsidR="003B51F5">
        <w:rPr>
          <w:noProof/>
          <w:color w:val="000000"/>
          <w:sz w:val="20"/>
          <w:szCs w:val="21"/>
          <w:lang w:val="fr-BE"/>
        </w:rPr>
        <w:t>’</w:t>
      </w:r>
      <w:r w:rsidR="003B51F5" w:rsidRPr="00472776">
        <w:rPr>
          <w:rFonts w:cs="Calibri"/>
          <w:b/>
          <w:color w:val="0A3296"/>
          <w:sz w:val="20"/>
          <w:szCs w:val="21"/>
          <w:lang w:val="fr-BE"/>
        </w:rPr>
        <w:t>Union européenne</w:t>
      </w:r>
      <w:r w:rsidR="001A47D4" w:rsidRPr="001A47D4">
        <w:rPr>
          <w:noProof/>
          <w:color w:val="000000"/>
          <w:sz w:val="20"/>
          <w:szCs w:val="21"/>
          <w:lang w:val="fr-BE"/>
        </w:rPr>
        <w:t>, s'est déroulé de mars 2016 à fin juin 2018.</w:t>
      </w:r>
      <w:r w:rsidR="00EA4ABB" w:rsidRPr="001A47D4">
        <w:rPr>
          <w:noProof/>
          <w:sz w:val="20"/>
          <w:szCs w:val="21"/>
          <w:lang w:val="fr-BE"/>
        </w:rPr>
        <w:t xml:space="preserve"> </w:t>
      </w:r>
      <w:r w:rsidR="005E1C64" w:rsidRPr="005E1C64">
        <w:rPr>
          <w:noProof/>
          <w:color w:val="000000"/>
          <w:sz w:val="20"/>
          <w:szCs w:val="21"/>
          <w:lang w:val="fr-BE"/>
        </w:rPr>
        <w:t>Les pays participants étaient les suivants : Belgique, Bulgarie, Croatie, Estonie, Finlande, Allemagne, Irlande, Lettonie, Lituanie, Luxembourg, Pologne, Roumanie, Espagne, Suède et Turquie.</w:t>
      </w:r>
    </w:p>
    <w:p w14:paraId="1D4225F9" w14:textId="77777777" w:rsidR="0023102D" w:rsidRDefault="0023102D" w:rsidP="0069381B">
      <w:pPr>
        <w:pStyle w:val="Tekstopmerking"/>
        <w:jc w:val="both"/>
        <w:rPr>
          <w:lang w:val="fr-BE"/>
        </w:rPr>
      </w:pPr>
    </w:p>
    <w:p w14:paraId="5307DB3E" w14:textId="77777777" w:rsidR="0023102D" w:rsidRDefault="005E1C64" w:rsidP="00691EE1">
      <w:pPr>
        <w:pStyle w:val="Tekstopmerking"/>
        <w:jc w:val="both"/>
        <w:rPr>
          <w:rFonts w:cs="Calibri"/>
          <w:szCs w:val="21"/>
          <w:lang w:val="fr-BE"/>
        </w:rPr>
      </w:pPr>
      <w:r w:rsidRPr="005E1C64">
        <w:rPr>
          <w:rFonts w:cs="Calibri"/>
          <w:color w:val="000000"/>
          <w:szCs w:val="21"/>
          <w:lang w:val="fr-BE"/>
        </w:rPr>
        <w:t>Les autorités de surveillance du marché (ASM) participantes ont inspecté au total 12 241 étiquettes de pneumatiques de voiture classe C1 dans le but de vérifier leur conformité aux normes réglementaires européennes.</w:t>
      </w:r>
      <w:r w:rsidR="00176AB5" w:rsidRPr="005E1C64">
        <w:rPr>
          <w:rFonts w:cs="Calibri"/>
          <w:szCs w:val="21"/>
          <w:lang w:val="fr-BE"/>
        </w:rPr>
        <w:t xml:space="preserve"> </w:t>
      </w:r>
      <w:r w:rsidR="00A15DEB" w:rsidRPr="00A15DEB">
        <w:rPr>
          <w:rFonts w:cs="Calibri"/>
          <w:color w:val="000000"/>
          <w:szCs w:val="21"/>
          <w:lang w:val="fr-BE"/>
        </w:rPr>
        <w:t>Partant d'une étude de marché de l'UE, les inspections ont été réalisées sur des pneumatiques à la fois dans des conditions météorologiques normales et extrêmes.</w:t>
      </w:r>
      <w:r w:rsidR="00176AB5" w:rsidRPr="00A15DEB">
        <w:rPr>
          <w:rFonts w:cs="Calibri"/>
          <w:szCs w:val="21"/>
          <w:lang w:val="fr-BE"/>
        </w:rPr>
        <w:t xml:space="preserve"> </w:t>
      </w:r>
      <w:r w:rsidR="00A15DEB" w:rsidRPr="00A15DEB">
        <w:rPr>
          <w:rFonts w:cs="Calibri"/>
          <w:color w:val="000000"/>
          <w:szCs w:val="21"/>
          <w:lang w:val="fr-BE"/>
        </w:rPr>
        <w:t>2888 pneumatiques (23,5%) ont été inspectés sur des sites en ligne, et 627 d'entre eux (21,7%) n'étaient pas conformes.</w:t>
      </w:r>
      <w:r w:rsidR="00176AB5" w:rsidRPr="00A15DEB">
        <w:rPr>
          <w:rFonts w:cs="Calibri"/>
          <w:szCs w:val="21"/>
          <w:lang w:val="fr-BE"/>
        </w:rPr>
        <w:t xml:space="preserve"> </w:t>
      </w:r>
      <w:r w:rsidR="00A15DEB" w:rsidRPr="00A15DEB">
        <w:rPr>
          <w:rFonts w:cs="Calibri"/>
          <w:color w:val="000000"/>
          <w:szCs w:val="21"/>
          <w:lang w:val="fr-BE"/>
        </w:rPr>
        <w:t xml:space="preserve">Les inspecteurs se sont également rendus dans des dépôts de pneus : sur les 9353 pneumatiques inspectés, 568 (6,1%) se sont avérés non conformes. </w:t>
      </w:r>
      <w:r w:rsidR="001A7CD2" w:rsidRPr="00A15DEB">
        <w:rPr>
          <w:rFonts w:cs="Calibri"/>
          <w:szCs w:val="21"/>
          <w:lang w:val="fr-BE"/>
        </w:rPr>
        <w:t xml:space="preserve"> </w:t>
      </w:r>
      <w:r w:rsidR="00691EE1" w:rsidRPr="00691EE1">
        <w:rPr>
          <w:rFonts w:cs="Calibri"/>
          <w:color w:val="000000"/>
          <w:szCs w:val="21"/>
          <w:lang w:val="fr-BE"/>
        </w:rPr>
        <w:t>Les principales non-conformités portaient sur l'absence d'étiquette ou sur le mauvais format d'étiquette.</w:t>
      </w:r>
    </w:p>
    <w:p w14:paraId="6F72CC03" w14:textId="77777777" w:rsidR="0023102D" w:rsidRDefault="0023102D" w:rsidP="00176AB5">
      <w:pPr>
        <w:pStyle w:val="Tekstopmerking"/>
        <w:jc w:val="both"/>
        <w:rPr>
          <w:rFonts w:cs="Calibri"/>
          <w:szCs w:val="21"/>
          <w:lang w:val="fr-BE"/>
        </w:rPr>
      </w:pPr>
    </w:p>
    <w:p w14:paraId="61301FFF" w14:textId="77777777" w:rsidR="0023102D" w:rsidRDefault="00691EE1" w:rsidP="00C228E9">
      <w:pPr>
        <w:pStyle w:val="Tekstopmerking"/>
        <w:jc w:val="both"/>
        <w:rPr>
          <w:rFonts w:cs="Calibri"/>
          <w:szCs w:val="21"/>
          <w:lang w:val="fr-BE"/>
        </w:rPr>
      </w:pPr>
      <w:r w:rsidRPr="00691EE1">
        <w:rPr>
          <w:color w:val="000000"/>
          <w:lang w:val="fr-BE"/>
        </w:rPr>
        <w:t>Un échantillon de 131 pneumatiques de voiture a été envoyé à un laboratoire agréé pour évaluer leur conformité au Règlement (CE) 1222/2009</w:t>
      </w:r>
      <w:r>
        <w:rPr>
          <w:rStyle w:val="Voetnootmarkering"/>
          <w:color w:val="000000"/>
        </w:rPr>
        <w:footnoteReference w:id="1"/>
      </w:r>
      <w:r w:rsidRPr="00691EE1">
        <w:rPr>
          <w:color w:val="000000"/>
          <w:lang w:val="fr-BE"/>
        </w:rPr>
        <w:t xml:space="preserve"> de la Commission européenne en termes d'adhérence sur sol mouillé et de résistance au roulement.</w:t>
      </w:r>
      <w:r w:rsidR="00670276" w:rsidRPr="00691EE1">
        <w:rPr>
          <w:lang w:val="fr-BE"/>
        </w:rPr>
        <w:t xml:space="preserve"> </w:t>
      </w:r>
      <w:r w:rsidR="00C228E9" w:rsidRPr="00C228E9">
        <w:rPr>
          <w:color w:val="000000"/>
          <w:lang w:val="fr-BE"/>
        </w:rPr>
        <w:t xml:space="preserve">À la suite d'essais répétés, cinq </w:t>
      </w:r>
      <w:r w:rsidR="00FB1C75">
        <w:rPr>
          <w:color w:val="000000"/>
          <w:lang w:val="fr-BE"/>
        </w:rPr>
        <w:t xml:space="preserve">(5) </w:t>
      </w:r>
      <w:r w:rsidR="00C228E9" w:rsidRPr="00C228E9">
        <w:rPr>
          <w:color w:val="000000"/>
          <w:lang w:val="fr-BE"/>
        </w:rPr>
        <w:t xml:space="preserve">modèles (3,8%) ont été jugés non conformes en ce qui concerne l'adhérence sur sol mouillé, tandis que neuf </w:t>
      </w:r>
      <w:r w:rsidR="00FB1C75">
        <w:rPr>
          <w:color w:val="000000"/>
          <w:lang w:val="fr-BE"/>
        </w:rPr>
        <w:t xml:space="preserve">(9) </w:t>
      </w:r>
      <w:r w:rsidR="00C228E9" w:rsidRPr="00C228E9">
        <w:rPr>
          <w:color w:val="000000"/>
          <w:lang w:val="fr-BE"/>
        </w:rPr>
        <w:t>modèles (6,9%) ne respectaient pas les critères de résistance au roulement.</w:t>
      </w:r>
      <w:r w:rsidR="009D195C" w:rsidRPr="00C228E9">
        <w:rPr>
          <w:rFonts w:cs="Calibri"/>
          <w:szCs w:val="21"/>
          <w:lang w:val="fr-BE"/>
        </w:rPr>
        <w:t xml:space="preserve"> </w:t>
      </w:r>
      <w:r w:rsidR="00C228E9" w:rsidRPr="00C228E9">
        <w:rPr>
          <w:rFonts w:cs="Calibri"/>
          <w:color w:val="000000"/>
          <w:szCs w:val="21"/>
          <w:lang w:val="fr-BE"/>
        </w:rPr>
        <w:t>Aucun pneu n'a échoué à la fois pour l'adhérence sur sol mouillé et pour la résistance au roulement.</w:t>
      </w:r>
    </w:p>
    <w:p w14:paraId="0E485700" w14:textId="77777777" w:rsidR="0023102D" w:rsidRDefault="0023102D" w:rsidP="00176AB5">
      <w:pPr>
        <w:pStyle w:val="Tekstopmerking"/>
        <w:jc w:val="both"/>
        <w:rPr>
          <w:rFonts w:cs="Calibri"/>
          <w:sz w:val="18"/>
          <w:szCs w:val="21"/>
          <w:lang w:val="fr-BE"/>
        </w:rPr>
      </w:pPr>
    </w:p>
    <w:p w14:paraId="5B329A86" w14:textId="77777777" w:rsidR="0023102D" w:rsidRDefault="006B14A8" w:rsidP="006B14A8">
      <w:pPr>
        <w:jc w:val="both"/>
        <w:rPr>
          <w:rFonts w:cs="Calibri"/>
          <w:sz w:val="20"/>
          <w:szCs w:val="20"/>
          <w:lang w:val="fr-BE"/>
        </w:rPr>
      </w:pPr>
      <w:r w:rsidRPr="006B14A8">
        <w:rPr>
          <w:rFonts w:cs="Calibri"/>
          <w:color w:val="000000"/>
          <w:sz w:val="20"/>
          <w:szCs w:val="20"/>
          <w:lang w:val="fr-BE"/>
        </w:rPr>
        <w:t>Par ailleurs, 38% (334) des 876 dossiers de documentation technique examinés étaient incomplets ou n'ont pas été fournis à temps.</w:t>
      </w:r>
      <w:r w:rsidR="00176AB5" w:rsidRPr="006B14A8">
        <w:rPr>
          <w:rFonts w:cs="Calibri"/>
          <w:sz w:val="20"/>
          <w:szCs w:val="20"/>
          <w:lang w:val="fr-BE"/>
        </w:rPr>
        <w:t xml:space="preserve"> </w:t>
      </w:r>
    </w:p>
    <w:p w14:paraId="3F5EE683" w14:textId="77777777" w:rsidR="0023102D" w:rsidRDefault="0023102D" w:rsidP="00542FC5">
      <w:pPr>
        <w:jc w:val="both"/>
        <w:rPr>
          <w:rFonts w:cs="Calibri"/>
          <w:szCs w:val="21"/>
          <w:lang w:val="fr-BE"/>
        </w:rPr>
      </w:pPr>
    </w:p>
    <w:p w14:paraId="35511D8E" w14:textId="77777777" w:rsidR="0023102D" w:rsidRDefault="0097741F" w:rsidP="005700EC">
      <w:pPr>
        <w:jc w:val="both"/>
        <w:rPr>
          <w:rFonts w:cs="Calibri"/>
          <w:sz w:val="20"/>
          <w:szCs w:val="20"/>
          <w:lang w:val="fr-BE"/>
        </w:rPr>
      </w:pPr>
      <w:r w:rsidRPr="0097741F">
        <w:rPr>
          <w:rFonts w:cs="Calibri"/>
          <w:color w:val="000000"/>
          <w:sz w:val="20"/>
          <w:szCs w:val="20"/>
          <w:lang w:val="fr-BE"/>
        </w:rPr>
        <w:t>Suite à ces inspections, aucun pneumatique n'a dû être retiré du marché.</w:t>
      </w:r>
      <w:r w:rsidR="00542FC5" w:rsidRPr="0097741F">
        <w:rPr>
          <w:rFonts w:cs="Calibri"/>
          <w:sz w:val="20"/>
          <w:szCs w:val="20"/>
          <w:lang w:val="fr-BE"/>
        </w:rPr>
        <w:t xml:space="preserve"> </w:t>
      </w:r>
      <w:r w:rsidR="005700EC" w:rsidRPr="005700EC">
        <w:rPr>
          <w:rFonts w:cs="Calibri"/>
          <w:color w:val="000000"/>
          <w:sz w:val="20"/>
          <w:szCs w:val="20"/>
          <w:lang w:val="fr-BE"/>
        </w:rPr>
        <w:t>Cependant, une série de mesures visant à faire respecter l'application des dispositions réglementaires ont été adoptées, dont notamment un total de 1122 courriers adressés aux opérateurs économiques, les enjoignant de prendre des mesures correctives. Dans 240 autres cas, les opérateurs économiques ont pris d'eux-mêmes des mesures en vue de remédier aux non-conformités.</w:t>
      </w:r>
      <w:r w:rsidR="00542FC5" w:rsidRPr="005700EC">
        <w:rPr>
          <w:rFonts w:cs="Calibri"/>
          <w:sz w:val="20"/>
          <w:szCs w:val="20"/>
          <w:lang w:val="fr-BE"/>
        </w:rPr>
        <w:t xml:space="preserve"> </w:t>
      </w:r>
      <w:r w:rsidR="005700EC" w:rsidRPr="005700EC">
        <w:rPr>
          <w:rFonts w:cs="Calibri"/>
          <w:color w:val="000000"/>
          <w:sz w:val="20"/>
          <w:szCs w:val="20"/>
          <w:lang w:val="fr-BE"/>
        </w:rPr>
        <w:t>Notons que dans de nombreux cas, un courrier concernait plusieurs modèles de pneumatiques.</w:t>
      </w:r>
      <w:r w:rsidR="00542FC5" w:rsidRPr="005700EC">
        <w:rPr>
          <w:rFonts w:cs="Calibri"/>
          <w:sz w:val="20"/>
          <w:szCs w:val="20"/>
          <w:lang w:val="fr-BE"/>
        </w:rPr>
        <w:t xml:space="preserve"> </w:t>
      </w:r>
      <w:r w:rsidR="005700EC" w:rsidRPr="005700EC">
        <w:rPr>
          <w:rFonts w:cs="Calibri"/>
          <w:color w:val="000000"/>
          <w:sz w:val="20"/>
          <w:szCs w:val="20"/>
          <w:lang w:val="fr-BE"/>
        </w:rPr>
        <w:t>À titre d'exemple : une autorité a envoyé 39 courriers, lesquels concernaient 236 pneus.</w:t>
      </w:r>
      <w:r w:rsidR="00A43E32" w:rsidRPr="005700EC">
        <w:rPr>
          <w:rFonts w:cs="Calibri"/>
          <w:sz w:val="20"/>
          <w:szCs w:val="20"/>
          <w:lang w:val="fr-BE"/>
        </w:rPr>
        <w:t xml:space="preserve"> </w:t>
      </w:r>
    </w:p>
    <w:p w14:paraId="66826BCC" w14:textId="77777777" w:rsidR="0023102D" w:rsidRDefault="0047058B" w:rsidP="0047058B">
      <w:pPr>
        <w:jc w:val="both"/>
        <w:rPr>
          <w:rFonts w:cs="Calibri"/>
          <w:sz w:val="20"/>
          <w:szCs w:val="20"/>
          <w:lang w:val="fr-BE"/>
        </w:rPr>
      </w:pPr>
      <w:r w:rsidRPr="0047058B">
        <w:rPr>
          <w:rFonts w:cs="Calibri"/>
          <w:color w:val="000000"/>
          <w:sz w:val="20"/>
          <w:szCs w:val="20"/>
          <w:lang w:val="fr-BE"/>
        </w:rPr>
        <w:t>En outre, il convient de préciser qu'en raison de la nature du processus de surveillance du marché et de ce marché particulier, lesdites mesures peuvent prendre des mois et s'étendre au-delà du calendrier de la présente Action conjointe.</w:t>
      </w:r>
      <w:r w:rsidR="00A43E32" w:rsidRPr="0047058B">
        <w:rPr>
          <w:rFonts w:cs="Calibri"/>
          <w:sz w:val="20"/>
          <w:szCs w:val="20"/>
          <w:lang w:val="fr-BE"/>
        </w:rPr>
        <w:t xml:space="preserve"> </w:t>
      </w:r>
    </w:p>
    <w:p w14:paraId="346E64A6" w14:textId="77777777" w:rsidR="0023102D" w:rsidRDefault="0023102D" w:rsidP="00176AB5">
      <w:pPr>
        <w:pStyle w:val="Tekstopmerking"/>
        <w:jc w:val="both"/>
        <w:rPr>
          <w:rFonts w:cs="Calibri"/>
          <w:szCs w:val="21"/>
          <w:lang w:val="fr-BE"/>
        </w:rPr>
      </w:pPr>
    </w:p>
    <w:p w14:paraId="5867AD2A" w14:textId="77777777" w:rsidR="0023102D" w:rsidRDefault="0047058B" w:rsidP="00FB1C75">
      <w:pPr>
        <w:pStyle w:val="Tekstopmerking"/>
        <w:jc w:val="both"/>
        <w:rPr>
          <w:lang w:val="fr-BE"/>
        </w:rPr>
      </w:pPr>
      <w:r w:rsidRPr="0047058B">
        <w:rPr>
          <w:rFonts w:cs="Calibri"/>
          <w:color w:val="000000"/>
          <w:lang w:val="fr-BE"/>
        </w:rPr>
        <w:t>MSTyr15 a été un projet novateur en termes de collecte de données de surveillance du marché, dans la mesure où un nouveau logiciel de base de données sur mesure a été mis au point.</w:t>
      </w:r>
      <w:r w:rsidR="00E76126" w:rsidRPr="0047058B">
        <w:rPr>
          <w:rFonts w:cs="Calibri"/>
          <w:lang w:val="fr-BE"/>
        </w:rPr>
        <w:t xml:space="preserve"> </w:t>
      </w:r>
      <w:r w:rsidR="00094193" w:rsidRPr="00094193">
        <w:rPr>
          <w:rFonts w:cs="Calibri"/>
          <w:color w:val="000000"/>
          <w:lang w:val="fr-BE"/>
        </w:rPr>
        <w:t>Cette base de données a contribué à harmoniser les mesures à prendre par les Etats membres et, ce faisant, à renforcer la fiabilité du marché et la confiance des consommateurs.</w:t>
      </w:r>
      <w:r w:rsidR="00A12882" w:rsidRPr="00094193">
        <w:rPr>
          <w:rFonts w:cs="Calibri"/>
          <w:lang w:val="fr-BE"/>
        </w:rPr>
        <w:t xml:space="preserve"> </w:t>
      </w:r>
      <w:r w:rsidR="00094193" w:rsidRPr="00094193">
        <w:rPr>
          <w:rFonts w:cs="Calibri"/>
          <w:color w:val="000000"/>
          <w:lang w:val="fr-BE"/>
        </w:rPr>
        <w:t xml:space="preserve">Ces résultats viendront </w:t>
      </w:r>
      <w:r w:rsidR="00094193" w:rsidRPr="00094193">
        <w:rPr>
          <w:rFonts w:cs="Calibri"/>
          <w:color w:val="000000"/>
          <w:lang w:val="fr-BE"/>
        </w:rPr>
        <w:lastRenderedPageBreak/>
        <w:t>directement alimenter le système ICSMS</w:t>
      </w:r>
      <w:r w:rsidR="00094193">
        <w:rPr>
          <w:rStyle w:val="Voetnootmarkering"/>
          <w:rFonts w:cs="Calibri"/>
          <w:color w:val="000000"/>
          <w:lang w:val="fr-BE"/>
        </w:rPr>
        <w:footnoteReference w:id="2"/>
      </w:r>
      <w:r w:rsidR="00094193" w:rsidRPr="00094193">
        <w:rPr>
          <w:rFonts w:cs="Calibri"/>
          <w:color w:val="000000"/>
          <w:lang w:val="fr-BE"/>
        </w:rPr>
        <w:t xml:space="preserve"> et seront partagés avec tous les ASM en Europe afin que des mesures correctives puissent être prises sans tarder, permettant ainsi d'économiser d'importants coûts d'inspection au niveau européen.</w:t>
      </w:r>
      <w:r w:rsidR="00066B83" w:rsidRPr="00094193">
        <w:rPr>
          <w:rFonts w:cs="Calibri"/>
          <w:lang w:val="fr-BE"/>
        </w:rPr>
        <w:t xml:space="preserve"> </w:t>
      </w:r>
      <w:r w:rsidR="00FB1C75" w:rsidRPr="00FB1C75">
        <w:rPr>
          <w:rFonts w:cs="Calibri"/>
          <w:color w:val="000000"/>
          <w:lang w:val="fr-BE"/>
        </w:rPr>
        <w:t>La base de données ainsi que les recommandations de bonne pratique (</w:t>
      </w:r>
      <w:r w:rsidR="00FB1C75" w:rsidRPr="00FB1C75">
        <w:rPr>
          <w:rFonts w:cs="Calibri"/>
          <w:i/>
          <w:color w:val="000000"/>
          <w:lang w:val="fr-BE"/>
        </w:rPr>
        <w:t>Best Practice Guidelines</w:t>
      </w:r>
      <w:r w:rsidR="00FB1C75" w:rsidRPr="00FB1C75">
        <w:rPr>
          <w:rFonts w:cs="Calibri"/>
          <w:color w:val="000000"/>
          <w:lang w:val="fr-BE"/>
        </w:rPr>
        <w:t xml:space="preserve">) adoptées garantiront une démarche rentable et cohérente en matière d'échange de connaissances en temps réel entre ASM sur le continent européen. </w:t>
      </w:r>
      <w:r w:rsidR="00176AB5" w:rsidRPr="00FB1C75">
        <w:rPr>
          <w:rFonts w:cs="Calibri"/>
          <w:lang w:val="fr-BE"/>
        </w:rPr>
        <w:t xml:space="preserve"> </w:t>
      </w:r>
    </w:p>
    <w:p w14:paraId="1C6AFFE6" w14:textId="77777777" w:rsidR="0023102D" w:rsidRDefault="0023102D" w:rsidP="00206383">
      <w:pPr>
        <w:jc w:val="both"/>
        <w:rPr>
          <w:rFonts w:cs="Calibri"/>
          <w:sz w:val="10"/>
          <w:szCs w:val="20"/>
          <w:lang w:val="fr-BE"/>
        </w:rPr>
      </w:pPr>
    </w:p>
    <w:p w14:paraId="4FE7D3A6" w14:textId="77777777" w:rsidR="0023102D" w:rsidRDefault="0023102D" w:rsidP="00206383">
      <w:pPr>
        <w:jc w:val="both"/>
        <w:rPr>
          <w:rFonts w:cs="Calibri"/>
          <w:sz w:val="2"/>
          <w:szCs w:val="20"/>
          <w:lang w:val="fr-BE"/>
        </w:rPr>
      </w:pPr>
    </w:p>
    <w:p w14:paraId="648A3EF4" w14:textId="77777777" w:rsidR="0023102D" w:rsidRDefault="00626A87" w:rsidP="00626A87">
      <w:pPr>
        <w:jc w:val="both"/>
        <w:rPr>
          <w:noProof/>
          <w:sz w:val="20"/>
          <w:szCs w:val="21"/>
          <w:lang w:val="fr-BE"/>
        </w:rPr>
      </w:pPr>
      <w:r w:rsidRPr="00626A87">
        <w:rPr>
          <w:noProof/>
          <w:color w:val="000000"/>
          <w:sz w:val="20"/>
          <w:szCs w:val="21"/>
          <w:lang w:val="fr-BE"/>
        </w:rPr>
        <w:t>De plus, dans le cadre de MSTyr15, et afin de développer les compétences nécessaires à ce projet, des vidéos destinées à former les inspecteurs au contrôle des étiquettes ont été réalisées dans 15 langues, et deux (2) ateliers de formation ont été organisés pour préparer les participants à l'utilisation du nouveau logiciel.</w:t>
      </w:r>
    </w:p>
    <w:p w14:paraId="1697D3E8" w14:textId="77777777" w:rsidR="0023102D" w:rsidRDefault="00626A87" w:rsidP="006D67E3">
      <w:pPr>
        <w:jc w:val="both"/>
        <w:rPr>
          <w:noProof/>
          <w:sz w:val="20"/>
          <w:szCs w:val="21"/>
          <w:lang w:val="fr-BE"/>
        </w:rPr>
      </w:pPr>
      <w:r w:rsidRPr="00626A87">
        <w:rPr>
          <w:noProof/>
          <w:color w:val="000000"/>
          <w:sz w:val="20"/>
          <w:szCs w:val="21"/>
          <w:lang w:val="fr-BE"/>
        </w:rPr>
        <w:t>En termes de diffusion et d'exploitation, MSTyr15 a fait en sorte que les fournisseurs de pneumatiques soient dûment informés de leurs responsabilités quant à la visibilité de l'étiquette.</w:t>
      </w:r>
      <w:r w:rsidR="00E275C6" w:rsidRPr="00626A87">
        <w:rPr>
          <w:noProof/>
          <w:sz w:val="20"/>
          <w:szCs w:val="21"/>
          <w:lang w:val="fr-BE"/>
        </w:rPr>
        <w:t xml:space="preserve"> </w:t>
      </w:r>
      <w:r w:rsidR="006D67E3" w:rsidRPr="006D67E3">
        <w:rPr>
          <w:noProof/>
          <w:color w:val="000000"/>
          <w:sz w:val="20"/>
          <w:szCs w:val="21"/>
          <w:lang w:val="fr-BE"/>
        </w:rPr>
        <w:t>La publication des résultats du projet devrait également permettre de sensibiliser davantage les consommateurs à choisir des pneumatiques plus efficaces et plus sûrs.</w:t>
      </w:r>
    </w:p>
    <w:p w14:paraId="59A92C65" w14:textId="77777777" w:rsidR="0023102D" w:rsidRDefault="0023102D" w:rsidP="00176AB5">
      <w:pPr>
        <w:jc w:val="both"/>
        <w:rPr>
          <w:rFonts w:cs="Calibri"/>
          <w:sz w:val="18"/>
          <w:szCs w:val="20"/>
          <w:lang w:val="fr-BE"/>
        </w:rPr>
      </w:pPr>
    </w:p>
    <w:p w14:paraId="3A20354C" w14:textId="5AD47573" w:rsidR="0023102D" w:rsidRDefault="00A47EBC" w:rsidP="00B70D2E">
      <w:pPr>
        <w:pStyle w:val="Tekstopmerking"/>
        <w:jc w:val="both"/>
        <w:rPr>
          <w:lang w:val="fr-BE"/>
        </w:rPr>
      </w:pPr>
      <w:r w:rsidRPr="00A47EBC">
        <w:rPr>
          <w:color w:val="000000"/>
          <w:lang w:val="fr-BE"/>
        </w:rPr>
        <w:t>Dans un souci de mieux faire connaître encore les résultats, MSTyr15 a été présenté lors de deux conférences internationales majeures (</w:t>
      </w:r>
      <w:hyperlink r:id="rId11" w:history="1">
        <w:r w:rsidRPr="00B802A1">
          <w:rPr>
            <w:rStyle w:val="Hyperlink"/>
            <w:lang w:val="fr-BE"/>
          </w:rPr>
          <w:t>WSED2018</w:t>
        </w:r>
      </w:hyperlink>
      <w:r w:rsidRPr="00A47EBC">
        <w:rPr>
          <w:color w:val="000000"/>
          <w:lang w:val="fr-BE"/>
        </w:rPr>
        <w:t xml:space="preserve"> et </w:t>
      </w:r>
      <w:hyperlink r:id="rId12" w:history="1">
        <w:r w:rsidRPr="00B802A1">
          <w:rPr>
            <w:rStyle w:val="Hyperlink"/>
            <w:lang w:val="fr-BE"/>
          </w:rPr>
          <w:t>EUSEW18</w:t>
        </w:r>
      </w:hyperlink>
      <w:r w:rsidRPr="00A47EBC">
        <w:rPr>
          <w:color w:val="000000"/>
          <w:lang w:val="fr-BE"/>
        </w:rPr>
        <w:t>).</w:t>
      </w:r>
      <w:r w:rsidR="006D67ED" w:rsidRPr="00A47EBC">
        <w:rPr>
          <w:lang w:val="fr-BE"/>
        </w:rPr>
        <w:t xml:space="preserve"> </w:t>
      </w:r>
      <w:r w:rsidR="00B70D2E" w:rsidRPr="00B70D2E">
        <w:rPr>
          <w:color w:val="000000"/>
          <w:lang w:val="fr-BE"/>
        </w:rPr>
        <w:t>Cela atteste une nouvelle fois de l'engagement fort et cohérent du consortium à optimiser les ressources, en veillant à ce que les fonds européens mis à disposition pour la mise en œuvre de projets de surveillance du marché portent leurs fruits en termes d'impact sur le marché et sur les consommateurs.</w:t>
      </w:r>
    </w:p>
    <w:p w14:paraId="00A96A4C" w14:textId="77777777" w:rsidR="0023102D" w:rsidRDefault="0023102D" w:rsidP="00E275C6">
      <w:pPr>
        <w:pStyle w:val="Tekstopmerking"/>
        <w:jc w:val="both"/>
        <w:rPr>
          <w:lang w:val="fr-BE"/>
        </w:rPr>
      </w:pPr>
    </w:p>
    <w:p w14:paraId="34137795" w14:textId="77777777" w:rsidR="0023102D" w:rsidRDefault="001A4BA8" w:rsidP="001A4BA8">
      <w:pPr>
        <w:pStyle w:val="Tekstopmerking"/>
        <w:jc w:val="both"/>
        <w:rPr>
          <w:noProof/>
          <w:szCs w:val="21"/>
          <w:lang w:val="fr-BE"/>
        </w:rPr>
      </w:pPr>
      <w:r w:rsidRPr="001A4BA8">
        <w:rPr>
          <w:noProof/>
          <w:color w:val="000000"/>
          <w:szCs w:val="21"/>
          <w:lang w:val="fr-BE"/>
        </w:rPr>
        <w:t>Enfin, il convient de noter qu'au-delà de son champ d'action principal, MSTyr15 a permis d'établir de précieuses relations avec d'autres ASM non participantes au sein de l'Espace économique européen, tout en prenant contact avec un certain nombre d'associations européennes, d'organisations de défense des consommateurs et d'ONG environnementales, ouvrant ainsi la voie à de nouvelles synergies à l'avenir.</w:t>
      </w:r>
    </w:p>
    <w:p w14:paraId="372D2D69" w14:textId="77777777" w:rsidR="0023102D" w:rsidRDefault="00EB73BA" w:rsidP="00206383">
      <w:pPr>
        <w:pStyle w:val="Tekstopmerking"/>
        <w:jc w:val="both"/>
        <w:rPr>
          <w:noProof/>
          <w:sz w:val="24"/>
          <w:szCs w:val="24"/>
          <w:lang w:val="fr-BE"/>
        </w:rPr>
      </w:pPr>
      <w:r>
        <w:rPr>
          <w:rFonts w:cs="Calibri"/>
          <w:noProof/>
          <w:szCs w:val="21"/>
          <w:lang w:val="en-US"/>
        </w:rPr>
        <w:drawing>
          <wp:anchor distT="0" distB="0" distL="114300" distR="114300" simplePos="0" relativeHeight="251662336" behindDoc="0" locked="0" layoutInCell="1" allowOverlap="1" wp14:anchorId="315993FA" wp14:editId="6A1B2446">
            <wp:simplePos x="0" y="0"/>
            <wp:positionH relativeFrom="margin">
              <wp:posOffset>657860</wp:posOffset>
            </wp:positionH>
            <wp:positionV relativeFrom="margin">
              <wp:posOffset>4003675</wp:posOffset>
            </wp:positionV>
            <wp:extent cx="4815971" cy="2178399"/>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 - Copy.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15971" cy="21783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3DECC" w14:textId="77777777" w:rsidR="0023102D" w:rsidRDefault="0023102D" w:rsidP="00E356CB">
      <w:pPr>
        <w:rPr>
          <w:color w:val="0A3296"/>
          <w:sz w:val="20"/>
          <w:szCs w:val="20"/>
          <w:lang w:val="fr-BE"/>
        </w:rPr>
      </w:pPr>
    </w:p>
    <w:p w14:paraId="6FF72727" w14:textId="77777777" w:rsidR="0023102D" w:rsidRDefault="0023102D" w:rsidP="00E356CB">
      <w:pPr>
        <w:rPr>
          <w:color w:val="0A3296"/>
          <w:sz w:val="20"/>
          <w:szCs w:val="20"/>
          <w:lang w:val="fr-BE"/>
        </w:rPr>
      </w:pPr>
    </w:p>
    <w:p w14:paraId="77A5E459" w14:textId="77777777" w:rsidR="0023102D" w:rsidRDefault="0023102D" w:rsidP="00E356CB">
      <w:pPr>
        <w:rPr>
          <w:color w:val="0A3296"/>
          <w:sz w:val="20"/>
          <w:szCs w:val="20"/>
          <w:lang w:val="fr-BE"/>
        </w:rPr>
      </w:pPr>
    </w:p>
    <w:p w14:paraId="32361ACD" w14:textId="77777777" w:rsidR="0023102D" w:rsidRDefault="0023102D" w:rsidP="00E356CB">
      <w:pPr>
        <w:rPr>
          <w:color w:val="0A3296"/>
          <w:sz w:val="20"/>
          <w:szCs w:val="20"/>
          <w:lang w:val="fr-BE"/>
        </w:rPr>
      </w:pPr>
    </w:p>
    <w:p w14:paraId="60AEF6AC" w14:textId="77777777" w:rsidR="0023102D" w:rsidRDefault="0023102D" w:rsidP="00E356CB">
      <w:pPr>
        <w:rPr>
          <w:color w:val="0A3296"/>
          <w:sz w:val="20"/>
          <w:szCs w:val="20"/>
          <w:lang w:val="fr-BE"/>
        </w:rPr>
      </w:pPr>
    </w:p>
    <w:p w14:paraId="333A1A46" w14:textId="77777777" w:rsidR="0023102D" w:rsidRDefault="0023102D" w:rsidP="00E356CB">
      <w:pPr>
        <w:rPr>
          <w:color w:val="0A3296"/>
          <w:sz w:val="20"/>
          <w:szCs w:val="20"/>
          <w:lang w:val="fr-BE"/>
        </w:rPr>
      </w:pPr>
    </w:p>
    <w:p w14:paraId="570EB796" w14:textId="77777777" w:rsidR="0023102D" w:rsidRDefault="0023102D" w:rsidP="00E356CB">
      <w:pPr>
        <w:rPr>
          <w:color w:val="0A3296"/>
          <w:sz w:val="20"/>
          <w:szCs w:val="20"/>
          <w:lang w:val="fr-BE"/>
        </w:rPr>
      </w:pPr>
    </w:p>
    <w:p w14:paraId="6AA5CC42" w14:textId="77777777" w:rsidR="0023102D" w:rsidRDefault="0023102D" w:rsidP="00E356CB">
      <w:pPr>
        <w:rPr>
          <w:color w:val="0A3296"/>
          <w:sz w:val="20"/>
          <w:szCs w:val="20"/>
          <w:lang w:val="fr-BE"/>
        </w:rPr>
      </w:pPr>
    </w:p>
    <w:p w14:paraId="7599E6DA" w14:textId="77777777" w:rsidR="0023102D" w:rsidRDefault="0023102D" w:rsidP="00E356CB">
      <w:pPr>
        <w:rPr>
          <w:color w:val="0A3296"/>
          <w:sz w:val="20"/>
          <w:szCs w:val="20"/>
          <w:lang w:val="fr-BE"/>
        </w:rPr>
      </w:pPr>
    </w:p>
    <w:p w14:paraId="2C3A2219" w14:textId="77777777" w:rsidR="0023102D" w:rsidRDefault="0023102D" w:rsidP="00E356CB">
      <w:pPr>
        <w:rPr>
          <w:color w:val="0A3296"/>
          <w:sz w:val="20"/>
          <w:szCs w:val="20"/>
          <w:lang w:val="fr-BE"/>
        </w:rPr>
      </w:pPr>
    </w:p>
    <w:p w14:paraId="4D3AD7F2" w14:textId="77777777" w:rsidR="0023102D" w:rsidRDefault="0023102D" w:rsidP="00E356CB">
      <w:pPr>
        <w:rPr>
          <w:color w:val="0A3296"/>
          <w:sz w:val="20"/>
          <w:szCs w:val="20"/>
          <w:lang w:val="fr-BE"/>
        </w:rPr>
      </w:pPr>
    </w:p>
    <w:p w14:paraId="657B47F6" w14:textId="77777777" w:rsidR="0023102D" w:rsidRDefault="0023102D" w:rsidP="00E356CB">
      <w:pPr>
        <w:rPr>
          <w:color w:val="0A3296"/>
          <w:sz w:val="20"/>
          <w:szCs w:val="20"/>
          <w:lang w:val="fr-BE"/>
        </w:rPr>
      </w:pPr>
    </w:p>
    <w:p w14:paraId="45849B88" w14:textId="77777777" w:rsidR="0023102D" w:rsidRDefault="0023102D" w:rsidP="00E356CB">
      <w:pPr>
        <w:rPr>
          <w:color w:val="0A3296"/>
          <w:sz w:val="20"/>
          <w:szCs w:val="20"/>
          <w:lang w:val="fr-BE"/>
        </w:rPr>
      </w:pPr>
    </w:p>
    <w:p w14:paraId="0B4F9138" w14:textId="77777777" w:rsidR="0023102D" w:rsidRDefault="0023102D" w:rsidP="00E356CB">
      <w:pPr>
        <w:rPr>
          <w:color w:val="0A3296"/>
          <w:sz w:val="20"/>
          <w:szCs w:val="20"/>
          <w:lang w:val="fr-BE"/>
        </w:rPr>
      </w:pPr>
    </w:p>
    <w:p w14:paraId="0682B889" w14:textId="77777777" w:rsidR="0023102D" w:rsidRDefault="0023102D" w:rsidP="00E356CB">
      <w:pPr>
        <w:rPr>
          <w:color w:val="0A3296"/>
          <w:sz w:val="20"/>
          <w:szCs w:val="20"/>
          <w:lang w:val="fr-BE"/>
        </w:rPr>
      </w:pPr>
    </w:p>
    <w:p w14:paraId="71651234" w14:textId="77777777" w:rsidR="00054DB0" w:rsidRDefault="00054DB0" w:rsidP="001A4BA8">
      <w:pPr>
        <w:rPr>
          <w:color w:val="0A3296"/>
          <w:sz w:val="20"/>
          <w:szCs w:val="20"/>
          <w:lang w:val="fr-BE"/>
        </w:rPr>
      </w:pPr>
    </w:p>
    <w:p w14:paraId="4B6249B0" w14:textId="0DA0EB07" w:rsidR="0023102D" w:rsidRDefault="00B90FBC" w:rsidP="001A4BA8">
      <w:pPr>
        <w:rPr>
          <w:color w:val="0A3296"/>
          <w:sz w:val="20"/>
          <w:szCs w:val="20"/>
          <w:lang w:val="fr-BE"/>
        </w:rPr>
      </w:pPr>
      <w:bookmarkStart w:id="0" w:name="_GoBack"/>
      <w:bookmarkEnd w:id="0"/>
      <w:r>
        <w:rPr>
          <w:color w:val="0A3296"/>
          <w:sz w:val="20"/>
          <w:szCs w:val="20"/>
          <w:lang w:val="fr-BE"/>
        </w:rPr>
        <w:t>Personne de c</w:t>
      </w:r>
      <w:r w:rsidRPr="00B90FBC">
        <w:rPr>
          <w:color w:val="0A3296"/>
          <w:sz w:val="20"/>
          <w:szCs w:val="20"/>
          <w:lang w:val="fr-BE"/>
        </w:rPr>
        <w:t>ontact</w:t>
      </w:r>
      <w:r>
        <w:rPr>
          <w:color w:val="0A3296"/>
          <w:sz w:val="20"/>
          <w:szCs w:val="20"/>
          <w:lang w:val="fr-BE"/>
        </w:rPr>
        <w:t> :</w:t>
      </w:r>
      <w:r w:rsidR="0033257C" w:rsidRPr="003711BF">
        <w:rPr>
          <w:rFonts w:cs="Calibri"/>
          <w:noProof/>
          <w:szCs w:val="21"/>
          <w:lang w:val="fr-BE"/>
        </w:rPr>
        <w:t xml:space="preserve"> </w:t>
      </w:r>
    </w:p>
    <w:p w14:paraId="14B1C273" w14:textId="77777777" w:rsidR="0023102D" w:rsidRDefault="0023102D" w:rsidP="00E356CB">
      <w:pPr>
        <w:rPr>
          <w:color w:val="0A3296"/>
          <w:sz w:val="6"/>
          <w:szCs w:val="20"/>
          <w:lang w:val="fr-BE"/>
        </w:rPr>
      </w:pPr>
    </w:p>
    <w:p w14:paraId="242F86C4" w14:textId="77777777" w:rsidR="0023102D" w:rsidRDefault="001F4C47" w:rsidP="00E356CB">
      <w:pPr>
        <w:rPr>
          <w:color w:val="202480"/>
          <w:sz w:val="20"/>
          <w:szCs w:val="20"/>
          <w:lang w:val="fr-BE"/>
        </w:rPr>
      </w:pPr>
      <w:r w:rsidRPr="003711BF">
        <w:rPr>
          <w:color w:val="0A3296"/>
          <w:sz w:val="20"/>
          <w:szCs w:val="20"/>
          <w:lang w:val="fr-BE"/>
        </w:rPr>
        <w:t xml:space="preserve">Ioana </w:t>
      </w:r>
      <w:proofErr w:type="spellStart"/>
      <w:r w:rsidRPr="003711BF">
        <w:rPr>
          <w:color w:val="0A3296"/>
          <w:sz w:val="20"/>
          <w:szCs w:val="20"/>
          <w:lang w:val="fr-BE"/>
        </w:rPr>
        <w:t>Zlotila</w:t>
      </w:r>
      <w:proofErr w:type="spellEnd"/>
      <w:r w:rsidR="00E356CB" w:rsidRPr="003711BF">
        <w:rPr>
          <w:color w:val="0A3296"/>
          <w:sz w:val="20"/>
          <w:szCs w:val="20"/>
          <w:lang w:val="fr-BE"/>
        </w:rPr>
        <w:t xml:space="preserve">, </w:t>
      </w:r>
      <w:r w:rsidR="001A4BA8" w:rsidRPr="003711BF">
        <w:rPr>
          <w:color w:val="0A3296"/>
          <w:sz w:val="20"/>
          <w:szCs w:val="20"/>
          <w:lang w:val="fr-BE"/>
        </w:rPr>
        <w:t>Directrice exécutive</w:t>
      </w:r>
      <w:r w:rsidR="00E356CB" w:rsidRPr="003711BF">
        <w:rPr>
          <w:color w:val="0A3296"/>
          <w:sz w:val="20"/>
          <w:szCs w:val="20"/>
          <w:lang w:val="fr-BE"/>
        </w:rPr>
        <w:t xml:space="preserve">, </w:t>
      </w:r>
      <w:hyperlink r:id="rId14" w:history="1">
        <w:r w:rsidRPr="003711BF">
          <w:rPr>
            <w:rStyle w:val="Hyperlink"/>
            <w:sz w:val="20"/>
            <w:szCs w:val="20"/>
            <w:lang w:val="fr-BE"/>
          </w:rPr>
          <w:t>ioana@prosafe.org</w:t>
        </w:r>
      </w:hyperlink>
      <w:r w:rsidR="00E356CB" w:rsidRPr="003711BF">
        <w:rPr>
          <w:color w:val="0A3296"/>
          <w:sz w:val="20"/>
          <w:szCs w:val="20"/>
          <w:lang w:val="fr-BE"/>
        </w:rPr>
        <w:t xml:space="preserve"> </w:t>
      </w:r>
      <w:r w:rsidR="001A4BA8" w:rsidRPr="003711BF">
        <w:rPr>
          <w:color w:val="0A3296"/>
          <w:sz w:val="20"/>
          <w:szCs w:val="20"/>
          <w:lang w:val="fr-BE"/>
        </w:rPr>
        <w:t>et</w:t>
      </w:r>
      <w:r w:rsidR="00E356CB" w:rsidRPr="003711BF">
        <w:rPr>
          <w:color w:val="0A3296"/>
          <w:sz w:val="20"/>
          <w:szCs w:val="20"/>
          <w:lang w:val="fr-BE"/>
        </w:rPr>
        <w:t xml:space="preserve"> </w:t>
      </w:r>
      <w:hyperlink r:id="rId15" w:history="1">
        <w:r w:rsidR="00E356CB" w:rsidRPr="003711BF">
          <w:rPr>
            <w:rStyle w:val="Hyperlink"/>
            <w:sz w:val="20"/>
            <w:szCs w:val="20"/>
            <w:lang w:val="fr-BE"/>
          </w:rPr>
          <w:t>info@prosafe.org</w:t>
        </w:r>
      </w:hyperlink>
      <w:r w:rsidR="00E356CB" w:rsidRPr="003711BF">
        <w:rPr>
          <w:color w:val="0A3296"/>
          <w:sz w:val="20"/>
          <w:szCs w:val="20"/>
          <w:lang w:val="fr-BE"/>
        </w:rPr>
        <w:t xml:space="preserve">  </w:t>
      </w:r>
    </w:p>
    <w:p w14:paraId="4E51C76D" w14:textId="77777777" w:rsidR="0023102D" w:rsidRDefault="0023102D" w:rsidP="00004345">
      <w:pPr>
        <w:pStyle w:val="Tekstopmerking"/>
        <w:jc w:val="both"/>
        <w:rPr>
          <w:rFonts w:cs="Calibri"/>
          <w:sz w:val="24"/>
          <w:szCs w:val="21"/>
          <w:lang w:val="fr-BE"/>
        </w:rPr>
      </w:pPr>
    </w:p>
    <w:p w14:paraId="1F4AFDF3" w14:textId="77777777" w:rsidR="0023102D" w:rsidRDefault="00B07F6B" w:rsidP="00B07F6B">
      <w:pPr>
        <w:pStyle w:val="Tekstopmerking"/>
        <w:jc w:val="both"/>
        <w:rPr>
          <w:rFonts w:cs="Calibri"/>
          <w:b/>
          <w:sz w:val="18"/>
          <w:szCs w:val="21"/>
          <w:lang w:val="fr-BE"/>
        </w:rPr>
      </w:pPr>
      <w:r w:rsidRPr="006F38B4">
        <w:rPr>
          <w:rFonts w:cs="Calibri"/>
          <w:b/>
          <w:sz w:val="18"/>
          <w:szCs w:val="21"/>
          <w:lang w:val="fr-BE"/>
        </w:rPr>
        <w:t>Informations contextuelles</w:t>
      </w:r>
    </w:p>
    <w:p w14:paraId="1AFD1DAF" w14:textId="77777777" w:rsidR="0023102D" w:rsidRDefault="0023102D" w:rsidP="00004345">
      <w:pPr>
        <w:pStyle w:val="Tekstopmerking"/>
        <w:jc w:val="both"/>
        <w:rPr>
          <w:rFonts w:cs="Calibri"/>
          <w:sz w:val="10"/>
          <w:szCs w:val="21"/>
          <w:lang w:val="fr-BE"/>
        </w:rPr>
      </w:pPr>
    </w:p>
    <w:p w14:paraId="73A4E9F3" w14:textId="5D7994D6" w:rsidR="0023102D" w:rsidRDefault="00B07F6B" w:rsidP="00B07F6B">
      <w:pPr>
        <w:keepNext/>
        <w:autoSpaceDE w:val="0"/>
        <w:autoSpaceDN w:val="0"/>
        <w:adjustRightInd w:val="0"/>
        <w:jc w:val="both"/>
        <w:rPr>
          <w:sz w:val="18"/>
          <w:szCs w:val="18"/>
          <w:lang w:val="fr-BE"/>
        </w:rPr>
      </w:pPr>
      <w:r w:rsidRPr="006F38B4">
        <w:rPr>
          <w:sz w:val="18"/>
          <w:szCs w:val="18"/>
          <w:lang w:val="fr-BE"/>
        </w:rPr>
        <w:t xml:space="preserve">Cette information est émise par PROSAFE et par les autorités de surveillance du marché de 14 pays européens et de la Turquie dans le cadre de l’Action conjointe </w:t>
      </w:r>
      <w:hyperlink r:id="rId16" w:history="1">
        <w:r w:rsidRPr="00346E99">
          <w:rPr>
            <w:rStyle w:val="Hyperlink"/>
            <w:sz w:val="18"/>
            <w:szCs w:val="18"/>
            <w:lang w:val="fr-BE"/>
          </w:rPr>
          <w:t>MSTyr15</w:t>
        </w:r>
      </w:hyperlink>
      <w:r w:rsidRPr="006F38B4">
        <w:rPr>
          <w:sz w:val="18"/>
          <w:szCs w:val="18"/>
          <w:lang w:val="fr-BE"/>
        </w:rPr>
        <w:t>.</w:t>
      </w:r>
    </w:p>
    <w:p w14:paraId="65DDDCF3" w14:textId="08A8E4CC" w:rsidR="00F90542" w:rsidRPr="006F38B4" w:rsidRDefault="006F30D7" w:rsidP="006F30D7">
      <w:pPr>
        <w:jc w:val="both"/>
        <w:rPr>
          <w:sz w:val="18"/>
          <w:szCs w:val="18"/>
          <w:lang w:val="fr-BE"/>
        </w:rPr>
      </w:pPr>
      <w:r w:rsidRPr="006F38B4">
        <w:rPr>
          <w:sz w:val="18"/>
          <w:szCs w:val="18"/>
          <w:lang w:val="fr-BE"/>
        </w:rPr>
        <w:t>L’action est coordonnée par PROSAFE (</w:t>
      </w:r>
      <w:r w:rsidRPr="001922B0">
        <w:rPr>
          <w:i/>
          <w:sz w:val="18"/>
          <w:szCs w:val="18"/>
          <w:lang w:val="fr-BE"/>
        </w:rPr>
        <w:t xml:space="preserve">Product </w:t>
      </w:r>
      <w:proofErr w:type="spellStart"/>
      <w:r w:rsidRPr="001922B0">
        <w:rPr>
          <w:i/>
          <w:sz w:val="18"/>
          <w:szCs w:val="18"/>
          <w:lang w:val="fr-BE"/>
        </w:rPr>
        <w:t>Safety</w:t>
      </w:r>
      <w:proofErr w:type="spellEnd"/>
      <w:r w:rsidRPr="001922B0">
        <w:rPr>
          <w:i/>
          <w:sz w:val="18"/>
          <w:szCs w:val="18"/>
          <w:lang w:val="fr-BE"/>
        </w:rPr>
        <w:t xml:space="preserve"> Forum of Europe</w:t>
      </w:r>
      <w:r w:rsidRPr="006F38B4">
        <w:rPr>
          <w:sz w:val="18"/>
          <w:szCs w:val="18"/>
          <w:lang w:val="fr-BE"/>
        </w:rPr>
        <w:t>), un organisme sans but lucratif qui rassemble les inspecteurs en charge de la surveillance du marché à travers l’Europe et dans le monde entier.</w:t>
      </w:r>
      <w:r w:rsidR="00E356CB" w:rsidRPr="006F38B4">
        <w:rPr>
          <w:sz w:val="18"/>
          <w:szCs w:val="18"/>
          <w:lang w:val="fr-BE"/>
        </w:rPr>
        <w:t xml:space="preserve"> </w:t>
      </w:r>
      <w:r w:rsidRPr="006F38B4">
        <w:rPr>
          <w:sz w:val="18"/>
          <w:szCs w:val="18"/>
          <w:lang w:val="fr-BE"/>
        </w:rPr>
        <w:t xml:space="preserve">Visitez le site </w:t>
      </w:r>
      <w:hyperlink r:id="rId17" w:history="1">
        <w:r w:rsidR="00346E99" w:rsidRPr="00C66807">
          <w:rPr>
            <w:rStyle w:val="Hyperlink"/>
            <w:sz w:val="18"/>
            <w:szCs w:val="18"/>
            <w:lang w:val="fr-BE"/>
          </w:rPr>
          <w:t>www.prosafe.org</w:t>
        </w:r>
      </w:hyperlink>
      <w:r w:rsidR="00346E99">
        <w:rPr>
          <w:sz w:val="18"/>
          <w:szCs w:val="18"/>
          <w:lang w:val="fr-BE"/>
        </w:rPr>
        <w:t xml:space="preserve"> </w:t>
      </w:r>
      <w:r w:rsidRPr="006F38B4">
        <w:rPr>
          <w:sz w:val="18"/>
          <w:szCs w:val="18"/>
          <w:lang w:val="fr-BE"/>
        </w:rPr>
        <w:t xml:space="preserve">pour en savoir davantage sur MSTyr15 et les autres campagnes européennes </w:t>
      </w:r>
      <w:r w:rsidRPr="006F38B4">
        <w:rPr>
          <w:sz w:val="18"/>
          <w:szCs w:val="18"/>
          <w:lang w:val="fr-BE"/>
        </w:rPr>
        <w:lastRenderedPageBreak/>
        <w:t>coordonnées par PROSAFE.</w:t>
      </w:r>
      <w:r w:rsidR="00A353B3" w:rsidRPr="006F38B4">
        <w:rPr>
          <w:sz w:val="18"/>
          <w:szCs w:val="18"/>
          <w:lang w:val="fr-BE"/>
        </w:rPr>
        <w:t xml:space="preserve"> </w:t>
      </w:r>
      <w:r w:rsidRPr="006F38B4">
        <w:rPr>
          <w:sz w:val="18"/>
          <w:szCs w:val="18"/>
          <w:lang w:val="fr-BE"/>
        </w:rPr>
        <w:t>Suivez</w:t>
      </w:r>
      <w:r w:rsidR="00A353B3" w:rsidRPr="006F38B4">
        <w:rPr>
          <w:sz w:val="18"/>
          <w:szCs w:val="18"/>
          <w:lang w:val="fr-BE"/>
        </w:rPr>
        <w:t xml:space="preserve"> PROSAFE </w:t>
      </w:r>
      <w:r w:rsidRPr="006F38B4">
        <w:rPr>
          <w:sz w:val="18"/>
          <w:szCs w:val="18"/>
          <w:lang w:val="fr-BE"/>
        </w:rPr>
        <w:t>et</w:t>
      </w:r>
      <w:r w:rsidR="00A353B3" w:rsidRPr="006F38B4">
        <w:rPr>
          <w:sz w:val="18"/>
          <w:szCs w:val="18"/>
          <w:lang w:val="fr-BE"/>
        </w:rPr>
        <w:t xml:space="preserve"> MSTyr15 </w:t>
      </w:r>
      <w:r w:rsidRPr="006F38B4">
        <w:rPr>
          <w:sz w:val="18"/>
          <w:szCs w:val="18"/>
          <w:lang w:val="fr-BE"/>
        </w:rPr>
        <w:t>sur</w:t>
      </w:r>
      <w:r w:rsidR="00A353B3" w:rsidRPr="006F38B4">
        <w:rPr>
          <w:sz w:val="18"/>
          <w:szCs w:val="18"/>
          <w:lang w:val="fr-BE"/>
        </w:rPr>
        <w:t xml:space="preserve"> Twitter </w:t>
      </w:r>
      <w:r w:rsidRPr="006F38B4">
        <w:rPr>
          <w:sz w:val="18"/>
          <w:szCs w:val="18"/>
          <w:lang w:val="fr-BE"/>
        </w:rPr>
        <w:t>via</w:t>
      </w:r>
      <w:r w:rsidR="003A6670" w:rsidRPr="006F38B4">
        <w:rPr>
          <w:sz w:val="18"/>
          <w:szCs w:val="18"/>
          <w:lang w:val="fr-BE"/>
        </w:rPr>
        <w:t xml:space="preserve"> </w:t>
      </w:r>
      <w:hyperlink r:id="rId18" w:history="1">
        <w:r w:rsidR="00346E99" w:rsidRPr="00346E99">
          <w:rPr>
            <w:rStyle w:val="Hyperlink"/>
            <w:sz w:val="18"/>
            <w:szCs w:val="18"/>
            <w:u w:val="none"/>
            <w:lang w:val="fr-BE"/>
          </w:rPr>
          <w:t>@PROSAFE_ORG</w:t>
        </w:r>
      </w:hyperlink>
      <w:r w:rsidR="00346E99" w:rsidRPr="00346E99">
        <w:rPr>
          <w:rStyle w:val="Hyperlink"/>
          <w:color w:val="auto"/>
          <w:sz w:val="18"/>
          <w:szCs w:val="18"/>
          <w:u w:val="none"/>
          <w:lang w:val="fr-BE"/>
        </w:rPr>
        <w:t xml:space="preserve"> </w:t>
      </w:r>
      <w:r w:rsidRPr="006F38B4">
        <w:rPr>
          <w:sz w:val="18"/>
          <w:szCs w:val="18"/>
          <w:lang w:val="fr-BE"/>
        </w:rPr>
        <w:t>et</w:t>
      </w:r>
      <w:r w:rsidR="00206383" w:rsidRPr="006F38B4">
        <w:rPr>
          <w:sz w:val="18"/>
          <w:szCs w:val="18"/>
          <w:lang w:val="fr-BE"/>
        </w:rPr>
        <w:t xml:space="preserve"> </w:t>
      </w:r>
      <w:hyperlink r:id="rId19" w:history="1">
        <w:r w:rsidR="00346E99" w:rsidRPr="00346E99">
          <w:rPr>
            <w:rStyle w:val="Hyperlink"/>
            <w:sz w:val="18"/>
            <w:szCs w:val="18"/>
            <w:u w:val="none"/>
            <w:lang w:val="fr-BE"/>
          </w:rPr>
          <w:t>@MSTyr15</w:t>
        </w:r>
      </w:hyperlink>
      <w:r w:rsidR="00346E99" w:rsidRPr="00346E99">
        <w:rPr>
          <w:rStyle w:val="Hyperlink"/>
          <w:sz w:val="18"/>
          <w:szCs w:val="18"/>
          <w:u w:val="none"/>
          <w:lang w:val="fr-BE"/>
        </w:rPr>
        <w:t xml:space="preserve"> </w:t>
      </w:r>
      <w:r w:rsidR="00346E99">
        <w:rPr>
          <w:sz w:val="18"/>
          <w:szCs w:val="18"/>
          <w:lang w:val="fr-BE"/>
        </w:rPr>
        <w:t xml:space="preserve">pour </w:t>
      </w:r>
      <w:r w:rsidRPr="006F38B4">
        <w:rPr>
          <w:sz w:val="18"/>
          <w:szCs w:val="18"/>
          <w:lang w:val="fr-BE"/>
        </w:rPr>
        <w:t>une information actualisée et régulière sur les résultats du projet</w:t>
      </w:r>
      <w:r w:rsidR="00A353B3" w:rsidRPr="006F38B4">
        <w:rPr>
          <w:sz w:val="18"/>
          <w:szCs w:val="18"/>
          <w:lang w:val="fr-BE"/>
        </w:rPr>
        <w:t>.</w:t>
      </w:r>
      <w:r w:rsidR="00196AF8" w:rsidRPr="006F38B4">
        <w:rPr>
          <w:sz w:val="18"/>
          <w:szCs w:val="18"/>
          <w:lang w:val="fr-BE"/>
        </w:rPr>
        <w:t xml:space="preserve"> </w:t>
      </w:r>
    </w:p>
    <w:tbl>
      <w:tblPr>
        <w:tblpPr w:leftFromText="180" w:rightFromText="180" w:vertAnchor="text" w:horzAnchor="margin" w:tblpY="175"/>
        <w:tblW w:w="9670" w:type="dxa"/>
        <w:tblBorders>
          <w:top w:val="single" w:sz="4" w:space="0" w:color="auto"/>
          <w:left w:val="single" w:sz="4" w:space="0" w:color="auto"/>
          <w:bottom w:val="single" w:sz="4" w:space="0" w:color="auto"/>
          <w:right w:val="single" w:sz="4" w:space="0" w:color="auto"/>
        </w:tblBorders>
        <w:shd w:val="clear" w:color="auto" w:fill="C5C7F1"/>
        <w:tblLook w:val="01E0" w:firstRow="1" w:lastRow="1" w:firstColumn="1" w:lastColumn="1" w:noHBand="0" w:noVBand="0"/>
      </w:tblPr>
      <w:tblGrid>
        <w:gridCol w:w="9670"/>
      </w:tblGrid>
      <w:tr w:rsidR="0033257C" w:rsidRPr="00B5717D" w14:paraId="05C385B3" w14:textId="77777777" w:rsidTr="004E3571">
        <w:trPr>
          <w:trHeight w:val="1839"/>
        </w:trPr>
        <w:tc>
          <w:tcPr>
            <w:tcW w:w="9670" w:type="dxa"/>
            <w:shd w:val="clear" w:color="auto" w:fill="C5C7F1"/>
          </w:tcPr>
          <w:p w14:paraId="18B0037E" w14:textId="77777777" w:rsidR="0023102D" w:rsidRDefault="0023102D" w:rsidP="00004345">
            <w:pPr>
              <w:keepNext/>
              <w:autoSpaceDE w:val="0"/>
              <w:autoSpaceDN w:val="0"/>
              <w:adjustRightInd w:val="0"/>
              <w:spacing w:after="20"/>
              <w:rPr>
                <w:rFonts w:cs="^Ö'C0œÒ◊"/>
                <w:b/>
                <w:sz w:val="4"/>
                <w:szCs w:val="19"/>
                <w:lang w:val="fr-BE"/>
              </w:rPr>
            </w:pPr>
          </w:p>
          <w:p w14:paraId="76CE2352" w14:textId="31F12448" w:rsidR="0023102D" w:rsidRPr="00C82472" w:rsidRDefault="0023102D" w:rsidP="0023102D">
            <w:pPr>
              <w:keepNext/>
              <w:autoSpaceDE w:val="0"/>
              <w:autoSpaceDN w:val="0"/>
              <w:adjustRightInd w:val="0"/>
              <w:spacing w:after="20"/>
              <w:rPr>
                <w:rFonts w:cs="^Ö'C0œÒ◊"/>
                <w:b/>
                <w:sz w:val="18"/>
                <w:szCs w:val="19"/>
                <w:u w:val="single"/>
                <w:lang w:val="fr-BE"/>
              </w:rPr>
            </w:pPr>
            <w:r w:rsidRPr="00C82472">
              <w:rPr>
                <w:rFonts w:cs="^Ö'C0œÒ◊"/>
                <w:b/>
                <w:sz w:val="18"/>
                <w:szCs w:val="19"/>
                <w:u w:val="single"/>
                <w:lang w:val="fr-BE"/>
              </w:rPr>
              <w:t>Clause de non-responsabilité</w:t>
            </w:r>
          </w:p>
          <w:p w14:paraId="5D2DF527" w14:textId="77777777" w:rsidR="0023102D" w:rsidRPr="00C82472" w:rsidRDefault="0023102D" w:rsidP="00004345">
            <w:pPr>
              <w:keepNext/>
              <w:autoSpaceDE w:val="0"/>
              <w:autoSpaceDN w:val="0"/>
              <w:adjustRightInd w:val="0"/>
              <w:spacing w:after="20"/>
              <w:rPr>
                <w:rFonts w:cs="^Ö'C0œÒ◊"/>
                <w:b/>
                <w:sz w:val="10"/>
                <w:szCs w:val="19"/>
                <w:u w:val="single"/>
                <w:lang w:val="fr-BE"/>
              </w:rPr>
            </w:pPr>
          </w:p>
          <w:p w14:paraId="19BE5F74" w14:textId="0F19AEEA" w:rsidR="0023102D" w:rsidRPr="00C82472" w:rsidRDefault="00C82472" w:rsidP="00C82472">
            <w:pPr>
              <w:spacing w:after="20"/>
              <w:jc w:val="both"/>
              <w:rPr>
                <w:sz w:val="18"/>
                <w:szCs w:val="19"/>
                <w:lang w:val="fr-BE"/>
              </w:rPr>
            </w:pPr>
            <w:r w:rsidRPr="00C82472">
              <w:rPr>
                <w:sz w:val="18"/>
                <w:szCs w:val="19"/>
                <w:lang w:val="fr-BE"/>
              </w:rPr>
              <w:t>Ce communiqué de presse publié par PROSAFE émane de l’Action MSTyr15, qui est financée par le programme de recherche et d’innovation « Horizon 2020 » de l'Union européenne, sous l’accord de subvention numéro 696124.</w:t>
            </w:r>
          </w:p>
          <w:p w14:paraId="7B80582C" w14:textId="54FF7B5D" w:rsidR="0033257C" w:rsidRPr="00C82472" w:rsidRDefault="00C82472" w:rsidP="00C82472">
            <w:pPr>
              <w:autoSpaceDE w:val="0"/>
              <w:autoSpaceDN w:val="0"/>
              <w:adjustRightInd w:val="0"/>
              <w:spacing w:after="20"/>
              <w:jc w:val="both"/>
              <w:rPr>
                <w:rFonts w:ascii="Cambria" w:hAnsi="Cambria"/>
                <w:color w:val="FFFFFF"/>
                <w:sz w:val="19"/>
                <w:szCs w:val="19"/>
                <w:lang w:val="fr-BE"/>
              </w:rPr>
            </w:pPr>
            <w:r w:rsidRPr="00C82472">
              <w:rPr>
                <w:sz w:val="18"/>
                <w:szCs w:val="19"/>
                <w:lang w:val="fr-BE"/>
              </w:rPr>
              <w:t>Le contenu de ce communiqué de presse représente les points de vue des auteurs en question et relève de leur seule responsabilité ; en aucun cas ce communiqué de presse n'est utilisé pour refléter les opinions de l’EASME (</w:t>
            </w:r>
            <w:proofErr w:type="spellStart"/>
            <w:r w:rsidRPr="0024785F">
              <w:rPr>
                <w:i/>
                <w:sz w:val="18"/>
                <w:szCs w:val="19"/>
                <w:lang w:val="fr-BE"/>
              </w:rPr>
              <w:t>Executive</w:t>
            </w:r>
            <w:proofErr w:type="spellEnd"/>
            <w:r w:rsidRPr="0024785F">
              <w:rPr>
                <w:i/>
                <w:sz w:val="18"/>
                <w:szCs w:val="19"/>
                <w:lang w:val="fr-BE"/>
              </w:rPr>
              <w:t xml:space="preserve"> Agency for Small and Medium </w:t>
            </w:r>
            <w:proofErr w:type="spellStart"/>
            <w:r w:rsidRPr="0024785F">
              <w:rPr>
                <w:i/>
                <w:sz w:val="18"/>
                <w:szCs w:val="19"/>
                <w:lang w:val="fr-BE"/>
              </w:rPr>
              <w:t>Enterprises</w:t>
            </w:r>
            <w:proofErr w:type="spellEnd"/>
            <w:r w:rsidRPr="00C82472">
              <w:rPr>
                <w:sz w:val="18"/>
                <w:szCs w:val="19"/>
                <w:lang w:val="fr-BE"/>
              </w:rPr>
              <w:t>) ou de toute autre organisme de l’Union européenne.</w:t>
            </w:r>
            <w:r w:rsidR="0033257C" w:rsidRPr="00C82472">
              <w:rPr>
                <w:sz w:val="18"/>
                <w:szCs w:val="19"/>
                <w:lang w:val="fr-BE"/>
              </w:rPr>
              <w:t xml:space="preserve"> </w:t>
            </w:r>
            <w:r w:rsidRPr="00C82472">
              <w:rPr>
                <w:sz w:val="18"/>
                <w:szCs w:val="19"/>
                <w:lang w:val="fr-BE"/>
              </w:rPr>
              <w:t>L'EASME décline toute responsabilité quant à l’usage qui pourrait être fait des informations contenues dans ce communiqué.</w:t>
            </w:r>
          </w:p>
        </w:tc>
      </w:tr>
    </w:tbl>
    <w:p w14:paraId="37609A6A" w14:textId="77777777" w:rsidR="0023102D" w:rsidRPr="00C82472" w:rsidRDefault="0023102D" w:rsidP="00206383">
      <w:pPr>
        <w:rPr>
          <w:lang w:val="fr-BE"/>
        </w:rPr>
      </w:pPr>
    </w:p>
    <w:p w14:paraId="1010B3F8" w14:textId="77777777" w:rsidR="0023102D" w:rsidRPr="00C82472" w:rsidRDefault="0023102D" w:rsidP="00206383">
      <w:pPr>
        <w:rPr>
          <w:lang w:val="fr-BE"/>
        </w:rPr>
      </w:pPr>
    </w:p>
    <w:p w14:paraId="6BD4F44D" w14:textId="77777777" w:rsidR="0023102D" w:rsidRPr="00C82472" w:rsidRDefault="0023102D" w:rsidP="00206383">
      <w:pPr>
        <w:rPr>
          <w:lang w:val="fr-BE"/>
        </w:rPr>
      </w:pPr>
    </w:p>
    <w:p w14:paraId="63AD2B8D" w14:textId="77777777" w:rsidR="0023102D" w:rsidRPr="00C82472" w:rsidRDefault="0023102D" w:rsidP="00206383">
      <w:pPr>
        <w:rPr>
          <w:lang w:val="fr-BE"/>
        </w:rPr>
      </w:pPr>
    </w:p>
    <w:p w14:paraId="056CAA8D" w14:textId="77777777" w:rsidR="0023102D" w:rsidRPr="00C82472" w:rsidRDefault="0023102D" w:rsidP="00206383">
      <w:pPr>
        <w:rPr>
          <w:lang w:val="fr-BE"/>
        </w:rPr>
      </w:pPr>
    </w:p>
    <w:p w14:paraId="34D78D09" w14:textId="77777777" w:rsidR="0023102D" w:rsidRPr="00C82472" w:rsidRDefault="0023102D" w:rsidP="00206383">
      <w:pPr>
        <w:rPr>
          <w:lang w:val="fr-BE"/>
        </w:rPr>
      </w:pPr>
    </w:p>
    <w:p w14:paraId="38ECE54A" w14:textId="77777777" w:rsidR="0069381B" w:rsidRPr="00C82472" w:rsidRDefault="0069381B" w:rsidP="00206383">
      <w:pPr>
        <w:rPr>
          <w:lang w:val="fr-BE"/>
        </w:rPr>
      </w:pPr>
    </w:p>
    <w:sectPr w:rsidR="0069381B" w:rsidRPr="00C82472" w:rsidSect="001C5BE2">
      <w:headerReference w:type="even" r:id="rId20"/>
      <w:headerReference w:type="default" r:id="rId21"/>
      <w:footerReference w:type="even" r:id="rId22"/>
      <w:footerReference w:type="default" r:id="rId23"/>
      <w:headerReference w:type="first" r:id="rId24"/>
      <w:footerReference w:type="first" r:id="rId25"/>
      <w:pgSz w:w="12240" w:h="15840"/>
      <w:pgMar w:top="2090" w:right="1440" w:bottom="993" w:left="144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CA18" w14:textId="77777777" w:rsidR="00367AAE" w:rsidRDefault="00367AAE" w:rsidP="0069381B">
      <w:r>
        <w:separator/>
      </w:r>
    </w:p>
  </w:endnote>
  <w:endnote w:type="continuationSeparator" w:id="0">
    <w:p w14:paraId="6E1FBCD6" w14:textId="77777777" w:rsidR="00367AAE" w:rsidRDefault="00367AAE" w:rsidP="0069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Ö'C0œÒ◊">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78C6" w14:textId="77777777" w:rsidR="00C82472" w:rsidRDefault="00C824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98898"/>
      <w:docPartObj>
        <w:docPartGallery w:val="Page Numbers (Bottom of Page)"/>
        <w:docPartUnique/>
      </w:docPartObj>
    </w:sdtPr>
    <w:sdtEndPr/>
    <w:sdtContent>
      <w:p w14:paraId="6E0729D1" w14:textId="48CCA1C0" w:rsidR="006D0F9C" w:rsidRPr="009166A1" w:rsidRDefault="009166A1" w:rsidP="009166A1">
        <w:pPr>
          <w:pStyle w:val="Voettekst"/>
          <w:jc w:val="right"/>
          <w:rPr>
            <w:sz w:val="16"/>
          </w:rPr>
        </w:pPr>
        <w:r>
          <w:rPr>
            <w:noProof/>
          </w:rPr>
          <mc:AlternateContent>
            <mc:Choice Requires="wps">
              <w:drawing>
                <wp:anchor distT="0" distB="0" distL="114300" distR="114300" simplePos="0" relativeHeight="251662336" behindDoc="0" locked="0" layoutInCell="1" allowOverlap="1" wp14:anchorId="4371A9FE" wp14:editId="7A935182">
                  <wp:simplePos x="0" y="0"/>
                  <wp:positionH relativeFrom="column">
                    <wp:posOffset>-55418</wp:posOffset>
                  </wp:positionH>
                  <wp:positionV relativeFrom="paragraph">
                    <wp:posOffset>-31000</wp:posOffset>
                  </wp:positionV>
                  <wp:extent cx="5999018" cy="415637"/>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018" cy="415637"/>
                          </a:xfrm>
                          <a:prstGeom prst="rect">
                            <a:avLst/>
                          </a:prstGeom>
                          <a:noFill/>
                          <a:ln w="9525">
                            <a:noFill/>
                            <a:miter lim="800000"/>
                            <a:headEnd/>
                            <a:tailEnd/>
                          </a:ln>
                        </wps:spPr>
                        <wps:txbx>
                          <w:txbxContent>
                            <w:p w14:paraId="52345B77" w14:textId="77777777" w:rsidR="009166A1" w:rsidRPr="00CD3117" w:rsidRDefault="009166A1" w:rsidP="00736F0E">
                              <w:pPr>
                                <w:pStyle w:val="Voettekst"/>
                                <w:spacing w:line="276" w:lineRule="auto"/>
                                <w:jc w:val="center"/>
                                <w:rPr>
                                  <w:rFonts w:ascii="Trebuchet MS" w:eastAsia="Times New Roman" w:hAnsi="Trebuchet MS" w:cs="^Ö'C0œÒ◊"/>
                                  <w:color w:val="0A3296"/>
                                  <w:spacing w:val="2"/>
                                  <w:sz w:val="16"/>
                                  <w:szCs w:val="18"/>
                                  <w:lang w:val="en-GB"/>
                                </w:rPr>
                              </w:pPr>
                              <w:r w:rsidRPr="00CD3117">
                                <w:rPr>
                                  <w:rFonts w:ascii="Trebuchet MS" w:eastAsia="Times New Roman" w:hAnsi="Trebuchet MS" w:cs="^Ö'C0œÒ◊"/>
                                  <w:color w:val="0A3296"/>
                                  <w:spacing w:val="2"/>
                                  <w:sz w:val="16"/>
                                  <w:szCs w:val="18"/>
                                  <w:lang w:val="en-GB"/>
                                </w:rPr>
                                <w:t>PROSAFE Office, Avenue des Arts 41, B-1040 Brussels, Belgium</w:t>
                              </w:r>
                            </w:p>
                            <w:p w14:paraId="3DA5B873" w14:textId="77777777" w:rsidR="009166A1" w:rsidRPr="00CD3117" w:rsidRDefault="009166A1" w:rsidP="00736F0E">
                              <w:pPr>
                                <w:widowControl w:val="0"/>
                                <w:autoSpaceDE w:val="0"/>
                                <w:autoSpaceDN w:val="0"/>
                                <w:adjustRightInd w:val="0"/>
                                <w:spacing w:line="276" w:lineRule="auto"/>
                                <w:jc w:val="center"/>
                                <w:rPr>
                                  <w:rFonts w:cs="^Ö'C0œÒ◊"/>
                                  <w:color w:val="0A3296"/>
                                  <w:sz w:val="16"/>
                                  <w:szCs w:val="18"/>
                                </w:rPr>
                              </w:pPr>
                              <w:r w:rsidRPr="00CD3117">
                                <w:rPr>
                                  <w:rFonts w:cs="^Ö'C0œÒ◊"/>
                                  <w:color w:val="0A3296"/>
                                  <w:sz w:val="16"/>
                                  <w:szCs w:val="18"/>
                                </w:rPr>
                                <w:t>Tel: +32-2-8080 996</w:t>
                              </w:r>
                              <w:r w:rsidRPr="003529B9">
                                <w:rPr>
                                  <w:rFonts w:cs="^Ö'C0œÒ◊"/>
                                  <w:color w:val="0A3296"/>
                                  <w:sz w:val="16"/>
                                  <w:szCs w:val="16"/>
                                </w:rPr>
                                <w:t xml:space="preserve"> - </w:t>
                              </w:r>
                              <w:hyperlink r:id="rId1" w:history="1">
                                <w:r w:rsidRPr="003529B9">
                                  <w:rPr>
                                    <w:color w:val="0A3296"/>
                                    <w:sz w:val="16"/>
                                    <w:szCs w:val="16"/>
                                  </w:rPr>
                                  <w:t>info@prosafe.org</w:t>
                                </w:r>
                              </w:hyperlink>
                              <w:r w:rsidRPr="003529B9">
                                <w:rPr>
                                  <w:rFonts w:cs="^Ö'C0œÒ◊"/>
                                  <w:color w:val="0A3296"/>
                                  <w:sz w:val="16"/>
                                  <w:szCs w:val="16"/>
                                </w:rPr>
                                <w:t xml:space="preserve"> - </w:t>
                              </w:r>
                              <w:hyperlink r:id="rId2" w:history="1">
                                <w:r w:rsidRPr="003529B9">
                                  <w:rPr>
                                    <w:color w:val="0A3296"/>
                                    <w:sz w:val="16"/>
                                    <w:szCs w:val="16"/>
                                  </w:rPr>
                                  <w:t>www.prosafe.org</w:t>
                                </w:r>
                              </w:hyperlink>
                            </w:p>
                            <w:p w14:paraId="19A1F3EA" w14:textId="77777777" w:rsidR="009166A1" w:rsidRPr="00CD3117" w:rsidRDefault="009166A1" w:rsidP="00736F0E">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1A9FE" id="_x0000_t202" coordsize="21600,21600" o:spt="202" path="m,l,21600r21600,l21600,xe">
                  <v:stroke joinstyle="miter"/>
                  <v:path gradientshapeok="t" o:connecttype="rect"/>
                </v:shapetype>
                <v:shape id="Text Box 2" o:spid="_x0000_s1026" type="#_x0000_t202" style="position:absolute;left:0;text-align:left;margin-left:-4.35pt;margin-top:-2.45pt;width:472.35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" filled="f" stroked="f">
                  <v:textbox>
                    <w:txbxContent>
                      <w:p w14:paraId="52345B77" w14:textId="77777777" w:rsidR="009166A1" w:rsidRPr="00CD3117" w:rsidRDefault="009166A1" w:rsidP="00736F0E">
                        <w:pPr>
                          <w:pStyle w:val="Footer"/>
                          <w:spacing w:line="276" w:lineRule="auto"/>
                          <w:jc w:val="center"/>
                          <w:rPr>
                            <w:rFonts w:ascii="Trebuchet MS" w:eastAsia="Times New Roman" w:hAnsi="Trebuchet MS" w:cs="^Ö'C0œÒ◊"/>
                            <w:color w:val="0A3296"/>
                            <w:spacing w:val="2"/>
                            <w:sz w:val="16"/>
                            <w:szCs w:val="18"/>
                            <w:lang w:val="en-GB"/>
                          </w:rPr>
                        </w:pPr>
                        <w:r w:rsidRPr="00CD3117">
                          <w:rPr>
                            <w:rFonts w:ascii="Trebuchet MS" w:eastAsia="Times New Roman" w:hAnsi="Trebuchet MS" w:cs="^Ö'C0œÒ◊"/>
                            <w:color w:val="0A3296"/>
                            <w:spacing w:val="2"/>
                            <w:sz w:val="16"/>
                            <w:szCs w:val="18"/>
                            <w:lang w:val="en-GB"/>
                          </w:rPr>
                          <w:t>PROSAFE Office, Avenue des Arts 41, B-1040 Brussels, Belgium</w:t>
                        </w:r>
                      </w:p>
                      <w:p w14:paraId="3DA5B873" w14:textId="77777777" w:rsidR="009166A1" w:rsidRPr="00CD3117" w:rsidRDefault="009166A1" w:rsidP="00736F0E">
                        <w:pPr>
                          <w:widowControl w:val="0"/>
                          <w:autoSpaceDE w:val="0"/>
                          <w:autoSpaceDN w:val="0"/>
                          <w:adjustRightInd w:val="0"/>
                          <w:spacing w:line="276" w:lineRule="auto"/>
                          <w:jc w:val="center"/>
                          <w:rPr>
                            <w:rFonts w:cs="^Ö'C0œÒ◊"/>
                            <w:color w:val="0A3296"/>
                            <w:sz w:val="16"/>
                            <w:szCs w:val="18"/>
                          </w:rPr>
                        </w:pPr>
                        <w:r w:rsidRPr="00CD3117">
                          <w:rPr>
                            <w:rFonts w:cs="^Ö'C0œÒ◊"/>
                            <w:color w:val="0A3296"/>
                            <w:sz w:val="16"/>
                            <w:szCs w:val="18"/>
                          </w:rPr>
                          <w:t>Tel: +32-2-8080 996</w:t>
                        </w:r>
                        <w:r w:rsidRPr="003529B9">
                          <w:rPr>
                            <w:rFonts w:cs="^Ö'C0œÒ◊"/>
                            <w:color w:val="0A3296"/>
                            <w:sz w:val="16"/>
                            <w:szCs w:val="16"/>
                          </w:rPr>
                          <w:t xml:space="preserve"> - </w:t>
                        </w:r>
                        <w:hyperlink r:id="rId3" w:history="1">
                          <w:r w:rsidRPr="003529B9">
                            <w:rPr>
                              <w:color w:val="0A3296"/>
                              <w:sz w:val="16"/>
                              <w:szCs w:val="16"/>
                            </w:rPr>
                            <w:t>info@prosafe.org</w:t>
                          </w:r>
                        </w:hyperlink>
                        <w:r w:rsidRPr="003529B9">
                          <w:rPr>
                            <w:rFonts w:cs="^Ö'C0œÒ◊"/>
                            <w:color w:val="0A3296"/>
                            <w:sz w:val="16"/>
                            <w:szCs w:val="16"/>
                          </w:rPr>
                          <w:t xml:space="preserve"> - </w:t>
                        </w:r>
                        <w:hyperlink r:id="rId4" w:history="1">
                          <w:r w:rsidRPr="003529B9">
                            <w:rPr>
                              <w:color w:val="0A3296"/>
                              <w:sz w:val="16"/>
                              <w:szCs w:val="16"/>
                            </w:rPr>
                            <w:t>www.prosafe.org</w:t>
                          </w:r>
                        </w:hyperlink>
                      </w:p>
                      <w:p w14:paraId="19A1F3EA" w14:textId="77777777" w:rsidR="009166A1" w:rsidRPr="00CD3117" w:rsidRDefault="009166A1" w:rsidP="00736F0E">
                        <w:pPr>
                          <w:jc w:val="center"/>
                          <w:rPr>
                            <w:sz w:val="20"/>
                          </w:rPr>
                        </w:pPr>
                      </w:p>
                    </w:txbxContent>
                  </v:textbox>
                </v:shape>
              </w:pict>
            </mc:Fallback>
          </mc:AlternateContent>
        </w:r>
        <w:r w:rsidR="006D0F9C">
          <w:t xml:space="preserve">| </w:t>
        </w:r>
        <w:r w:rsidR="006D0F9C" w:rsidRPr="002A1022">
          <w:rPr>
            <w:rFonts w:ascii="Trebuchet MS" w:hAnsi="Trebuchet MS"/>
            <w:sz w:val="20"/>
          </w:rPr>
          <w:fldChar w:fldCharType="begin"/>
        </w:r>
        <w:r w:rsidR="006D0F9C" w:rsidRPr="002A1022">
          <w:rPr>
            <w:rFonts w:ascii="Trebuchet MS" w:hAnsi="Trebuchet MS"/>
            <w:sz w:val="20"/>
          </w:rPr>
          <w:instrText xml:space="preserve"> PAGE   \* MERGEFORMAT </w:instrText>
        </w:r>
        <w:r w:rsidR="006D0F9C" w:rsidRPr="002A1022">
          <w:rPr>
            <w:rFonts w:ascii="Trebuchet MS" w:hAnsi="Trebuchet MS"/>
            <w:sz w:val="20"/>
          </w:rPr>
          <w:fldChar w:fldCharType="separate"/>
        </w:r>
        <w:r w:rsidR="001922B0">
          <w:rPr>
            <w:rFonts w:ascii="Trebuchet MS" w:hAnsi="Trebuchet MS"/>
            <w:noProof/>
            <w:sz w:val="20"/>
          </w:rPr>
          <w:t>3</w:t>
        </w:r>
        <w:r w:rsidR="006D0F9C" w:rsidRPr="002A1022">
          <w:rPr>
            <w:rFonts w:ascii="Trebuchet MS" w:hAnsi="Trebuchet MS"/>
            <w:noProof/>
            <w:sz w:val="20"/>
          </w:rPr>
          <w:fldChar w:fldCharType="end"/>
        </w:r>
        <w:r w:rsidR="006D0F9C">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E0E4" w14:textId="77777777" w:rsidR="00C82472" w:rsidRDefault="00C824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61DD" w14:textId="77777777" w:rsidR="00367AAE" w:rsidRDefault="00367AAE" w:rsidP="0069381B">
      <w:r>
        <w:separator/>
      </w:r>
    </w:p>
  </w:footnote>
  <w:footnote w:type="continuationSeparator" w:id="0">
    <w:p w14:paraId="7958840F" w14:textId="77777777" w:rsidR="00367AAE" w:rsidRDefault="00367AAE" w:rsidP="0069381B">
      <w:r>
        <w:continuationSeparator/>
      </w:r>
    </w:p>
  </w:footnote>
  <w:footnote w:id="1">
    <w:p w14:paraId="72A8FFC4" w14:textId="68AF5372" w:rsidR="00691EE1" w:rsidRPr="00B802A1" w:rsidRDefault="00691EE1" w:rsidP="00C228E9">
      <w:pPr>
        <w:pStyle w:val="Voetnoottekst"/>
        <w:rPr>
          <w:sz w:val="16"/>
          <w:szCs w:val="16"/>
          <w:lang w:val="fr-BE"/>
        </w:rPr>
      </w:pPr>
      <w:r w:rsidRPr="00B802A1">
        <w:rPr>
          <w:rStyle w:val="Voetnootmarkering"/>
          <w:sz w:val="16"/>
          <w:szCs w:val="16"/>
        </w:rPr>
        <w:footnoteRef/>
      </w:r>
      <w:r w:rsidRPr="00B802A1">
        <w:rPr>
          <w:sz w:val="16"/>
          <w:szCs w:val="16"/>
        </w:rPr>
        <w:t xml:space="preserve"> </w:t>
      </w:r>
      <w:hyperlink r:id="rId1" w:history="1">
        <w:r w:rsidR="00B802A1" w:rsidRPr="00B802A1">
          <w:rPr>
            <w:rStyle w:val="Hyperlink"/>
            <w:sz w:val="16"/>
            <w:szCs w:val="16"/>
          </w:rPr>
          <w:t>https://eur-lex.europa.eu/legal-content/FR/ALL/?uri=celex:32011R1235</w:t>
        </w:r>
      </w:hyperlink>
      <w:r w:rsidR="00B802A1" w:rsidRPr="00B802A1">
        <w:rPr>
          <w:color w:val="000000"/>
          <w:sz w:val="16"/>
          <w:szCs w:val="16"/>
        </w:rPr>
        <w:t xml:space="preserve"> </w:t>
      </w:r>
    </w:p>
  </w:footnote>
  <w:footnote w:id="2">
    <w:p w14:paraId="08414C15" w14:textId="1330498D" w:rsidR="00094193" w:rsidRPr="00F40822" w:rsidRDefault="00094193">
      <w:pPr>
        <w:pStyle w:val="Voetnoottekst"/>
        <w:rPr>
          <w:sz w:val="16"/>
          <w:szCs w:val="16"/>
          <w:lang w:val="fr-BE"/>
        </w:rPr>
      </w:pPr>
      <w:r w:rsidRPr="00F40822">
        <w:rPr>
          <w:rStyle w:val="Voetnootmarkering"/>
          <w:sz w:val="16"/>
          <w:szCs w:val="16"/>
        </w:rPr>
        <w:footnoteRef/>
      </w:r>
      <w:r w:rsidRPr="00F40822">
        <w:rPr>
          <w:sz w:val="16"/>
          <w:szCs w:val="16"/>
          <w:lang w:val="fr-BE"/>
        </w:rPr>
        <w:t xml:space="preserve"> </w:t>
      </w:r>
      <w:r w:rsidR="00054DB0">
        <w:fldChar w:fldCharType="begin"/>
      </w:r>
      <w:r w:rsidR="00054DB0" w:rsidRPr="00B5717D">
        <w:rPr>
          <w:lang w:val="fr-BE"/>
        </w:rPr>
        <w:instrText xml:space="preserve"> HYPERLINK "https://ec.europa.eu/growth/single-market/goods/building-blocks/icsms_en" </w:instrText>
      </w:r>
      <w:r w:rsidR="00054DB0">
        <w:fldChar w:fldCharType="separate"/>
      </w:r>
      <w:r w:rsidR="00F40822" w:rsidRPr="00F40822">
        <w:rPr>
          <w:rStyle w:val="Hyperlink"/>
          <w:sz w:val="16"/>
          <w:szCs w:val="16"/>
          <w:lang w:val="fr-BE"/>
        </w:rPr>
        <w:t>https://ec.europa.eu/growth/single-market/goods/building-blocks/icsms_en</w:t>
      </w:r>
      <w:r w:rsidR="00054DB0">
        <w:rPr>
          <w:rStyle w:val="Hyperlink"/>
          <w:sz w:val="16"/>
          <w:szCs w:val="16"/>
          <w:lang w:val="fr-BE"/>
        </w:rPr>
        <w:fldChar w:fldCharType="end"/>
      </w:r>
      <w:r w:rsidR="00F40822" w:rsidRPr="00F40822">
        <w:rPr>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84A" w14:textId="77777777" w:rsidR="00C82472" w:rsidRDefault="00C824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B4C6" w14:textId="107DE763" w:rsidR="0069381B" w:rsidRDefault="0033177A">
    <w:pPr>
      <w:pStyle w:val="Koptekst"/>
    </w:pPr>
    <w:r>
      <w:rPr>
        <w:noProof/>
      </w:rPr>
      <w:drawing>
        <wp:anchor distT="0" distB="0" distL="114300" distR="114300" simplePos="0" relativeHeight="251658240" behindDoc="0" locked="0" layoutInCell="1" allowOverlap="1" wp14:anchorId="3DDEC08C" wp14:editId="7807E9CE">
          <wp:simplePos x="0" y="0"/>
          <wp:positionH relativeFrom="margin">
            <wp:posOffset>-70485</wp:posOffset>
          </wp:positionH>
          <wp:positionV relativeFrom="margin">
            <wp:posOffset>-911860</wp:posOffset>
          </wp:positionV>
          <wp:extent cx="1357630" cy="706755"/>
          <wp:effectExtent l="0" t="0" r="0" b="0"/>
          <wp:wrapSquare wrapText="bothSides"/>
          <wp:docPr id="3" name="Picture 3" descr="ProSafe_logo_2014_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afe_logo_2014_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A66">
      <w:rPr>
        <w:noProof/>
      </w:rPr>
      <w:drawing>
        <wp:anchor distT="0" distB="0" distL="114300" distR="114300" simplePos="0" relativeHeight="251660288" behindDoc="0" locked="0" layoutInCell="1" allowOverlap="1" wp14:anchorId="4FE915C9" wp14:editId="3BF59B35">
          <wp:simplePos x="0" y="0"/>
          <wp:positionH relativeFrom="column">
            <wp:posOffset>4036060</wp:posOffset>
          </wp:positionH>
          <wp:positionV relativeFrom="paragraph">
            <wp:posOffset>144780</wp:posOffset>
          </wp:positionV>
          <wp:extent cx="2077720" cy="530860"/>
          <wp:effectExtent l="0" t="0" r="0" b="2540"/>
          <wp:wrapSquare wrapText="bothSides"/>
          <wp:docPr id="2" name="Picture 2"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40C">
      <w:rPr>
        <w:noProof/>
      </w:rPr>
      <w:drawing>
        <wp:anchor distT="0" distB="0" distL="114300" distR="114300" simplePos="0" relativeHeight="251659264" behindDoc="0" locked="0" layoutInCell="1" allowOverlap="1" wp14:anchorId="58501C44" wp14:editId="492269F3">
          <wp:simplePos x="0" y="0"/>
          <wp:positionH relativeFrom="margin">
            <wp:posOffset>2179320</wp:posOffset>
          </wp:positionH>
          <wp:positionV relativeFrom="margin">
            <wp:posOffset>-780415</wp:posOffset>
          </wp:positionV>
          <wp:extent cx="1043305" cy="574675"/>
          <wp:effectExtent l="0" t="0" r="4445" b="0"/>
          <wp:wrapSquare wrapText="bothSides"/>
          <wp:docPr id="1" name="Picture 1" descr="Logo MSTyr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STyr15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30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81B">
      <w:ptab w:relativeTo="margin" w:alignment="center" w:leader="none"/>
    </w:r>
    <w:r w:rsidR="0069381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43AD" w14:textId="77777777" w:rsidR="00C82472" w:rsidRDefault="00C824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B35AA"/>
    <w:multiLevelType w:val="hybridMultilevel"/>
    <w:tmpl w:val="14488DDC"/>
    <w:lvl w:ilvl="0" w:tplc="B768998E">
      <w:start w:val="1"/>
      <w:numFmt w:val="bullet"/>
      <w:lvlText w:val="•"/>
      <w:lvlJc w:val="left"/>
      <w:pPr>
        <w:tabs>
          <w:tab w:val="num" w:pos="720"/>
        </w:tabs>
        <w:ind w:left="720" w:hanging="360"/>
      </w:pPr>
      <w:rPr>
        <w:rFonts w:ascii="Times New Roman" w:hAnsi="Times New Roman" w:hint="default"/>
      </w:rPr>
    </w:lvl>
    <w:lvl w:ilvl="1" w:tplc="5E6CDC02" w:tentative="1">
      <w:start w:val="1"/>
      <w:numFmt w:val="bullet"/>
      <w:lvlText w:val="•"/>
      <w:lvlJc w:val="left"/>
      <w:pPr>
        <w:tabs>
          <w:tab w:val="num" w:pos="1440"/>
        </w:tabs>
        <w:ind w:left="1440" w:hanging="360"/>
      </w:pPr>
      <w:rPr>
        <w:rFonts w:ascii="Times New Roman" w:hAnsi="Times New Roman" w:hint="default"/>
      </w:rPr>
    </w:lvl>
    <w:lvl w:ilvl="2" w:tplc="F508D0E4">
      <w:start w:val="1"/>
      <w:numFmt w:val="bullet"/>
      <w:lvlText w:val="•"/>
      <w:lvlJc w:val="left"/>
      <w:pPr>
        <w:tabs>
          <w:tab w:val="num" w:pos="2160"/>
        </w:tabs>
        <w:ind w:left="2160" w:hanging="360"/>
      </w:pPr>
      <w:rPr>
        <w:rFonts w:ascii="Times New Roman" w:hAnsi="Times New Roman" w:hint="default"/>
      </w:rPr>
    </w:lvl>
    <w:lvl w:ilvl="3" w:tplc="6F98A71C" w:tentative="1">
      <w:start w:val="1"/>
      <w:numFmt w:val="bullet"/>
      <w:lvlText w:val="•"/>
      <w:lvlJc w:val="left"/>
      <w:pPr>
        <w:tabs>
          <w:tab w:val="num" w:pos="2880"/>
        </w:tabs>
        <w:ind w:left="2880" w:hanging="360"/>
      </w:pPr>
      <w:rPr>
        <w:rFonts w:ascii="Times New Roman" w:hAnsi="Times New Roman" w:hint="default"/>
      </w:rPr>
    </w:lvl>
    <w:lvl w:ilvl="4" w:tplc="8DE4DEC6" w:tentative="1">
      <w:start w:val="1"/>
      <w:numFmt w:val="bullet"/>
      <w:lvlText w:val="•"/>
      <w:lvlJc w:val="left"/>
      <w:pPr>
        <w:tabs>
          <w:tab w:val="num" w:pos="3600"/>
        </w:tabs>
        <w:ind w:left="3600" w:hanging="360"/>
      </w:pPr>
      <w:rPr>
        <w:rFonts w:ascii="Times New Roman" w:hAnsi="Times New Roman" w:hint="default"/>
      </w:rPr>
    </w:lvl>
    <w:lvl w:ilvl="5" w:tplc="13785C3C" w:tentative="1">
      <w:start w:val="1"/>
      <w:numFmt w:val="bullet"/>
      <w:lvlText w:val="•"/>
      <w:lvlJc w:val="left"/>
      <w:pPr>
        <w:tabs>
          <w:tab w:val="num" w:pos="4320"/>
        </w:tabs>
        <w:ind w:left="4320" w:hanging="360"/>
      </w:pPr>
      <w:rPr>
        <w:rFonts w:ascii="Times New Roman" w:hAnsi="Times New Roman" w:hint="default"/>
      </w:rPr>
    </w:lvl>
    <w:lvl w:ilvl="6" w:tplc="C882A3B8" w:tentative="1">
      <w:start w:val="1"/>
      <w:numFmt w:val="bullet"/>
      <w:lvlText w:val="•"/>
      <w:lvlJc w:val="left"/>
      <w:pPr>
        <w:tabs>
          <w:tab w:val="num" w:pos="5040"/>
        </w:tabs>
        <w:ind w:left="5040" w:hanging="360"/>
      </w:pPr>
      <w:rPr>
        <w:rFonts w:ascii="Times New Roman" w:hAnsi="Times New Roman" w:hint="default"/>
      </w:rPr>
    </w:lvl>
    <w:lvl w:ilvl="7" w:tplc="66CC05E8" w:tentative="1">
      <w:start w:val="1"/>
      <w:numFmt w:val="bullet"/>
      <w:lvlText w:val="•"/>
      <w:lvlJc w:val="left"/>
      <w:pPr>
        <w:tabs>
          <w:tab w:val="num" w:pos="5760"/>
        </w:tabs>
        <w:ind w:left="5760" w:hanging="360"/>
      </w:pPr>
      <w:rPr>
        <w:rFonts w:ascii="Times New Roman" w:hAnsi="Times New Roman" w:hint="default"/>
      </w:rPr>
    </w:lvl>
    <w:lvl w:ilvl="8" w:tplc="000E60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MSTyr15|Team Server TMs\Default"/>
    <w:docVar w:name="TextBaseURL" w:val="empty"/>
    <w:docVar w:name="UILng" w:val="fr"/>
  </w:docVars>
  <w:rsids>
    <w:rsidRoot w:val="0069381B"/>
    <w:rsid w:val="00004345"/>
    <w:rsid w:val="00005BBE"/>
    <w:rsid w:val="0000743C"/>
    <w:rsid w:val="00012875"/>
    <w:rsid w:val="00044EF8"/>
    <w:rsid w:val="00054DB0"/>
    <w:rsid w:val="00066B83"/>
    <w:rsid w:val="000700BB"/>
    <w:rsid w:val="00082D0B"/>
    <w:rsid w:val="00094193"/>
    <w:rsid w:val="0009799D"/>
    <w:rsid w:val="000A181A"/>
    <w:rsid w:val="000A2AB9"/>
    <w:rsid w:val="000A2C68"/>
    <w:rsid w:val="000A7FF4"/>
    <w:rsid w:val="000C50C8"/>
    <w:rsid w:val="000C58AB"/>
    <w:rsid w:val="000C7121"/>
    <w:rsid w:val="000D31D6"/>
    <w:rsid w:val="001069DA"/>
    <w:rsid w:val="001218CB"/>
    <w:rsid w:val="00135385"/>
    <w:rsid w:val="0014176F"/>
    <w:rsid w:val="00155204"/>
    <w:rsid w:val="00166DA3"/>
    <w:rsid w:val="00171160"/>
    <w:rsid w:val="0017478A"/>
    <w:rsid w:val="00176AB5"/>
    <w:rsid w:val="00183229"/>
    <w:rsid w:val="001922B0"/>
    <w:rsid w:val="00194543"/>
    <w:rsid w:val="00196AF8"/>
    <w:rsid w:val="001A20DB"/>
    <w:rsid w:val="001A3071"/>
    <w:rsid w:val="001A47D4"/>
    <w:rsid w:val="001A4BA8"/>
    <w:rsid w:val="001A7CD2"/>
    <w:rsid w:val="001B6F03"/>
    <w:rsid w:val="001C5BE2"/>
    <w:rsid w:val="001F084B"/>
    <w:rsid w:val="001F4C47"/>
    <w:rsid w:val="001F6102"/>
    <w:rsid w:val="00206383"/>
    <w:rsid w:val="002142FD"/>
    <w:rsid w:val="002212D5"/>
    <w:rsid w:val="0023075F"/>
    <w:rsid w:val="0023102D"/>
    <w:rsid w:val="00245F35"/>
    <w:rsid w:val="00246DC1"/>
    <w:rsid w:val="0024785F"/>
    <w:rsid w:val="00250855"/>
    <w:rsid w:val="00266F16"/>
    <w:rsid w:val="00286F99"/>
    <w:rsid w:val="00287FAD"/>
    <w:rsid w:val="002A1022"/>
    <w:rsid w:val="002C551E"/>
    <w:rsid w:val="002E6139"/>
    <w:rsid w:val="0030517B"/>
    <w:rsid w:val="00306FCF"/>
    <w:rsid w:val="0033177A"/>
    <w:rsid w:val="0033257C"/>
    <w:rsid w:val="00337CF7"/>
    <w:rsid w:val="003434A9"/>
    <w:rsid w:val="00346E99"/>
    <w:rsid w:val="00351D9E"/>
    <w:rsid w:val="003529B9"/>
    <w:rsid w:val="0035440C"/>
    <w:rsid w:val="00367AAE"/>
    <w:rsid w:val="003711BF"/>
    <w:rsid w:val="00372BA5"/>
    <w:rsid w:val="003A53C4"/>
    <w:rsid w:val="003A6670"/>
    <w:rsid w:val="003B24FE"/>
    <w:rsid w:val="003B51F5"/>
    <w:rsid w:val="003C46D5"/>
    <w:rsid w:val="003C5569"/>
    <w:rsid w:val="003C5CF8"/>
    <w:rsid w:val="003D14A0"/>
    <w:rsid w:val="003E7054"/>
    <w:rsid w:val="003F49A2"/>
    <w:rsid w:val="0040699C"/>
    <w:rsid w:val="004262C3"/>
    <w:rsid w:val="00435815"/>
    <w:rsid w:val="0043686F"/>
    <w:rsid w:val="00441398"/>
    <w:rsid w:val="004413AA"/>
    <w:rsid w:val="0044168A"/>
    <w:rsid w:val="004419D5"/>
    <w:rsid w:val="004428A7"/>
    <w:rsid w:val="00453A3A"/>
    <w:rsid w:val="00464FE1"/>
    <w:rsid w:val="0047058B"/>
    <w:rsid w:val="00472776"/>
    <w:rsid w:val="00473101"/>
    <w:rsid w:val="004924F3"/>
    <w:rsid w:val="004979C6"/>
    <w:rsid w:val="004B05F4"/>
    <w:rsid w:val="004C0577"/>
    <w:rsid w:val="004D5CAB"/>
    <w:rsid w:val="004D68CB"/>
    <w:rsid w:val="004E3571"/>
    <w:rsid w:val="004F3E57"/>
    <w:rsid w:val="004F6ACE"/>
    <w:rsid w:val="005001C7"/>
    <w:rsid w:val="005342D7"/>
    <w:rsid w:val="00536380"/>
    <w:rsid w:val="00542FC5"/>
    <w:rsid w:val="005700EC"/>
    <w:rsid w:val="005719AE"/>
    <w:rsid w:val="005805C0"/>
    <w:rsid w:val="00580F78"/>
    <w:rsid w:val="005B62BA"/>
    <w:rsid w:val="005B6F6C"/>
    <w:rsid w:val="005D76E7"/>
    <w:rsid w:val="005E1C64"/>
    <w:rsid w:val="005E4943"/>
    <w:rsid w:val="005E7BE7"/>
    <w:rsid w:val="00602A66"/>
    <w:rsid w:val="00604D73"/>
    <w:rsid w:val="006216D7"/>
    <w:rsid w:val="00625201"/>
    <w:rsid w:val="00626A87"/>
    <w:rsid w:val="006279F9"/>
    <w:rsid w:val="0063240B"/>
    <w:rsid w:val="0064205F"/>
    <w:rsid w:val="0064255A"/>
    <w:rsid w:val="006475DD"/>
    <w:rsid w:val="00655F73"/>
    <w:rsid w:val="006578A4"/>
    <w:rsid w:val="00663F76"/>
    <w:rsid w:val="00670276"/>
    <w:rsid w:val="00673DE9"/>
    <w:rsid w:val="006768C0"/>
    <w:rsid w:val="00683F92"/>
    <w:rsid w:val="00686F3F"/>
    <w:rsid w:val="00691EE1"/>
    <w:rsid w:val="0069381B"/>
    <w:rsid w:val="006A06C8"/>
    <w:rsid w:val="006B14A8"/>
    <w:rsid w:val="006C2481"/>
    <w:rsid w:val="006C4A72"/>
    <w:rsid w:val="006D0F9C"/>
    <w:rsid w:val="006D67E3"/>
    <w:rsid w:val="006D67ED"/>
    <w:rsid w:val="006F30D7"/>
    <w:rsid w:val="006F38B4"/>
    <w:rsid w:val="006F7398"/>
    <w:rsid w:val="007117FB"/>
    <w:rsid w:val="00711BDB"/>
    <w:rsid w:val="00715666"/>
    <w:rsid w:val="00715E5D"/>
    <w:rsid w:val="0072269F"/>
    <w:rsid w:val="00730244"/>
    <w:rsid w:val="007326F5"/>
    <w:rsid w:val="00736F0E"/>
    <w:rsid w:val="00757A8D"/>
    <w:rsid w:val="0076004C"/>
    <w:rsid w:val="00761B74"/>
    <w:rsid w:val="00765022"/>
    <w:rsid w:val="007671A9"/>
    <w:rsid w:val="00773617"/>
    <w:rsid w:val="00773BBD"/>
    <w:rsid w:val="0077449E"/>
    <w:rsid w:val="007763C3"/>
    <w:rsid w:val="0078018C"/>
    <w:rsid w:val="00780A78"/>
    <w:rsid w:val="00781250"/>
    <w:rsid w:val="00786CC8"/>
    <w:rsid w:val="00795AC5"/>
    <w:rsid w:val="007B269A"/>
    <w:rsid w:val="007B32EB"/>
    <w:rsid w:val="007C4309"/>
    <w:rsid w:val="007C573E"/>
    <w:rsid w:val="007D3C1C"/>
    <w:rsid w:val="007D61B2"/>
    <w:rsid w:val="007F434C"/>
    <w:rsid w:val="007F5C63"/>
    <w:rsid w:val="008036BC"/>
    <w:rsid w:val="00806748"/>
    <w:rsid w:val="00806989"/>
    <w:rsid w:val="00807C86"/>
    <w:rsid w:val="00813357"/>
    <w:rsid w:val="00813D9F"/>
    <w:rsid w:val="008150F9"/>
    <w:rsid w:val="0084469D"/>
    <w:rsid w:val="00847141"/>
    <w:rsid w:val="008535B4"/>
    <w:rsid w:val="00863168"/>
    <w:rsid w:val="008645CE"/>
    <w:rsid w:val="0086475F"/>
    <w:rsid w:val="00881085"/>
    <w:rsid w:val="008929F7"/>
    <w:rsid w:val="008A00EB"/>
    <w:rsid w:val="008A53DC"/>
    <w:rsid w:val="008B2F9F"/>
    <w:rsid w:val="008D2202"/>
    <w:rsid w:val="008E353E"/>
    <w:rsid w:val="008F5476"/>
    <w:rsid w:val="008F6063"/>
    <w:rsid w:val="008F6A2E"/>
    <w:rsid w:val="0090312D"/>
    <w:rsid w:val="009166A1"/>
    <w:rsid w:val="0093346C"/>
    <w:rsid w:val="009362A6"/>
    <w:rsid w:val="00937AFA"/>
    <w:rsid w:val="00957D2D"/>
    <w:rsid w:val="00966696"/>
    <w:rsid w:val="0097012C"/>
    <w:rsid w:val="009755C0"/>
    <w:rsid w:val="0097741F"/>
    <w:rsid w:val="00997CFD"/>
    <w:rsid w:val="009A27E9"/>
    <w:rsid w:val="009A400C"/>
    <w:rsid w:val="009B0462"/>
    <w:rsid w:val="009C0D16"/>
    <w:rsid w:val="009C1913"/>
    <w:rsid w:val="009D195C"/>
    <w:rsid w:val="009D527D"/>
    <w:rsid w:val="009E3EF6"/>
    <w:rsid w:val="009E52B0"/>
    <w:rsid w:val="009F37D7"/>
    <w:rsid w:val="009F4F43"/>
    <w:rsid w:val="009F7639"/>
    <w:rsid w:val="00A12882"/>
    <w:rsid w:val="00A15DEB"/>
    <w:rsid w:val="00A2037D"/>
    <w:rsid w:val="00A20D52"/>
    <w:rsid w:val="00A32FE3"/>
    <w:rsid w:val="00A353B3"/>
    <w:rsid w:val="00A360D2"/>
    <w:rsid w:val="00A43E32"/>
    <w:rsid w:val="00A44EE3"/>
    <w:rsid w:val="00A47EBC"/>
    <w:rsid w:val="00A53E4E"/>
    <w:rsid w:val="00A627FC"/>
    <w:rsid w:val="00A71D54"/>
    <w:rsid w:val="00A726D8"/>
    <w:rsid w:val="00A73990"/>
    <w:rsid w:val="00A759CF"/>
    <w:rsid w:val="00A827EC"/>
    <w:rsid w:val="00A85C84"/>
    <w:rsid w:val="00AA0C6A"/>
    <w:rsid w:val="00AB6B09"/>
    <w:rsid w:val="00AC02FF"/>
    <w:rsid w:val="00AC16F8"/>
    <w:rsid w:val="00AE0DA9"/>
    <w:rsid w:val="00AE7C61"/>
    <w:rsid w:val="00AF47F6"/>
    <w:rsid w:val="00AF55CA"/>
    <w:rsid w:val="00B022AB"/>
    <w:rsid w:val="00B07F6B"/>
    <w:rsid w:val="00B23EF5"/>
    <w:rsid w:val="00B3548E"/>
    <w:rsid w:val="00B454F5"/>
    <w:rsid w:val="00B4763F"/>
    <w:rsid w:val="00B5428F"/>
    <w:rsid w:val="00B56AD6"/>
    <w:rsid w:val="00B5717D"/>
    <w:rsid w:val="00B633B4"/>
    <w:rsid w:val="00B70D2E"/>
    <w:rsid w:val="00B76E7C"/>
    <w:rsid w:val="00B77173"/>
    <w:rsid w:val="00B802A1"/>
    <w:rsid w:val="00B83EF1"/>
    <w:rsid w:val="00B90FBC"/>
    <w:rsid w:val="00B91CE9"/>
    <w:rsid w:val="00BA2FA4"/>
    <w:rsid w:val="00BC060D"/>
    <w:rsid w:val="00BC1AA7"/>
    <w:rsid w:val="00BD70ED"/>
    <w:rsid w:val="00BF7AE0"/>
    <w:rsid w:val="00C069B6"/>
    <w:rsid w:val="00C228E9"/>
    <w:rsid w:val="00C305FB"/>
    <w:rsid w:val="00C37F4A"/>
    <w:rsid w:val="00C413C5"/>
    <w:rsid w:val="00C42A4F"/>
    <w:rsid w:val="00C47CE2"/>
    <w:rsid w:val="00C56D66"/>
    <w:rsid w:val="00C616FE"/>
    <w:rsid w:val="00C62CEC"/>
    <w:rsid w:val="00C82472"/>
    <w:rsid w:val="00C9159B"/>
    <w:rsid w:val="00CA17C7"/>
    <w:rsid w:val="00CA6B31"/>
    <w:rsid w:val="00CB7633"/>
    <w:rsid w:val="00CD3117"/>
    <w:rsid w:val="00CE0508"/>
    <w:rsid w:val="00D022B3"/>
    <w:rsid w:val="00D031DF"/>
    <w:rsid w:val="00D14075"/>
    <w:rsid w:val="00D23CB2"/>
    <w:rsid w:val="00D2552F"/>
    <w:rsid w:val="00D31FBF"/>
    <w:rsid w:val="00D36AFF"/>
    <w:rsid w:val="00D42555"/>
    <w:rsid w:val="00D4611C"/>
    <w:rsid w:val="00D50EBE"/>
    <w:rsid w:val="00D51DD0"/>
    <w:rsid w:val="00D545B4"/>
    <w:rsid w:val="00D61D1A"/>
    <w:rsid w:val="00D67132"/>
    <w:rsid w:val="00D710A7"/>
    <w:rsid w:val="00D73641"/>
    <w:rsid w:val="00DA7D32"/>
    <w:rsid w:val="00DB507E"/>
    <w:rsid w:val="00DC65DE"/>
    <w:rsid w:val="00DD1F06"/>
    <w:rsid w:val="00DD506D"/>
    <w:rsid w:val="00DE24DC"/>
    <w:rsid w:val="00DE3A8E"/>
    <w:rsid w:val="00DE6B16"/>
    <w:rsid w:val="00E0139D"/>
    <w:rsid w:val="00E01EF6"/>
    <w:rsid w:val="00E024E9"/>
    <w:rsid w:val="00E043C0"/>
    <w:rsid w:val="00E15A29"/>
    <w:rsid w:val="00E220C9"/>
    <w:rsid w:val="00E275C6"/>
    <w:rsid w:val="00E312BD"/>
    <w:rsid w:val="00E356CB"/>
    <w:rsid w:val="00E43F36"/>
    <w:rsid w:val="00E530F0"/>
    <w:rsid w:val="00E76126"/>
    <w:rsid w:val="00E851B5"/>
    <w:rsid w:val="00E95F1C"/>
    <w:rsid w:val="00EA4ABB"/>
    <w:rsid w:val="00EA6E96"/>
    <w:rsid w:val="00EB67AA"/>
    <w:rsid w:val="00EB73BA"/>
    <w:rsid w:val="00EC14EA"/>
    <w:rsid w:val="00EC5680"/>
    <w:rsid w:val="00ED5470"/>
    <w:rsid w:val="00F17864"/>
    <w:rsid w:val="00F2007A"/>
    <w:rsid w:val="00F228FD"/>
    <w:rsid w:val="00F40822"/>
    <w:rsid w:val="00F50A38"/>
    <w:rsid w:val="00F625C0"/>
    <w:rsid w:val="00F664B2"/>
    <w:rsid w:val="00F66D34"/>
    <w:rsid w:val="00F67327"/>
    <w:rsid w:val="00F70410"/>
    <w:rsid w:val="00F87AF9"/>
    <w:rsid w:val="00F901C8"/>
    <w:rsid w:val="00F90542"/>
    <w:rsid w:val="00F95793"/>
    <w:rsid w:val="00F96B22"/>
    <w:rsid w:val="00FB1C75"/>
    <w:rsid w:val="00FC0BC0"/>
    <w:rsid w:val="00FC5EB5"/>
    <w:rsid w:val="00FC6A3D"/>
    <w:rsid w:val="00FD1B93"/>
    <w:rsid w:val="00FF08E4"/>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20247"/>
  <w15:docId w15:val="{619C2B58-7D4E-4E0E-9FB6-936A9516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381B"/>
    <w:pPr>
      <w:spacing w:after="0" w:line="240" w:lineRule="auto"/>
    </w:pPr>
    <w:rPr>
      <w:rFonts w:ascii="Trebuchet MS" w:eastAsia="Times New Roman" w:hAnsi="Trebuchet MS" w:cs="Times New Roman"/>
      <w:spacing w:val="2"/>
      <w:sz w:val="21"/>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81B"/>
    <w:pPr>
      <w:tabs>
        <w:tab w:val="center" w:pos="4680"/>
        <w:tab w:val="right" w:pos="9360"/>
      </w:tabs>
    </w:pPr>
    <w:rPr>
      <w:rFonts w:asciiTheme="minorHAnsi" w:eastAsiaTheme="minorHAnsi" w:hAnsiTheme="minorHAnsi" w:cstheme="minorBidi"/>
      <w:spacing w:val="0"/>
      <w:sz w:val="22"/>
      <w:szCs w:val="22"/>
      <w:lang w:val="en-US"/>
    </w:rPr>
  </w:style>
  <w:style w:type="character" w:customStyle="1" w:styleId="KoptekstChar">
    <w:name w:val="Koptekst Char"/>
    <w:basedOn w:val="Standaardalinea-lettertype"/>
    <w:link w:val="Koptekst"/>
    <w:uiPriority w:val="99"/>
    <w:rsid w:val="0069381B"/>
  </w:style>
  <w:style w:type="paragraph" w:styleId="Voettekst">
    <w:name w:val="footer"/>
    <w:basedOn w:val="Standaard"/>
    <w:link w:val="VoettekstChar"/>
    <w:uiPriority w:val="99"/>
    <w:unhideWhenUsed/>
    <w:rsid w:val="0069381B"/>
    <w:pPr>
      <w:tabs>
        <w:tab w:val="center" w:pos="4680"/>
        <w:tab w:val="right" w:pos="9360"/>
      </w:tabs>
    </w:pPr>
    <w:rPr>
      <w:rFonts w:asciiTheme="minorHAnsi" w:eastAsiaTheme="minorHAnsi" w:hAnsiTheme="minorHAnsi" w:cstheme="minorBidi"/>
      <w:spacing w:val="0"/>
      <w:sz w:val="22"/>
      <w:szCs w:val="22"/>
      <w:lang w:val="en-US"/>
    </w:rPr>
  </w:style>
  <w:style w:type="character" w:customStyle="1" w:styleId="VoettekstChar">
    <w:name w:val="Voettekst Char"/>
    <w:basedOn w:val="Standaardalinea-lettertype"/>
    <w:link w:val="Voettekst"/>
    <w:uiPriority w:val="99"/>
    <w:rsid w:val="0069381B"/>
  </w:style>
  <w:style w:type="paragraph" w:styleId="Ballontekst">
    <w:name w:val="Balloon Text"/>
    <w:basedOn w:val="Standaard"/>
    <w:link w:val="BallontekstChar"/>
    <w:unhideWhenUsed/>
    <w:rsid w:val="0069381B"/>
    <w:rPr>
      <w:rFonts w:ascii="Tahoma" w:eastAsiaTheme="minorHAnsi" w:hAnsi="Tahoma" w:cs="Tahoma"/>
      <w:spacing w:val="0"/>
      <w:sz w:val="16"/>
      <w:szCs w:val="16"/>
      <w:lang w:val="en-US"/>
    </w:rPr>
  </w:style>
  <w:style w:type="character" w:customStyle="1" w:styleId="BallontekstChar">
    <w:name w:val="Ballontekst Char"/>
    <w:basedOn w:val="Standaardalinea-lettertype"/>
    <w:link w:val="Ballontekst"/>
    <w:rsid w:val="0069381B"/>
    <w:rPr>
      <w:rFonts w:ascii="Tahoma" w:hAnsi="Tahoma" w:cs="Tahoma"/>
      <w:sz w:val="16"/>
      <w:szCs w:val="16"/>
    </w:rPr>
  </w:style>
  <w:style w:type="character" w:styleId="Hyperlink">
    <w:name w:val="Hyperlink"/>
    <w:rsid w:val="0069381B"/>
    <w:rPr>
      <w:color w:val="0000FF"/>
      <w:u w:val="single"/>
    </w:rPr>
  </w:style>
  <w:style w:type="paragraph" w:styleId="Tekstopmerking">
    <w:name w:val="annotation text"/>
    <w:basedOn w:val="Standaard"/>
    <w:link w:val="TekstopmerkingChar"/>
    <w:uiPriority w:val="99"/>
    <w:rsid w:val="0069381B"/>
    <w:rPr>
      <w:sz w:val="20"/>
      <w:szCs w:val="20"/>
    </w:rPr>
  </w:style>
  <w:style w:type="character" w:customStyle="1" w:styleId="TekstopmerkingChar">
    <w:name w:val="Tekst opmerking Char"/>
    <w:basedOn w:val="Standaardalinea-lettertype"/>
    <w:link w:val="Tekstopmerking"/>
    <w:uiPriority w:val="99"/>
    <w:rsid w:val="0069381B"/>
    <w:rPr>
      <w:rFonts w:ascii="Trebuchet MS" w:eastAsia="Times New Roman" w:hAnsi="Trebuchet MS" w:cs="Times New Roman"/>
      <w:spacing w:val="2"/>
      <w:sz w:val="20"/>
      <w:szCs w:val="20"/>
      <w:lang w:val="en-GB"/>
    </w:rPr>
  </w:style>
  <w:style w:type="paragraph" w:styleId="Eindnoottekst">
    <w:name w:val="endnote text"/>
    <w:basedOn w:val="Standaard"/>
    <w:link w:val="EindnoottekstChar"/>
    <w:uiPriority w:val="99"/>
    <w:semiHidden/>
    <w:unhideWhenUsed/>
    <w:rsid w:val="0069381B"/>
    <w:rPr>
      <w:sz w:val="20"/>
      <w:szCs w:val="20"/>
    </w:rPr>
  </w:style>
  <w:style w:type="character" w:customStyle="1" w:styleId="EindnoottekstChar">
    <w:name w:val="Eindnoottekst Char"/>
    <w:basedOn w:val="Standaardalinea-lettertype"/>
    <w:link w:val="Eindnoottekst"/>
    <w:uiPriority w:val="99"/>
    <w:semiHidden/>
    <w:rsid w:val="0069381B"/>
    <w:rPr>
      <w:rFonts w:ascii="Trebuchet MS" w:eastAsia="Times New Roman" w:hAnsi="Trebuchet MS" w:cs="Times New Roman"/>
      <w:spacing w:val="2"/>
      <w:sz w:val="20"/>
      <w:szCs w:val="20"/>
      <w:lang w:val="en-GB"/>
    </w:rPr>
  </w:style>
  <w:style w:type="character" w:styleId="Eindnootmarkering">
    <w:name w:val="endnote reference"/>
    <w:basedOn w:val="Standaardalinea-lettertype"/>
    <w:uiPriority w:val="99"/>
    <w:semiHidden/>
    <w:unhideWhenUsed/>
    <w:rsid w:val="0069381B"/>
    <w:rPr>
      <w:vertAlign w:val="superscript"/>
    </w:rPr>
  </w:style>
  <w:style w:type="paragraph" w:styleId="Voetnoottekst">
    <w:name w:val="footnote text"/>
    <w:basedOn w:val="Standaard"/>
    <w:link w:val="VoetnoottekstChar"/>
    <w:unhideWhenUsed/>
    <w:rsid w:val="0069381B"/>
    <w:rPr>
      <w:sz w:val="20"/>
      <w:szCs w:val="20"/>
    </w:rPr>
  </w:style>
  <w:style w:type="character" w:customStyle="1" w:styleId="VoetnoottekstChar">
    <w:name w:val="Voetnoottekst Char"/>
    <w:basedOn w:val="Standaardalinea-lettertype"/>
    <w:link w:val="Voetnoottekst"/>
    <w:rsid w:val="0069381B"/>
    <w:rPr>
      <w:rFonts w:ascii="Trebuchet MS" w:eastAsia="Times New Roman" w:hAnsi="Trebuchet MS" w:cs="Times New Roman"/>
      <w:spacing w:val="2"/>
      <w:sz w:val="20"/>
      <w:szCs w:val="20"/>
      <w:lang w:val="en-GB"/>
    </w:rPr>
  </w:style>
  <w:style w:type="character" w:styleId="Voetnootmarkering">
    <w:name w:val="footnote reference"/>
    <w:basedOn w:val="Standaardalinea-lettertype"/>
    <w:unhideWhenUsed/>
    <w:rsid w:val="0069381B"/>
    <w:rPr>
      <w:vertAlign w:val="superscript"/>
    </w:rPr>
  </w:style>
  <w:style w:type="character" w:styleId="Verwijzingopmerking">
    <w:name w:val="annotation reference"/>
    <w:uiPriority w:val="99"/>
    <w:rsid w:val="00176AB5"/>
    <w:rPr>
      <w:sz w:val="16"/>
      <w:szCs w:val="16"/>
    </w:rPr>
  </w:style>
  <w:style w:type="paragraph" w:styleId="Onderwerpvanopmerking">
    <w:name w:val="annotation subject"/>
    <w:basedOn w:val="Tekstopmerking"/>
    <w:next w:val="Tekstopmerking"/>
    <w:link w:val="OnderwerpvanopmerkingChar"/>
    <w:uiPriority w:val="99"/>
    <w:semiHidden/>
    <w:unhideWhenUsed/>
    <w:rsid w:val="00CA6B31"/>
    <w:rPr>
      <w:b/>
      <w:bCs/>
    </w:rPr>
  </w:style>
  <w:style w:type="character" w:customStyle="1" w:styleId="OnderwerpvanopmerkingChar">
    <w:name w:val="Onderwerp van opmerking Char"/>
    <w:basedOn w:val="TekstopmerkingChar"/>
    <w:link w:val="Onderwerpvanopmerking"/>
    <w:uiPriority w:val="99"/>
    <w:semiHidden/>
    <w:rsid w:val="00CA6B31"/>
    <w:rPr>
      <w:rFonts w:ascii="Trebuchet MS" w:eastAsia="Times New Roman" w:hAnsi="Trebuchet MS" w:cs="Times New Roman"/>
      <w:b/>
      <w:bCs/>
      <w:spacing w:val="2"/>
      <w:sz w:val="20"/>
      <w:szCs w:val="20"/>
      <w:lang w:val="en-GB"/>
    </w:rPr>
  </w:style>
  <w:style w:type="paragraph" w:styleId="Lijstalinea">
    <w:name w:val="List Paragraph"/>
    <w:basedOn w:val="Standaard"/>
    <w:uiPriority w:val="34"/>
    <w:qFormat/>
    <w:rsid w:val="00B4763F"/>
    <w:pPr>
      <w:ind w:left="720"/>
      <w:contextualSpacing/>
    </w:pPr>
    <w:rPr>
      <w:rFonts w:ascii="Times New Roman" w:hAnsi="Times New Roman"/>
      <w:spacing w:val="0"/>
      <w:sz w:val="24"/>
      <w:lang w:val="it-IT" w:eastAsia="it-IT"/>
    </w:rPr>
  </w:style>
  <w:style w:type="character" w:customStyle="1" w:styleId="Onopgelostemelding1">
    <w:name w:val="Onopgeloste melding1"/>
    <w:basedOn w:val="Standaardalinea-lettertype"/>
    <w:uiPriority w:val="99"/>
    <w:semiHidden/>
    <w:unhideWhenUsed/>
    <w:rsid w:val="00ED5470"/>
    <w:rPr>
      <w:color w:val="605E5C"/>
      <w:shd w:val="clear" w:color="auto" w:fill="E1DFDD"/>
    </w:rPr>
  </w:style>
  <w:style w:type="character" w:styleId="GevolgdeHyperlink">
    <w:name w:val="FollowedHyperlink"/>
    <w:basedOn w:val="Standaardalinea-lettertype"/>
    <w:uiPriority w:val="99"/>
    <w:semiHidden/>
    <w:unhideWhenUsed/>
    <w:rsid w:val="00711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657540">
      <w:bodyDiv w:val="1"/>
      <w:marLeft w:val="0"/>
      <w:marRight w:val="0"/>
      <w:marTop w:val="0"/>
      <w:marBottom w:val="0"/>
      <w:divBdr>
        <w:top w:val="none" w:sz="0" w:space="0" w:color="auto"/>
        <w:left w:val="none" w:sz="0" w:space="0" w:color="auto"/>
        <w:bottom w:val="none" w:sz="0" w:space="0" w:color="auto"/>
        <w:right w:val="none" w:sz="0" w:space="0" w:color="auto"/>
      </w:divBdr>
      <w:divsChild>
        <w:div w:id="1019047370">
          <w:marLeft w:val="1800"/>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afe.org/" TargetMode="External"/><Relationship Id="rId13" Type="http://schemas.openxmlformats.org/officeDocument/2006/relationships/image" Target="media/image1.png"/><Relationship Id="rId18" Type="http://schemas.openxmlformats.org/officeDocument/2006/relationships/hyperlink" Target="https://twitter.com/prosafe_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sew.eu/" TargetMode="External"/><Relationship Id="rId17" Type="http://schemas.openxmlformats.org/officeDocument/2006/relationships/hyperlink" Target="http://www.prosafe.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styr15.eu/index.php/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ed.at/en/world-sustainable-energy-day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prosafe.org" TargetMode="External"/><Relationship Id="rId23" Type="http://schemas.openxmlformats.org/officeDocument/2006/relationships/footer" Target="footer2.xml"/><Relationship Id="rId10" Type="http://schemas.openxmlformats.org/officeDocument/2006/relationships/hyperlink" Target="http://www.mstyr15.eu/index.php/en/" TargetMode="External"/><Relationship Id="rId19" Type="http://schemas.openxmlformats.org/officeDocument/2006/relationships/hyperlink" Target="https://twitter.com/mstyr15" TargetMode="External"/><Relationship Id="rId4" Type="http://schemas.openxmlformats.org/officeDocument/2006/relationships/settings" Target="settings.xml"/><Relationship Id="rId9" Type="http://schemas.openxmlformats.org/officeDocument/2006/relationships/hyperlink" Target="https://ec.europa.eu/programmes/horizon2020/" TargetMode="External"/><Relationship Id="rId14" Type="http://schemas.openxmlformats.org/officeDocument/2006/relationships/hyperlink" Target="mailto:ioana@prosafe.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prosafe.org" TargetMode="External"/><Relationship Id="rId2" Type="http://schemas.openxmlformats.org/officeDocument/2006/relationships/hyperlink" Target="http://www.prosafe.org" TargetMode="External"/><Relationship Id="rId1" Type="http://schemas.openxmlformats.org/officeDocument/2006/relationships/hyperlink" Target="mailto:info@prosafe.org" TargetMode="External"/><Relationship Id="rId4" Type="http://schemas.openxmlformats.org/officeDocument/2006/relationships/hyperlink" Target="http://www.prosaf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ALL/?uri=celex:32011R1235"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2F8C-A8DD-4400-872B-8819A5C5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6448</Characters>
  <Application>Microsoft Office Word</Application>
  <DocSecurity>0</DocSecurity>
  <Lines>53</Lines>
  <Paragraphs>15</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Microsoft</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Prosafe - Kyriakos Papazoglou</dc:creator>
  <cp:lastModifiedBy>Lukovnikova Marina</cp:lastModifiedBy>
  <cp:revision>3</cp:revision>
  <cp:lastPrinted>2018-06-18T14:51:00Z</cp:lastPrinted>
  <dcterms:created xsi:type="dcterms:W3CDTF">2018-08-24T12:37:00Z</dcterms:created>
  <dcterms:modified xsi:type="dcterms:W3CDTF">2018-08-24T12:37:00Z</dcterms:modified>
</cp:coreProperties>
</file>