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9D" w:rsidRPr="0032499D" w:rsidRDefault="0032499D" w:rsidP="0032499D">
      <w:pPr>
        <w:shd w:val="clear" w:color="auto" w:fill="FFFFFF"/>
        <w:spacing w:after="240" w:line="300" w:lineRule="atLeast"/>
        <w:ind w:left="720"/>
        <w:outlineLvl w:val="1"/>
        <w:rPr>
          <w:rFonts w:ascii="Arial" w:eastAsia="Times New Roman" w:hAnsi="Arial" w:cs="Arial"/>
          <w:b/>
          <w:bCs/>
          <w:color w:val="000000"/>
          <w:kern w:val="36"/>
          <w:sz w:val="20"/>
          <w:szCs w:val="20"/>
          <w:lang w:val="nl-BE" w:eastAsia="fr-BE"/>
        </w:rPr>
      </w:pPr>
      <w:r w:rsidRPr="0032499D">
        <w:rPr>
          <w:rFonts w:ascii="Arial" w:eastAsia="Times New Roman" w:hAnsi="Arial" w:cs="Arial"/>
          <w:b/>
          <w:bCs/>
          <w:color w:val="000000"/>
          <w:kern w:val="36"/>
          <w:sz w:val="32"/>
          <w:szCs w:val="32"/>
          <w:lang w:val="nl-BE" w:eastAsia="fr-BE"/>
        </w:rPr>
        <w:t>Evaluatie van de blootstelling van de Belgische bevolking aan levensmiddelenadditieven</w:t>
      </w:r>
    </w:p>
    <w:p w:rsidR="0032499D" w:rsidRPr="0032499D" w:rsidRDefault="0032499D" w:rsidP="0032499D">
      <w:pPr>
        <w:shd w:val="clear" w:color="auto" w:fill="FFFFFF"/>
        <w:spacing w:after="240" w:line="348" w:lineRule="atLeast"/>
        <w:rPr>
          <w:rFonts w:ascii="Verdana" w:eastAsia="Times New Roman" w:hAnsi="Verdana" w:cs="Arial"/>
          <w:color w:val="666666"/>
          <w:sz w:val="17"/>
          <w:szCs w:val="17"/>
          <w:lang w:val="nl-BE" w:eastAsia="fr-BE"/>
        </w:rPr>
      </w:pPr>
      <w:r w:rsidRPr="0032499D">
        <w:rPr>
          <w:rFonts w:ascii="Verdana" w:eastAsia="Times New Roman" w:hAnsi="Verdana" w:cs="Arial"/>
          <w:color w:val="666666"/>
          <w:sz w:val="17"/>
          <w:szCs w:val="17"/>
          <w:lang w:val="nl-BE" w:eastAsia="fr-BE"/>
        </w:rPr>
        <w:t xml:space="preserve">Het </w:t>
      </w:r>
      <w:hyperlink w:anchor="Rapport" w:history="1">
        <w:r w:rsidRPr="00D17088">
          <w:rPr>
            <w:rStyle w:val="Lienhypertexte"/>
            <w:rFonts w:ascii="Verdana" w:eastAsia="Times New Roman" w:hAnsi="Verdana" w:cs="Arial"/>
            <w:sz w:val="17"/>
            <w:szCs w:val="17"/>
            <w:lang w:val="nl-BE" w:eastAsia="fr-BE"/>
          </w:rPr>
          <w:t>eindrappor</w:t>
        </w:r>
        <w:bookmarkStart w:id="0" w:name="_GoBack"/>
        <w:bookmarkEnd w:id="0"/>
        <w:r w:rsidRPr="00D17088">
          <w:rPr>
            <w:rStyle w:val="Lienhypertexte"/>
            <w:rFonts w:ascii="Verdana" w:eastAsia="Times New Roman" w:hAnsi="Verdana" w:cs="Arial"/>
            <w:sz w:val="17"/>
            <w:szCs w:val="17"/>
            <w:lang w:val="nl-BE" w:eastAsia="fr-BE"/>
          </w:rPr>
          <w:t>t</w:t>
        </w:r>
      </w:hyperlink>
      <w:r w:rsidRPr="0032499D">
        <w:rPr>
          <w:rFonts w:ascii="Verdana" w:eastAsia="Times New Roman" w:hAnsi="Verdana" w:cs="Arial"/>
          <w:color w:val="335522"/>
          <w:sz w:val="17"/>
          <w:szCs w:val="17"/>
          <w:u w:val="single"/>
          <w:lang w:val="nl-BE" w:eastAsia="fr-BE"/>
        </w:rPr>
        <w:t xml:space="preserve"> </w:t>
      </w:r>
      <w:r w:rsidRPr="0032499D">
        <w:rPr>
          <w:rFonts w:ascii="Verdana" w:eastAsia="Times New Roman" w:hAnsi="Verdana" w:cs="Arial"/>
          <w:color w:val="666666"/>
          <w:sz w:val="17"/>
          <w:szCs w:val="17"/>
          <w:lang w:val="nl-BE" w:eastAsia="fr-BE"/>
        </w:rPr>
        <w:t>van een studie van het Wetenschappelijk Instituut Volksgezondheid over de blootstelling van de Belgische bevolking aan levensmiddelen toont aan dat de inname bij jonge kinderen nauwkeurig moet worden opgevolgd. Het onderzoek gebeurde in opdracht van de FOD Volksgezondheid, die de risico’s van een overschrijding van de aanvaardbare dagelijkse inname of ADI wil inschatten en het toekomstig beleid hieromtrent uittekenen.</w:t>
      </w:r>
    </w:p>
    <w:p w:rsidR="0032499D" w:rsidRPr="0032499D" w:rsidRDefault="0032499D" w:rsidP="0032499D">
      <w:pPr>
        <w:shd w:val="clear" w:color="auto" w:fill="FFFFFF"/>
        <w:spacing w:before="240" w:after="240" w:line="348" w:lineRule="atLeast"/>
        <w:rPr>
          <w:rFonts w:ascii="Verdana" w:eastAsia="Times New Roman" w:hAnsi="Verdana" w:cs="Arial"/>
          <w:color w:val="666666"/>
          <w:sz w:val="17"/>
          <w:szCs w:val="17"/>
          <w:lang w:val="nl-BE" w:eastAsia="fr-BE"/>
        </w:rPr>
      </w:pPr>
      <w:r w:rsidRPr="0032499D">
        <w:rPr>
          <w:rFonts w:ascii="Verdana" w:eastAsia="Times New Roman" w:hAnsi="Verdana" w:cs="Arial"/>
          <w:color w:val="666666"/>
          <w:sz w:val="17"/>
          <w:szCs w:val="17"/>
          <w:lang w:val="nl-BE" w:eastAsia="fr-BE"/>
        </w:rPr>
        <w:t>De studie werd uitgevoerd in 2012 en beperkte zich tot additieven met een kwantitatieve ADI. In België ging het in 2012 om 70 additieven, zo bleek uit een etiketstudie die in de supermarkten werd uitgevoerd. De inname van deze additieven werd stapsgewijs geëvalueerd en in elke fase werd de innameschatting verfijnd.</w:t>
      </w:r>
    </w:p>
    <w:p w:rsidR="0032499D" w:rsidRPr="0032499D" w:rsidRDefault="0032499D" w:rsidP="0032499D">
      <w:pPr>
        <w:shd w:val="clear" w:color="auto" w:fill="FFFFFF"/>
        <w:spacing w:before="240" w:after="240" w:line="348" w:lineRule="atLeast"/>
        <w:rPr>
          <w:rFonts w:ascii="Verdana" w:eastAsia="Times New Roman" w:hAnsi="Verdana" w:cs="Arial"/>
          <w:color w:val="666666"/>
          <w:sz w:val="17"/>
          <w:szCs w:val="17"/>
          <w:lang w:val="nl-BE" w:eastAsia="fr-BE"/>
        </w:rPr>
      </w:pPr>
      <w:r w:rsidRPr="0032499D">
        <w:rPr>
          <w:rFonts w:ascii="Verdana" w:eastAsia="Times New Roman" w:hAnsi="Verdana" w:cs="Arial"/>
          <w:color w:val="666666"/>
          <w:sz w:val="17"/>
          <w:szCs w:val="17"/>
          <w:lang w:val="nl-BE" w:eastAsia="fr-BE"/>
        </w:rPr>
        <w:t>De eerste innameschatting werd uitgevoerd volgens het pilootmodel Food Additive Intake Model of FAIM van de Europese Autoriteit voor Voedselveiligheid (EFSA). De inname van een aantal additieven overschrijdt volgens deze schatting de ADI.</w:t>
      </w:r>
    </w:p>
    <w:p w:rsidR="0032499D" w:rsidRPr="0032499D" w:rsidRDefault="0032499D" w:rsidP="0032499D">
      <w:pPr>
        <w:shd w:val="clear" w:color="auto" w:fill="FFFFFF"/>
        <w:spacing w:before="240" w:after="240" w:line="348" w:lineRule="atLeast"/>
        <w:rPr>
          <w:rFonts w:ascii="Verdana" w:eastAsia="Times New Roman" w:hAnsi="Verdana" w:cs="Arial"/>
          <w:color w:val="666666"/>
          <w:sz w:val="17"/>
          <w:szCs w:val="17"/>
          <w:lang w:val="nl-BE" w:eastAsia="fr-BE"/>
        </w:rPr>
      </w:pPr>
      <w:r w:rsidRPr="0032499D">
        <w:rPr>
          <w:rFonts w:ascii="Verdana" w:eastAsia="Times New Roman" w:hAnsi="Verdana" w:cs="Arial"/>
          <w:color w:val="666666"/>
          <w:sz w:val="17"/>
          <w:szCs w:val="17"/>
          <w:lang w:val="nl-BE" w:eastAsia="fr-BE"/>
        </w:rPr>
        <w:t>Een tweede, verfijnde innameschatting bevestigt dit resultaat voor fumaarzuur, nitriet, polysorbaten en stearoyl-2-lactylaten. Deze schatting hield rekening met de nauwkeurige consumptiegegevens uit de Voedselconsumptiepeiling van 2004 en ging telkens uit van de maximale gebruiksgehaltes. Deze tweede peiling bevat echter enkel gegevens over de Belgische consumenten vanaf 15 jaar, en dus niet over kleuters en jonge kinderen.</w:t>
      </w:r>
    </w:p>
    <w:p w:rsidR="0032499D" w:rsidRPr="0032499D" w:rsidRDefault="0032499D" w:rsidP="0032499D">
      <w:pPr>
        <w:shd w:val="clear" w:color="auto" w:fill="FFFFFF"/>
        <w:spacing w:before="240" w:after="240" w:line="348" w:lineRule="atLeast"/>
        <w:rPr>
          <w:rFonts w:ascii="Verdana" w:eastAsia="Times New Roman" w:hAnsi="Verdana" w:cs="Arial"/>
          <w:color w:val="666666"/>
          <w:sz w:val="17"/>
          <w:szCs w:val="17"/>
          <w:lang w:val="nl-BE" w:eastAsia="fr-BE"/>
        </w:rPr>
      </w:pPr>
      <w:r w:rsidRPr="0032499D">
        <w:rPr>
          <w:rFonts w:ascii="Verdana" w:eastAsia="Times New Roman" w:hAnsi="Verdana" w:cs="Arial"/>
          <w:color w:val="666666"/>
          <w:sz w:val="17"/>
          <w:szCs w:val="17"/>
          <w:lang w:val="nl-BE" w:eastAsia="fr-BE"/>
        </w:rPr>
        <w:t>Nadien werd voor sommige additieven een derde innameschatting uitgevoerd die geen rekening hield met voedselgroepen waarin het gebruik van deze levensmiddelenadditieven weliswaar toegelaten is, maar waarvoor geen bevestiging van werkelijk gebruik werd gevonden in de marktstudie (etiketstudie en gegevens Euromonitor) . De ADI wordt hierin bereikt bij percentiel 100 voor fumaarzuur , vanaf percentiel 95 overschreden voor de polysorbaten en vanaf percentiel 90 voor de stearolyl-2-lactylaten. Verder werk wordt aanbevolen voor de polysorbaten, voor stearolyl-2-lactylaten, en voor nitriet, op basis van reële concentraties in plaats van wettelijke maximale gebruiksgehaltes.</w:t>
      </w:r>
    </w:p>
    <w:p w:rsidR="0032499D" w:rsidRPr="0032499D" w:rsidRDefault="0032499D" w:rsidP="0032499D">
      <w:pPr>
        <w:shd w:val="clear" w:color="auto" w:fill="FFFFFF"/>
        <w:spacing w:before="240" w:after="240" w:line="348" w:lineRule="atLeast"/>
        <w:rPr>
          <w:rFonts w:ascii="Verdana" w:eastAsia="Times New Roman" w:hAnsi="Verdana" w:cs="Arial"/>
          <w:color w:val="666666"/>
          <w:sz w:val="17"/>
          <w:szCs w:val="17"/>
          <w:lang w:val="nl-BE" w:eastAsia="fr-BE"/>
        </w:rPr>
      </w:pPr>
      <w:r w:rsidRPr="0032499D">
        <w:rPr>
          <w:rFonts w:ascii="Verdana" w:eastAsia="Times New Roman" w:hAnsi="Verdana" w:cs="Arial"/>
          <w:color w:val="666666"/>
          <w:sz w:val="17"/>
          <w:szCs w:val="17"/>
          <w:lang w:val="nl-BE" w:eastAsia="fr-BE"/>
        </w:rPr>
        <w:t>De resultaten van de studie tonen aan dat de inname van additieven door kinderen een prioriteit moet zijn in het toekomstig beleid. Door de evolutie in de consumptiegewoontes is een regelmatige peiling en innameschatting bij de hele bevolking nodig.</w:t>
      </w:r>
    </w:p>
    <w:p w:rsidR="0032499D" w:rsidRPr="0032499D" w:rsidRDefault="0032499D" w:rsidP="0032499D">
      <w:pPr>
        <w:shd w:val="clear" w:color="auto" w:fill="FFFFFF"/>
        <w:spacing w:before="240" w:after="240" w:line="348" w:lineRule="atLeast"/>
        <w:rPr>
          <w:rFonts w:ascii="Verdana" w:eastAsia="Times New Roman" w:hAnsi="Verdana" w:cs="Arial"/>
          <w:color w:val="666666"/>
          <w:sz w:val="17"/>
          <w:szCs w:val="17"/>
          <w:lang w:val="nl-BE" w:eastAsia="fr-BE"/>
        </w:rPr>
      </w:pPr>
      <w:r w:rsidRPr="0032499D">
        <w:rPr>
          <w:rFonts w:ascii="Verdana" w:eastAsia="Times New Roman" w:hAnsi="Verdana" w:cs="Arial"/>
          <w:color w:val="666666"/>
          <w:sz w:val="17"/>
          <w:szCs w:val="17"/>
          <w:lang w:val="nl-BE" w:eastAsia="fr-BE"/>
        </w:rPr>
        <w:t>De voedselconsumptiepeiling die het WIV in 2014 zal uitvoeren, zal voor het eerst nationale gegevens over de eetgewoonten van jonge kinderen bevatten. De resultaten zullen dus een waardevolle bron voor toekomstige innameschattingen blijken.</w:t>
      </w:r>
    </w:p>
    <w:p w:rsidR="0032499D" w:rsidRPr="0032499D" w:rsidRDefault="0032499D" w:rsidP="0032499D">
      <w:pPr>
        <w:shd w:val="clear" w:color="auto" w:fill="FFFFFF"/>
        <w:spacing w:before="240" w:line="348" w:lineRule="atLeast"/>
        <w:rPr>
          <w:rFonts w:ascii="Verdana" w:eastAsia="Times New Roman" w:hAnsi="Verdana" w:cs="Arial"/>
          <w:color w:val="666666"/>
          <w:sz w:val="17"/>
          <w:szCs w:val="17"/>
          <w:lang w:val="nl-BE" w:eastAsia="fr-BE"/>
        </w:rPr>
      </w:pPr>
      <w:r w:rsidRPr="0032499D">
        <w:rPr>
          <w:rFonts w:ascii="Verdana" w:eastAsia="Times New Roman" w:hAnsi="Verdana" w:cs="Arial"/>
          <w:color w:val="666666"/>
          <w:sz w:val="17"/>
          <w:szCs w:val="17"/>
          <w:lang w:val="nl-BE" w:eastAsia="fr-BE"/>
        </w:rPr>
        <w:lastRenderedPageBreak/>
        <w:t>Met deze studie over de inname van levensmiddelenadditieven voldoet ons land aan de bepalingen van artikel 27 van verordening (EG) Nr. 1333/2008 inzake levensmiddelenadditieven, over de noodzaak dat elke lidstaat een monitoring van de inname van levensmiddelenadditieven uitvoert op grond van risico’s.</w:t>
      </w:r>
    </w:p>
    <w:p w:rsidR="0085511F" w:rsidRPr="00D17088" w:rsidRDefault="00D17088">
      <w:pPr>
        <w:rPr>
          <w:rFonts w:ascii="Verdana" w:eastAsia="Times New Roman" w:hAnsi="Verdana" w:cs="Arial"/>
          <w:color w:val="666666"/>
          <w:sz w:val="17"/>
          <w:szCs w:val="17"/>
          <w:lang w:val="nl-BE" w:eastAsia="fr-BE"/>
        </w:rPr>
      </w:pPr>
      <w:bookmarkStart w:id="1" w:name="Rapport"/>
      <w:r w:rsidRPr="00D17088">
        <w:rPr>
          <w:rFonts w:ascii="Verdana" w:eastAsia="Times New Roman" w:hAnsi="Verdana" w:cs="Arial"/>
          <w:color w:val="666666"/>
          <w:sz w:val="17"/>
          <w:szCs w:val="17"/>
          <w:lang w:val="nl-BE" w:eastAsia="fr-BE"/>
        </w:rPr>
        <w:t>Eindrapport</w:t>
      </w:r>
      <w:bookmarkEnd w:id="1"/>
      <w:r>
        <w:rPr>
          <w:rFonts w:ascii="Verdana" w:eastAsia="Times New Roman" w:hAnsi="Verdana" w:cs="Arial"/>
          <w:color w:val="666666"/>
          <w:sz w:val="17"/>
          <w:szCs w:val="17"/>
          <w:lang w:val="nl-BE" w:eastAsia="fr-BE"/>
        </w:rPr>
        <w:t xml:space="preserve">:  </w:t>
      </w:r>
      <w:r>
        <w:rPr>
          <w:rFonts w:ascii="Verdana" w:eastAsia="Times New Roman" w:hAnsi="Verdana" w:cs="Arial"/>
          <w:color w:val="666666"/>
          <w:sz w:val="17"/>
          <w:szCs w:val="17"/>
          <w:lang w:val="nl-BE" w:eastAsia="fr-BE"/>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50.25pt" o:ole="">
            <v:imagedata r:id="rId4" o:title=""/>
          </v:shape>
          <o:OLEObject Type="Embed" ProgID="AcroExch.Document.11" ShapeID="_x0000_i1028" DrawAspect="Icon" ObjectID="_1521958512" r:id="rId5"/>
        </w:object>
      </w:r>
    </w:p>
    <w:sectPr w:rsidR="0085511F" w:rsidRPr="00D17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9D"/>
    <w:rsid w:val="0032499D"/>
    <w:rsid w:val="0085511F"/>
    <w:rsid w:val="00D17088"/>
    <w:rsid w:val="00DD19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ECB9A-885F-4034-B110-FFC2EFF1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D19EE"/>
    <w:rPr>
      <w:sz w:val="16"/>
      <w:szCs w:val="16"/>
    </w:rPr>
  </w:style>
  <w:style w:type="paragraph" w:styleId="Commentaire">
    <w:name w:val="annotation text"/>
    <w:basedOn w:val="Normal"/>
    <w:link w:val="CommentaireCar"/>
    <w:uiPriority w:val="99"/>
    <w:semiHidden/>
    <w:unhideWhenUsed/>
    <w:rsid w:val="00DD19EE"/>
    <w:pPr>
      <w:spacing w:line="240" w:lineRule="auto"/>
    </w:pPr>
    <w:rPr>
      <w:sz w:val="20"/>
      <w:szCs w:val="20"/>
    </w:rPr>
  </w:style>
  <w:style w:type="character" w:customStyle="1" w:styleId="CommentaireCar">
    <w:name w:val="Commentaire Car"/>
    <w:basedOn w:val="Policepardfaut"/>
    <w:link w:val="Commentaire"/>
    <w:uiPriority w:val="99"/>
    <w:semiHidden/>
    <w:rsid w:val="00DD19EE"/>
    <w:rPr>
      <w:sz w:val="20"/>
      <w:szCs w:val="20"/>
    </w:rPr>
  </w:style>
  <w:style w:type="paragraph" w:styleId="Objetducommentaire">
    <w:name w:val="annotation subject"/>
    <w:basedOn w:val="Commentaire"/>
    <w:next w:val="Commentaire"/>
    <w:link w:val="ObjetducommentaireCar"/>
    <w:uiPriority w:val="99"/>
    <w:semiHidden/>
    <w:unhideWhenUsed/>
    <w:rsid w:val="00DD19EE"/>
    <w:rPr>
      <w:b/>
      <w:bCs/>
    </w:rPr>
  </w:style>
  <w:style w:type="character" w:customStyle="1" w:styleId="ObjetducommentaireCar">
    <w:name w:val="Objet du commentaire Car"/>
    <w:basedOn w:val="CommentaireCar"/>
    <w:link w:val="Objetducommentaire"/>
    <w:uiPriority w:val="99"/>
    <w:semiHidden/>
    <w:rsid w:val="00DD19EE"/>
    <w:rPr>
      <w:b/>
      <w:bCs/>
      <w:sz w:val="20"/>
      <w:szCs w:val="20"/>
    </w:rPr>
  </w:style>
  <w:style w:type="paragraph" w:styleId="Textedebulles">
    <w:name w:val="Balloon Text"/>
    <w:basedOn w:val="Normal"/>
    <w:link w:val="TextedebullesCar"/>
    <w:uiPriority w:val="99"/>
    <w:semiHidden/>
    <w:unhideWhenUsed/>
    <w:rsid w:val="00DD19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19EE"/>
    <w:rPr>
      <w:rFonts w:ascii="Tahoma" w:hAnsi="Tahoma" w:cs="Tahoma"/>
      <w:sz w:val="16"/>
      <w:szCs w:val="16"/>
    </w:rPr>
  </w:style>
  <w:style w:type="paragraph" w:styleId="Rvision">
    <w:name w:val="Revision"/>
    <w:hidden/>
    <w:uiPriority w:val="99"/>
    <w:semiHidden/>
    <w:rsid w:val="00D17088"/>
    <w:pPr>
      <w:spacing w:after="0" w:line="240" w:lineRule="auto"/>
    </w:pPr>
  </w:style>
  <w:style w:type="character" w:styleId="Lienhypertexte">
    <w:name w:val="Hyperlink"/>
    <w:basedOn w:val="Policepardfaut"/>
    <w:uiPriority w:val="99"/>
    <w:unhideWhenUsed/>
    <w:rsid w:val="00D17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02234">
      <w:bodyDiv w:val="1"/>
      <w:marLeft w:val="0"/>
      <w:marRight w:val="0"/>
      <w:marTop w:val="0"/>
      <w:marBottom w:val="0"/>
      <w:divBdr>
        <w:top w:val="none" w:sz="0" w:space="0" w:color="auto"/>
        <w:left w:val="none" w:sz="0" w:space="0" w:color="auto"/>
        <w:bottom w:val="none" w:sz="0" w:space="0" w:color="auto"/>
        <w:right w:val="none" w:sz="0" w:space="0" w:color="auto"/>
      </w:divBdr>
      <w:divsChild>
        <w:div w:id="1182933472">
          <w:marLeft w:val="0"/>
          <w:marRight w:val="0"/>
          <w:marTop w:val="0"/>
          <w:marBottom w:val="0"/>
          <w:divBdr>
            <w:top w:val="none" w:sz="0" w:space="0" w:color="auto"/>
            <w:left w:val="none" w:sz="0" w:space="0" w:color="auto"/>
            <w:bottom w:val="none" w:sz="0" w:space="0" w:color="auto"/>
            <w:right w:val="none" w:sz="0" w:space="0" w:color="auto"/>
          </w:divBdr>
          <w:divsChild>
            <w:div w:id="434256205">
              <w:marLeft w:val="0"/>
              <w:marRight w:val="-150"/>
              <w:marTop w:val="0"/>
              <w:marBottom w:val="0"/>
              <w:divBdr>
                <w:top w:val="none" w:sz="0" w:space="0" w:color="auto"/>
                <w:left w:val="none" w:sz="0" w:space="0" w:color="auto"/>
                <w:bottom w:val="none" w:sz="0" w:space="0" w:color="auto"/>
                <w:right w:val="none" w:sz="0" w:space="0" w:color="auto"/>
              </w:divBdr>
              <w:divsChild>
                <w:div w:id="1951737325">
                  <w:marLeft w:val="240"/>
                  <w:marRight w:val="240"/>
                  <w:marTop w:val="240"/>
                  <w:marBottom w:val="240"/>
                  <w:divBdr>
                    <w:top w:val="none" w:sz="0" w:space="0" w:color="auto"/>
                    <w:left w:val="none" w:sz="0" w:space="0" w:color="auto"/>
                    <w:bottom w:val="none" w:sz="0" w:space="0" w:color="auto"/>
                    <w:right w:val="none" w:sz="0" w:space="0" w:color="auto"/>
                  </w:divBdr>
                  <w:divsChild>
                    <w:div w:id="1204444513">
                      <w:marLeft w:val="0"/>
                      <w:marRight w:val="0"/>
                      <w:marTop w:val="480"/>
                      <w:marBottom w:val="0"/>
                      <w:divBdr>
                        <w:top w:val="none" w:sz="0" w:space="0" w:color="auto"/>
                        <w:left w:val="none" w:sz="0" w:space="0" w:color="auto"/>
                        <w:bottom w:val="none" w:sz="0" w:space="0" w:color="auto"/>
                        <w:right w:val="none" w:sz="0" w:space="0" w:color="auto"/>
                      </w:divBdr>
                      <w:divsChild>
                        <w:div w:id="734200937">
                          <w:marLeft w:val="0"/>
                          <w:marRight w:val="0"/>
                          <w:marTop w:val="0"/>
                          <w:marBottom w:val="0"/>
                          <w:divBdr>
                            <w:top w:val="none" w:sz="0" w:space="0" w:color="auto"/>
                            <w:left w:val="none" w:sz="0" w:space="0" w:color="auto"/>
                            <w:bottom w:val="none" w:sz="0" w:space="0" w:color="auto"/>
                            <w:right w:val="none" w:sz="0" w:space="0" w:color="auto"/>
                          </w:divBdr>
                          <w:divsChild>
                            <w:div w:id="1011564316">
                              <w:marLeft w:val="0"/>
                              <w:marRight w:val="0"/>
                              <w:marTop w:val="0"/>
                              <w:marBottom w:val="0"/>
                              <w:divBdr>
                                <w:top w:val="none" w:sz="0" w:space="0" w:color="auto"/>
                                <w:left w:val="none" w:sz="0" w:space="0" w:color="auto"/>
                                <w:bottom w:val="none" w:sz="0" w:space="0" w:color="auto"/>
                                <w:right w:val="none" w:sz="0" w:space="0" w:color="auto"/>
                              </w:divBdr>
                              <w:divsChild>
                                <w:div w:id="1933009495">
                                  <w:marLeft w:val="0"/>
                                  <w:marRight w:val="0"/>
                                  <w:marTop w:val="0"/>
                                  <w:marBottom w:val="0"/>
                                  <w:divBdr>
                                    <w:top w:val="none" w:sz="0" w:space="0" w:color="auto"/>
                                    <w:left w:val="none" w:sz="0" w:space="0" w:color="auto"/>
                                    <w:bottom w:val="none" w:sz="0" w:space="0" w:color="auto"/>
                                    <w:right w:val="none" w:sz="0" w:space="0" w:color="auto"/>
                                  </w:divBdr>
                                  <w:divsChild>
                                    <w:div w:id="1110322542">
                                      <w:marLeft w:val="0"/>
                                      <w:marRight w:val="0"/>
                                      <w:marTop w:val="0"/>
                                      <w:marBottom w:val="0"/>
                                      <w:divBdr>
                                        <w:top w:val="none" w:sz="0" w:space="0" w:color="auto"/>
                                        <w:left w:val="none" w:sz="0" w:space="0" w:color="auto"/>
                                        <w:bottom w:val="none" w:sz="0" w:space="0" w:color="auto"/>
                                        <w:right w:val="none" w:sz="0" w:space="0" w:color="auto"/>
                                      </w:divBdr>
                                      <w:divsChild>
                                        <w:div w:id="1651015367">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health.fgov.be</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Houwaer Christel</dc:creator>
  <cp:lastModifiedBy>Hocepied Philippe</cp:lastModifiedBy>
  <cp:revision>3</cp:revision>
  <dcterms:created xsi:type="dcterms:W3CDTF">2015-10-29T15:04:00Z</dcterms:created>
  <dcterms:modified xsi:type="dcterms:W3CDTF">2016-04-12T07:29:00Z</dcterms:modified>
</cp:coreProperties>
</file>