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7296B" w14:textId="7059FE88" w:rsidR="004E154C" w:rsidRDefault="004E154C" w:rsidP="004E154C">
      <w:pPr>
        <w:pStyle w:val="Titel"/>
        <w:jc w:val="center"/>
        <w:rPr>
          <w:rFonts w:asciiTheme="minorHAnsi" w:hAnsiTheme="minorHAnsi" w:cstheme="minorHAnsi"/>
          <w:b/>
          <w:bCs/>
          <w:color w:val="C46A82" w:themeColor="accent4"/>
          <w:sz w:val="96"/>
          <w:szCs w:val="96"/>
        </w:rPr>
      </w:pPr>
      <w:r w:rsidRPr="004E154C">
        <w:rPr>
          <w:b/>
          <w:bCs/>
          <w:noProof/>
          <w:color w:val="C46A82" w:themeColor="accent4"/>
          <w:sz w:val="180"/>
          <w:szCs w:val="180"/>
        </w:rPr>
        <mc:AlternateContent>
          <mc:Choice Requires="wps">
            <w:drawing>
              <wp:anchor distT="0" distB="0" distL="114300" distR="114300" simplePos="0" relativeHeight="251663360" behindDoc="0" locked="0" layoutInCell="1" allowOverlap="1" wp14:anchorId="059A1F96" wp14:editId="685B4F49">
                <wp:simplePos x="0" y="0"/>
                <wp:positionH relativeFrom="column">
                  <wp:posOffset>-179461</wp:posOffset>
                </wp:positionH>
                <wp:positionV relativeFrom="paragraph">
                  <wp:posOffset>960267</wp:posOffset>
                </wp:positionV>
                <wp:extent cx="1594485" cy="511175"/>
                <wp:effectExtent l="0" t="0" r="5715" b="317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511175"/>
                        </a:xfrm>
                        <a:prstGeom prst="rect">
                          <a:avLst/>
                        </a:prstGeom>
                        <a:noFill/>
                        <a:ln w="9525">
                          <a:noFill/>
                          <a:miter lim="800000"/>
                          <a:headEnd/>
                          <a:tailEnd/>
                        </a:ln>
                      </wps:spPr>
                      <wps:txbx>
                        <w:txbxContent>
                          <w:p w14:paraId="62E67458" w14:textId="77777777" w:rsidR="0069384C" w:rsidRPr="001E2BC3" w:rsidRDefault="0069384C" w:rsidP="0069384C">
                            <w:pPr>
                              <w:spacing w:after="40" w:line="240" w:lineRule="auto"/>
                              <w:rPr>
                                <w:rFonts w:ascii="Arial Narrow" w:hAnsi="Arial Narrow" w:cs="Arial"/>
                                <w:color w:val="990033"/>
                                <w:sz w:val="16"/>
                                <w:szCs w:val="16"/>
                              </w:rPr>
                            </w:pPr>
                            <w:r w:rsidRPr="00690E0D">
                              <w:rPr>
                                <w:rFonts w:ascii="Arial Narrow" w:hAnsi="Arial Narrow" w:cs="Arial"/>
                                <w:color w:val="990033"/>
                                <w:sz w:val="16"/>
                                <w:szCs w:val="16"/>
                              </w:rPr>
                              <w:t>DGGS - Gezondheidszorg</w:t>
                            </w:r>
                          </w:p>
                          <w:p w14:paraId="3E0A482F" w14:textId="77777777" w:rsidR="0069384C" w:rsidRPr="001E2BC3" w:rsidRDefault="0069384C" w:rsidP="0069384C">
                            <w:pPr>
                              <w:spacing w:after="40" w:line="240" w:lineRule="auto"/>
                              <w:rPr>
                                <w:rFonts w:ascii="Arial Narrow" w:hAnsi="Arial Narrow" w:cs="Arial"/>
                                <w:color w:val="606E2F"/>
                                <w:sz w:val="16"/>
                                <w:szCs w:val="16"/>
                              </w:rPr>
                            </w:pPr>
                            <w:r w:rsidRPr="00690E0D">
                              <w:rPr>
                                <w:rFonts w:ascii="Arial Narrow" w:hAnsi="Arial Narrow" w:cs="Arial"/>
                                <w:color w:val="606E2F"/>
                                <w:sz w:val="16"/>
                                <w:szCs w:val="16"/>
                              </w:rPr>
                              <w:t>Dienst Data en Beleidsinformatie</w:t>
                            </w:r>
                          </w:p>
                          <w:p w14:paraId="2B80025A" w14:textId="466343FD" w:rsidR="0069384C" w:rsidRPr="00D67CF5" w:rsidRDefault="0069384C" w:rsidP="0069384C">
                            <w:pPr>
                              <w:spacing w:after="40" w:line="240" w:lineRule="auto"/>
                              <w:rPr>
                                <w:rFonts w:ascii="Arial Narrow" w:hAnsi="Arial Narrow" w:cs="Arial"/>
                                <w:color w:val="606E2F"/>
                                <w:sz w:val="16"/>
                                <w:szCs w:val="16"/>
                              </w:rPr>
                            </w:pPr>
                            <w:r>
                              <w:rPr>
                                <w:rFonts w:ascii="Arial Narrow" w:hAnsi="Arial Narrow" w:cs="Arial"/>
                                <w:color w:val="606E2F"/>
                                <w:sz w:val="16"/>
                                <w:szCs w:val="16"/>
                              </w:rPr>
                              <w:t>Dienst Psychosociale zorg</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type w14:anchorId="059A1F96" id="_x0000_t202" coordsize="21600,21600" o:spt="202" path="m,l,21600r21600,l21600,xe">
                <v:stroke joinstyle="miter"/>
                <v:path gradientshapeok="t" o:connecttype="rect"/>
              </v:shapetype>
              <v:shape id="Zone de texte 2" o:spid="_x0000_s1026" type="#_x0000_t202" style="position:absolute;left:0;text-align:left;margin-left:-14.15pt;margin-top:75.6pt;width:125.55pt;height:4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" filled="f" stroked="f">
                <v:textbox inset="0,0,0,0">
                  <w:txbxContent>
                    <w:p w14:paraId="62E67458" w14:textId="77777777" w:rsidR="0069384C" w:rsidRPr="001E2BC3" w:rsidRDefault="0069384C" w:rsidP="0069384C">
                      <w:pPr>
                        <w:spacing w:after="40" w:line="240" w:lineRule="auto"/>
                        <w:rPr>
                          <w:rFonts w:ascii="Arial Narrow" w:hAnsi="Arial Narrow" w:cs="Arial"/>
                          <w:color w:val="990033"/>
                          <w:sz w:val="16"/>
                          <w:szCs w:val="16"/>
                        </w:rPr>
                      </w:pPr>
                      <w:r w:rsidRPr="00690E0D">
                        <w:rPr>
                          <w:rFonts w:ascii="Arial Narrow" w:hAnsi="Arial Narrow" w:cs="Arial"/>
                          <w:color w:val="990033"/>
                          <w:sz w:val="16"/>
                          <w:szCs w:val="16"/>
                        </w:rPr>
                        <w:t>DGGS - Gezondheidszorg</w:t>
                      </w:r>
                    </w:p>
                    <w:p w14:paraId="3E0A482F" w14:textId="77777777" w:rsidR="0069384C" w:rsidRPr="001E2BC3" w:rsidRDefault="0069384C" w:rsidP="0069384C">
                      <w:pPr>
                        <w:spacing w:after="40" w:line="240" w:lineRule="auto"/>
                        <w:rPr>
                          <w:rFonts w:ascii="Arial Narrow" w:hAnsi="Arial Narrow" w:cs="Arial"/>
                          <w:color w:val="606E2F"/>
                          <w:sz w:val="16"/>
                          <w:szCs w:val="16"/>
                        </w:rPr>
                      </w:pPr>
                      <w:r w:rsidRPr="00690E0D">
                        <w:rPr>
                          <w:rFonts w:ascii="Arial Narrow" w:hAnsi="Arial Narrow" w:cs="Arial"/>
                          <w:color w:val="606E2F"/>
                          <w:sz w:val="16"/>
                          <w:szCs w:val="16"/>
                        </w:rPr>
                        <w:t>Dienst Data en Beleidsinformatie</w:t>
                      </w:r>
                    </w:p>
                    <w:p w14:paraId="2B80025A" w14:textId="466343FD" w:rsidR="0069384C" w:rsidRPr="00D67CF5" w:rsidRDefault="0069384C" w:rsidP="0069384C">
                      <w:pPr>
                        <w:spacing w:after="40" w:line="240" w:lineRule="auto"/>
                        <w:rPr>
                          <w:rFonts w:ascii="Arial Narrow" w:hAnsi="Arial Narrow" w:cs="Arial"/>
                          <w:color w:val="606E2F"/>
                          <w:sz w:val="16"/>
                          <w:szCs w:val="16"/>
                        </w:rPr>
                      </w:pPr>
                      <w:r>
                        <w:rPr>
                          <w:rFonts w:ascii="Arial Narrow" w:hAnsi="Arial Narrow" w:cs="Arial"/>
                          <w:color w:val="606E2F"/>
                          <w:sz w:val="16"/>
                          <w:szCs w:val="16"/>
                        </w:rPr>
                        <w:t>Dienst Psychosociale zorg</w:t>
                      </w:r>
                    </w:p>
                  </w:txbxContent>
                </v:textbox>
                <w10:wrap type="topAndBottom"/>
              </v:shape>
            </w:pict>
          </mc:Fallback>
        </mc:AlternateContent>
      </w:r>
      <w:r w:rsidRPr="004E154C">
        <w:rPr>
          <w:b/>
          <w:bCs/>
          <w:noProof/>
          <w:color w:val="C46A82" w:themeColor="accent4"/>
          <w:sz w:val="144"/>
          <w:szCs w:val="144"/>
        </w:rPr>
        <w:drawing>
          <wp:anchor distT="0" distB="0" distL="114300" distR="114300" simplePos="0" relativeHeight="251661312" behindDoc="1" locked="0" layoutInCell="1" allowOverlap="1" wp14:anchorId="1EAC8F98" wp14:editId="01D72E74">
            <wp:simplePos x="0" y="0"/>
            <wp:positionH relativeFrom="margin">
              <wp:posOffset>-681404</wp:posOffset>
            </wp:positionH>
            <wp:positionV relativeFrom="paragraph">
              <wp:posOffset>6302</wp:posOffset>
            </wp:positionV>
            <wp:extent cx="1988820" cy="803275"/>
            <wp:effectExtent l="0" t="0" r="0" b="0"/>
            <wp:wrapTight wrapText="bothSides">
              <wp:wrapPolygon edited="0">
                <wp:start x="1862" y="0"/>
                <wp:lineTo x="0" y="3074"/>
                <wp:lineTo x="0" y="12294"/>
                <wp:lineTo x="4966" y="16392"/>
                <wp:lineTo x="4966" y="21002"/>
                <wp:lineTo x="12414" y="21002"/>
                <wp:lineTo x="21310" y="18441"/>
                <wp:lineTo x="21310" y="15880"/>
                <wp:lineTo x="17793" y="8196"/>
                <wp:lineTo x="5172" y="0"/>
                <wp:lineTo x="1862" y="0"/>
              </wp:wrapPolygon>
            </wp:wrapTight>
            <wp:docPr id="18" name="Afbeelding 18" descr="FOD Volksgezond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D Volksgezondhei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882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54C">
        <w:rPr>
          <w:rFonts w:asciiTheme="minorHAnsi" w:hAnsiTheme="minorHAnsi" w:cstheme="minorHAnsi"/>
          <w:b/>
          <w:bCs/>
          <w:noProof/>
          <w:color w:val="C46A82" w:themeColor="accent4"/>
          <w:sz w:val="96"/>
          <w:szCs w:val="96"/>
        </w:rPr>
        <w:drawing>
          <wp:anchor distT="0" distB="0" distL="114300" distR="114300" simplePos="0" relativeHeight="251666432" behindDoc="1" locked="0" layoutInCell="1" allowOverlap="1" wp14:anchorId="75304765" wp14:editId="6EABC6B3">
            <wp:simplePos x="0" y="0"/>
            <wp:positionH relativeFrom="page">
              <wp:align>left</wp:align>
            </wp:positionH>
            <wp:positionV relativeFrom="paragraph">
              <wp:posOffset>-913130</wp:posOffset>
            </wp:positionV>
            <wp:extent cx="7734300" cy="13268849"/>
            <wp:effectExtent l="0" t="0" r="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alphaModFix amt="35000"/>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734300" cy="132688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E9152" w14:textId="77777777" w:rsidR="004E154C" w:rsidRDefault="004E154C" w:rsidP="004E154C">
      <w:pPr>
        <w:pStyle w:val="Titel"/>
        <w:jc w:val="center"/>
        <w:rPr>
          <w:rFonts w:asciiTheme="minorHAnsi" w:hAnsiTheme="minorHAnsi" w:cstheme="minorHAnsi"/>
          <w:b/>
          <w:bCs/>
          <w:color w:val="C46A82" w:themeColor="accent4"/>
          <w:sz w:val="96"/>
          <w:szCs w:val="96"/>
        </w:rPr>
      </w:pPr>
    </w:p>
    <w:p w14:paraId="21CA9A04" w14:textId="71A12CF2" w:rsidR="004E154C" w:rsidRDefault="004E154C" w:rsidP="004E154C">
      <w:pPr>
        <w:pStyle w:val="Titel"/>
        <w:jc w:val="center"/>
        <w:rPr>
          <w:rFonts w:asciiTheme="minorHAnsi" w:hAnsiTheme="minorHAnsi" w:cstheme="minorHAnsi"/>
          <w:b/>
          <w:bCs/>
          <w:color w:val="C46A82" w:themeColor="accent4"/>
          <w:sz w:val="96"/>
          <w:szCs w:val="96"/>
        </w:rPr>
      </w:pPr>
    </w:p>
    <w:p w14:paraId="739359E5" w14:textId="2F3D2F92" w:rsidR="004E154C" w:rsidRPr="004E154C" w:rsidRDefault="0069384C" w:rsidP="004E154C">
      <w:pPr>
        <w:pStyle w:val="Titel"/>
        <w:jc w:val="center"/>
        <w:rPr>
          <w:rFonts w:asciiTheme="minorHAnsi" w:hAnsiTheme="minorHAnsi" w:cstheme="minorHAnsi"/>
          <w:b/>
          <w:bCs/>
          <w:color w:val="C46A82" w:themeColor="accent4"/>
          <w:sz w:val="120"/>
          <w:szCs w:val="120"/>
        </w:rPr>
      </w:pPr>
      <w:r w:rsidRPr="004E154C">
        <w:rPr>
          <w:rFonts w:asciiTheme="minorHAnsi" w:hAnsiTheme="minorHAnsi" w:cstheme="minorHAnsi"/>
          <w:b/>
          <w:bCs/>
          <w:noProof/>
          <w:color w:val="C46A82" w:themeColor="accent4"/>
          <w:sz w:val="120"/>
          <w:szCs w:val="120"/>
        </w:rPr>
        <w:drawing>
          <wp:anchor distT="0" distB="0" distL="114300" distR="114300" simplePos="0" relativeHeight="251665408" behindDoc="1" locked="1" layoutInCell="1" allowOverlap="1" wp14:anchorId="1D2C8572" wp14:editId="0B227475">
            <wp:simplePos x="0" y="0"/>
            <wp:positionH relativeFrom="margin">
              <wp:align>right</wp:align>
            </wp:positionH>
            <wp:positionV relativeFrom="margin">
              <wp:align>bottom</wp:align>
            </wp:positionV>
            <wp:extent cx="762635" cy="719455"/>
            <wp:effectExtent l="0" t="0" r="0" b="0"/>
            <wp:wrapTight wrapText="bothSides">
              <wp:wrapPolygon edited="0">
                <wp:start x="5396" y="5719"/>
                <wp:lineTo x="4316" y="14870"/>
                <wp:lineTo x="7014" y="16014"/>
                <wp:lineTo x="14028" y="16014"/>
                <wp:lineTo x="16187" y="14298"/>
                <wp:lineTo x="14568" y="9151"/>
                <wp:lineTo x="8633" y="5719"/>
                <wp:lineTo x="5396" y="5719"/>
              </wp:wrapPolygon>
            </wp:wrapTight>
            <wp:docPr id="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b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635" cy="719455"/>
                    </a:xfrm>
                    <a:prstGeom prst="rect">
                      <a:avLst/>
                    </a:prstGeom>
                  </pic:spPr>
                </pic:pic>
              </a:graphicData>
            </a:graphic>
            <wp14:sizeRelH relativeFrom="margin">
              <wp14:pctWidth>0</wp14:pctWidth>
            </wp14:sizeRelH>
            <wp14:sizeRelV relativeFrom="margin">
              <wp14:pctHeight>0</wp14:pctHeight>
            </wp14:sizeRelV>
          </wp:anchor>
        </w:drawing>
      </w:r>
      <w:r w:rsidR="004E154C" w:rsidRPr="004E154C">
        <w:rPr>
          <w:rFonts w:asciiTheme="minorHAnsi" w:hAnsiTheme="minorHAnsi" w:cstheme="minorHAnsi"/>
          <w:b/>
          <w:bCs/>
          <w:color w:val="C46A82" w:themeColor="accent4"/>
          <w:sz w:val="120"/>
          <w:szCs w:val="120"/>
        </w:rPr>
        <w:t xml:space="preserve">Zorgactiviteit </w:t>
      </w:r>
      <w:r w:rsidR="004E154C">
        <w:rPr>
          <w:rFonts w:asciiTheme="minorHAnsi" w:hAnsiTheme="minorHAnsi" w:cstheme="minorHAnsi"/>
          <w:b/>
          <w:bCs/>
          <w:color w:val="C46A82" w:themeColor="accent4"/>
          <w:sz w:val="120"/>
          <w:szCs w:val="120"/>
        </w:rPr>
        <w:t xml:space="preserve">in </w:t>
      </w:r>
      <w:r w:rsidR="004E154C" w:rsidRPr="004E154C">
        <w:rPr>
          <w:rFonts w:asciiTheme="minorHAnsi" w:hAnsiTheme="minorHAnsi" w:cstheme="minorHAnsi"/>
          <w:b/>
          <w:bCs/>
          <w:color w:val="C46A82" w:themeColor="accent4"/>
          <w:sz w:val="120"/>
          <w:szCs w:val="120"/>
        </w:rPr>
        <w:t>psychiatrische instellingen in 2020</w:t>
      </w:r>
    </w:p>
    <w:p w14:paraId="70679A79" w14:textId="257ABAB8" w:rsidR="004E154C" w:rsidRDefault="004E154C">
      <w:pPr>
        <w:spacing w:after="160"/>
        <w:jc w:val="left"/>
      </w:pPr>
      <w:r>
        <w:br w:type="page"/>
      </w:r>
    </w:p>
    <w:p w14:paraId="47EF4364" w14:textId="5A35A892" w:rsidR="00107FC0" w:rsidRDefault="00107FC0" w:rsidP="004E154C">
      <w:pPr>
        <w:spacing w:after="160"/>
        <w:jc w:val="left"/>
      </w:pPr>
      <w:r>
        <w:lastRenderedPageBreak/>
        <w:t xml:space="preserve">In het rapport "Zorgactiviteit in psychiatrische instellingen" willen we een overzicht geven van een aantal kerncijfers met betrekking tot de werking van psychiatrische ziekenhuizen </w:t>
      </w:r>
      <w:r w:rsidR="004A3AFD">
        <w:t>(PZ)</w:t>
      </w:r>
      <w:r w:rsidR="00C37E2E">
        <w:t xml:space="preserve"> </w:t>
      </w:r>
      <w:r w:rsidR="004A3AFD">
        <w:t>en de</w:t>
      </w:r>
      <w:r>
        <w:t xml:space="preserve"> psychiatrische diensten in algemene ziekenhuizen (</w:t>
      </w:r>
      <w:r w:rsidR="004A3AFD">
        <w:t>PAAZ</w:t>
      </w:r>
      <w:r w:rsidR="002A1FF9">
        <w:t>)</w:t>
      </w:r>
      <w:r w:rsidR="004A3AFD">
        <w:t xml:space="preserve"> in 2020. Dit jaar werd gekenmerkt door de uitbraak van de COVID-19-pandemie. Daarom zullen we eveneens de</w:t>
      </w:r>
      <w:r w:rsidR="000C1AA7">
        <w:t xml:space="preserve"> impact van de pandemie op deze cijfers analyseren. </w:t>
      </w:r>
    </w:p>
    <w:p w14:paraId="66AC9687" w14:textId="77777777" w:rsidR="004A3AFD" w:rsidRDefault="004A3AFD" w:rsidP="004A3AFD"/>
    <w:p w14:paraId="65886404" w14:textId="5790C161" w:rsidR="004A3AFD" w:rsidRDefault="004A3AFD" w:rsidP="004A3AFD">
      <w:r>
        <w:t xml:space="preserve">In 2020 stellen we – net zoals in 2019 – vast dat 48% van de nieuwe verblijven plaatsvond in PZ en 52% in PAAZ. </w:t>
      </w:r>
    </w:p>
    <w:p w14:paraId="7F595287" w14:textId="20C002A0" w:rsidR="004A3AFD" w:rsidRDefault="004A3AFD" w:rsidP="004A3AFD"/>
    <w:p w14:paraId="01317817" w14:textId="3746574A" w:rsidR="004A3AFD" w:rsidRDefault="004A3AFD" w:rsidP="004A3AFD">
      <w:r>
        <w:rPr>
          <w:noProof/>
        </w:rPr>
        <w:drawing>
          <wp:inline distT="0" distB="0" distL="0" distR="0" wp14:anchorId="208F8594" wp14:editId="07944ADE">
            <wp:extent cx="5760000" cy="2880000"/>
            <wp:effectExtent l="0" t="0" r="12700" b="15875"/>
            <wp:docPr id="1" name="Grafiek 1">
              <a:extLst xmlns:a="http://schemas.openxmlformats.org/drawingml/2006/main">
                <a:ext uri="{FF2B5EF4-FFF2-40B4-BE49-F238E27FC236}">
                  <a16:creationId xmlns:a16="http://schemas.microsoft.com/office/drawing/2014/main" id="{12EE6828-7048-4211-BC7B-2BDAB6704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3ABB4A" w14:textId="77777777" w:rsidR="004A3AFD" w:rsidRDefault="004A3AFD" w:rsidP="004A3AFD"/>
    <w:p w14:paraId="04CBC04B" w14:textId="06331AE4" w:rsidR="0009188E" w:rsidRDefault="004A3AFD" w:rsidP="004A3AFD">
      <w:r>
        <w:t xml:space="preserve">Er was </w:t>
      </w:r>
      <w:r w:rsidR="00084AE8">
        <w:t xml:space="preserve">een daling </w:t>
      </w:r>
      <w:r w:rsidR="00C02CD6">
        <w:t xml:space="preserve">van het totaal aantal </w:t>
      </w:r>
      <w:r w:rsidR="000C1AA7">
        <w:t>nieuwe verblijven</w:t>
      </w:r>
      <w:r w:rsidR="00084AE8">
        <w:t xml:space="preserve"> ten opzichte van 2019 </w:t>
      </w:r>
      <w:r w:rsidR="00E162CC">
        <w:t>(</w:t>
      </w:r>
      <w:r w:rsidR="00084AE8">
        <w:t>-</w:t>
      </w:r>
      <w:r w:rsidR="0090094B">
        <w:t>8,47%</w:t>
      </w:r>
      <w:r w:rsidR="00084AE8">
        <w:t xml:space="preserve">, of </w:t>
      </w:r>
      <w:r w:rsidR="0090094B">
        <w:t>102.729 in 2020 tegen 112.243 in 2019</w:t>
      </w:r>
      <w:r w:rsidR="00E162CC">
        <w:t>).</w:t>
      </w:r>
      <w:r w:rsidR="00F250E4">
        <w:t xml:space="preserve"> Deze </w:t>
      </w:r>
      <w:r w:rsidR="00084AE8">
        <w:t>daling</w:t>
      </w:r>
      <w:r w:rsidR="00F250E4">
        <w:t xml:space="preserve"> </w:t>
      </w:r>
      <w:r w:rsidR="00190DAA">
        <w:t>is te verklaren</w:t>
      </w:r>
      <w:r>
        <w:t xml:space="preserve"> </w:t>
      </w:r>
      <w:r w:rsidR="000C1AA7">
        <w:t>door de</w:t>
      </w:r>
      <w:r w:rsidR="0009188E">
        <w:t xml:space="preserve"> </w:t>
      </w:r>
      <w:r>
        <w:t>maatregelen die genomen werden in het kader van</w:t>
      </w:r>
      <w:r w:rsidR="0009188E">
        <w:t xml:space="preserve"> de pandemie </w:t>
      </w:r>
      <w:r w:rsidR="000C1AA7">
        <w:t>(</w:t>
      </w:r>
      <w:r>
        <w:t>quarantaine</w:t>
      </w:r>
      <w:r w:rsidR="0009188E">
        <w:t xml:space="preserve">, </w:t>
      </w:r>
      <w:r>
        <w:t>overbelasting</w:t>
      </w:r>
      <w:r w:rsidR="0009188E">
        <w:t xml:space="preserve"> van </w:t>
      </w:r>
      <w:r>
        <w:t>ziekenhuis</w:t>
      </w:r>
      <w:r w:rsidR="0009188E">
        <w:t xml:space="preserve">diensten, </w:t>
      </w:r>
      <w:r>
        <w:t>uitval</w:t>
      </w:r>
      <w:r w:rsidR="0009188E">
        <w:t xml:space="preserve"> van verplegend personeel</w:t>
      </w:r>
      <w:r w:rsidR="00107FC0">
        <w:t xml:space="preserve">, </w:t>
      </w:r>
      <w:r w:rsidR="0009188E">
        <w:t>angst om naar ziekenhuizen te gaan</w:t>
      </w:r>
      <w:r w:rsidR="009D4CD6">
        <w:t xml:space="preserve">, </w:t>
      </w:r>
      <w:r>
        <w:t>…</w:t>
      </w:r>
      <w:r w:rsidR="0009188E">
        <w:t>)</w:t>
      </w:r>
      <w:r>
        <w:t>.</w:t>
      </w:r>
    </w:p>
    <w:p w14:paraId="477A2359" w14:textId="77777777" w:rsidR="004A3AFD" w:rsidRDefault="004A3AFD" w:rsidP="004A3AFD"/>
    <w:p w14:paraId="5702395E" w14:textId="31B22EC6" w:rsidR="004A3AFD" w:rsidRDefault="004A3AFD" w:rsidP="004A3AFD">
      <w:r>
        <w:t xml:space="preserve">De </w:t>
      </w:r>
      <w:r w:rsidR="007064F6">
        <w:t>afname</w:t>
      </w:r>
      <w:r w:rsidR="00476A62">
        <w:t xml:space="preserve"> </w:t>
      </w:r>
      <w:r>
        <w:t xml:space="preserve">was </w:t>
      </w:r>
      <w:r w:rsidR="00E04894">
        <w:t xml:space="preserve">meer uitgesproken </w:t>
      </w:r>
      <w:r>
        <w:t xml:space="preserve">voor </w:t>
      </w:r>
      <w:r w:rsidR="00E04894">
        <w:t>voltijds</w:t>
      </w:r>
      <w:r>
        <w:t xml:space="preserve">e </w:t>
      </w:r>
      <w:r w:rsidR="00E04894">
        <w:t>verblij</w:t>
      </w:r>
      <w:r>
        <w:t>ven</w:t>
      </w:r>
      <w:r w:rsidR="00E04894">
        <w:t xml:space="preserve"> </w:t>
      </w:r>
      <w:r w:rsidR="00622EF7">
        <w:t>(-8,88%, of 85.873 in 2020 t</w:t>
      </w:r>
      <w:r>
        <w:t>.o.v.</w:t>
      </w:r>
      <w:r w:rsidR="00622EF7">
        <w:t xml:space="preserve"> 94.246 in 2019) dan </w:t>
      </w:r>
      <w:r>
        <w:t>voor</w:t>
      </w:r>
      <w:r w:rsidR="00622EF7">
        <w:t xml:space="preserve"> </w:t>
      </w:r>
      <w:r>
        <w:t xml:space="preserve">partiële </w:t>
      </w:r>
      <w:r w:rsidR="00622EF7">
        <w:t>verblijven (-6,33%, of 16.856 in 2020 t</w:t>
      </w:r>
      <w:r>
        <w:t>.o.v.</w:t>
      </w:r>
      <w:r w:rsidR="00622EF7">
        <w:t xml:space="preserve"> 17.997 in 2019). </w:t>
      </w:r>
      <w:r>
        <w:t xml:space="preserve">Wat betreft de partiële </w:t>
      </w:r>
      <w:r w:rsidR="00622EF7">
        <w:t>verblijven</w:t>
      </w:r>
      <w:r w:rsidR="00C6282F">
        <w:t xml:space="preserve"> is dit een eerste </w:t>
      </w:r>
      <w:r w:rsidR="007064F6">
        <w:t>daling</w:t>
      </w:r>
      <w:r w:rsidR="00C6282F">
        <w:t xml:space="preserve"> sinds </w:t>
      </w:r>
      <w:r w:rsidR="000D792D">
        <w:t>de implementatie van de</w:t>
      </w:r>
      <w:r w:rsidR="00C37E2E">
        <w:t xml:space="preserve"> </w:t>
      </w:r>
      <w:r w:rsidR="000D792D">
        <w:t>hervorming van de geestelijke gezondheidszorg</w:t>
      </w:r>
      <w:r w:rsidR="007064F6">
        <w:t xml:space="preserve"> in 2012</w:t>
      </w:r>
      <w:r w:rsidR="000D792D">
        <w:t xml:space="preserve">. </w:t>
      </w:r>
      <w:r>
        <w:t>Eén van de doelstellingen van deze hervorming is de vermaatschappelijking van de zorg</w:t>
      </w:r>
      <w:r w:rsidR="007064F6">
        <w:t xml:space="preserve"> waarbij er wordt naar gestreefd om zorg te organiseren in de leefomgeving van de zorgbehoevende</w:t>
      </w:r>
      <w:r>
        <w:t>. Partiële verblijven spelen hierbij een belangrijke rol gezien de patiënt bij deze verblijven ofwel ’s nachts ofwel overdag naar huis terugkeert.</w:t>
      </w:r>
    </w:p>
    <w:p w14:paraId="58CA8BEF" w14:textId="6D6736FF" w:rsidR="004A3AFD" w:rsidRDefault="004A3AFD" w:rsidP="004A3AFD"/>
    <w:p w14:paraId="2BB5D969" w14:textId="3DA94F32" w:rsidR="004A3AFD" w:rsidRDefault="004A3AFD" w:rsidP="004A3AFD">
      <w:r>
        <w:rPr>
          <w:noProof/>
        </w:rPr>
        <w:lastRenderedPageBreak/>
        <w:drawing>
          <wp:inline distT="0" distB="0" distL="0" distR="0" wp14:anchorId="235002D7" wp14:editId="15B00336">
            <wp:extent cx="5760000" cy="2880000"/>
            <wp:effectExtent l="0" t="0" r="12700" b="15875"/>
            <wp:docPr id="16" name="Grafiek 16">
              <a:extLst xmlns:a="http://schemas.openxmlformats.org/drawingml/2006/main">
                <a:ext uri="{FF2B5EF4-FFF2-40B4-BE49-F238E27FC236}">
                  <a16:creationId xmlns:a16="http://schemas.microsoft.com/office/drawing/2014/main" id="{8ABBA3D8-ADA7-4F14-AE17-AA3A1B78C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482A61" w14:textId="0617B833" w:rsidR="00190DAA" w:rsidRDefault="004A3AFD" w:rsidP="004A3AFD">
      <w:r>
        <w:t xml:space="preserve"> </w:t>
      </w:r>
    </w:p>
    <w:p w14:paraId="61F2FF73" w14:textId="3ED24686" w:rsidR="006054D4" w:rsidRDefault="00911EA6" w:rsidP="004A3AFD">
      <w:r>
        <w:t xml:space="preserve">Om de moeilijkheden </w:t>
      </w:r>
      <w:r w:rsidR="004A3AFD">
        <w:t>van d</w:t>
      </w:r>
      <w:r>
        <w:t>e toegang tot psychiatrische diensten</w:t>
      </w:r>
      <w:r w:rsidR="000D792D">
        <w:t xml:space="preserve"> tijdens de pandemie </w:t>
      </w:r>
      <w:r w:rsidR="004A3AFD">
        <w:t>op te vangen</w:t>
      </w:r>
      <w:r w:rsidR="00D16BD2">
        <w:t xml:space="preserve">, </w:t>
      </w:r>
      <w:r w:rsidR="00190DAA">
        <w:t xml:space="preserve">heeft de </w:t>
      </w:r>
      <w:r w:rsidR="004A3AFD">
        <w:t xml:space="preserve">federale </w:t>
      </w:r>
      <w:r w:rsidR="00190DAA">
        <w:t xml:space="preserve">overheid </w:t>
      </w:r>
      <w:r w:rsidR="004A3AFD">
        <w:t>verschillende</w:t>
      </w:r>
      <w:r w:rsidR="00190DAA">
        <w:t xml:space="preserve"> maatregelen genomen. Zo is een versterking </w:t>
      </w:r>
      <w:r w:rsidR="004A3AFD">
        <w:t xml:space="preserve">van </w:t>
      </w:r>
      <w:r w:rsidR="00190DAA">
        <w:t>16,7</w:t>
      </w:r>
      <w:r w:rsidR="00D16BD2">
        <w:t xml:space="preserve"> </w:t>
      </w:r>
      <w:r w:rsidR="009C1DAB">
        <w:t>miljoen euro</w:t>
      </w:r>
      <w:r w:rsidR="004A3AFD">
        <w:t xml:space="preserve"> v</w:t>
      </w:r>
      <w:r w:rsidR="009C1DAB">
        <w:t xml:space="preserve">an </w:t>
      </w:r>
      <w:r w:rsidR="00190DAA">
        <w:t xml:space="preserve">de eerstelijns psychologische </w:t>
      </w:r>
      <w:r w:rsidR="00D16BD2">
        <w:t xml:space="preserve">zorg </w:t>
      </w:r>
      <w:r w:rsidR="00DE4ECF">
        <w:t>voor kinderen</w:t>
      </w:r>
      <w:r w:rsidR="004A3AFD">
        <w:t xml:space="preserve">, </w:t>
      </w:r>
      <w:r w:rsidR="00DE4ECF">
        <w:t>jongeren en ouderen goedgekeurd</w:t>
      </w:r>
      <w:r w:rsidR="004A3AFD">
        <w:t>. E</w:t>
      </w:r>
      <w:r w:rsidR="0037425E">
        <w:t>venals</w:t>
      </w:r>
      <w:r w:rsidR="00EB1F30">
        <w:t xml:space="preserve"> </w:t>
      </w:r>
      <w:r w:rsidR="004A3AFD">
        <w:t xml:space="preserve">werden </w:t>
      </w:r>
      <w:r w:rsidR="00EB1F30">
        <w:t xml:space="preserve">maatregelen </w:t>
      </w:r>
      <w:r w:rsidR="004A3AFD">
        <w:t xml:space="preserve">genomen </w:t>
      </w:r>
      <w:r w:rsidR="00EB1F30">
        <w:t xml:space="preserve">die de "decentralisatie" van de zorg mogelijk maken </w:t>
      </w:r>
      <w:r w:rsidR="004A3AFD">
        <w:t xml:space="preserve">zoals </w:t>
      </w:r>
      <w:r w:rsidR="00EB1F30">
        <w:t>terugbetaling van videoconsulten, thuisbehandeling</w:t>
      </w:r>
      <w:r w:rsidR="004A3AFD">
        <w:t>, …</w:t>
      </w:r>
      <w:r w:rsidR="00EB1F30">
        <w:t xml:space="preserve"> </w:t>
      </w:r>
    </w:p>
    <w:p w14:paraId="721DAEFD" w14:textId="77777777" w:rsidR="004A3AFD" w:rsidRDefault="004A3AFD" w:rsidP="004A3AFD"/>
    <w:p w14:paraId="275CE212" w14:textId="26431432" w:rsidR="00190DAA" w:rsidRDefault="008A38C8" w:rsidP="004A3AFD">
      <w:r>
        <w:t>Ondanks de daling van het totaal aantal</w:t>
      </w:r>
      <w:r w:rsidR="004A3AFD">
        <w:t xml:space="preserve"> </w:t>
      </w:r>
      <w:r w:rsidR="00646A8E">
        <w:t>voltijdse</w:t>
      </w:r>
      <w:r w:rsidR="0009188E">
        <w:t xml:space="preserve"> verblijven, </w:t>
      </w:r>
      <w:r>
        <w:t xml:space="preserve">was er in 2020 een toename van het totaal aantal </w:t>
      </w:r>
      <w:r w:rsidR="004A3AFD">
        <w:t>lig</w:t>
      </w:r>
      <w:r>
        <w:t>dagen</w:t>
      </w:r>
      <w:r w:rsidR="004A3AFD">
        <w:t xml:space="preserve"> in PZ en PAAZ</w:t>
      </w:r>
      <w:r>
        <w:t xml:space="preserve"> (</w:t>
      </w:r>
      <w:r w:rsidR="00143D4E">
        <w:t>+4,7%, of 5.046.692 tegenover 4.816.574</w:t>
      </w:r>
      <w:r w:rsidR="00EB1F30">
        <w:t xml:space="preserve"> in 2019)</w:t>
      </w:r>
      <w:r w:rsidR="004A3AFD">
        <w:t xml:space="preserve">. Het gemiddeld aantal ligdagen in een jaar bedroeg 60 dagen </w:t>
      </w:r>
      <w:r w:rsidR="00E4146D">
        <w:t>(t</w:t>
      </w:r>
      <w:r w:rsidR="004A3AFD">
        <w:t xml:space="preserve">.o.v. </w:t>
      </w:r>
      <w:r w:rsidR="00E4146D">
        <w:t>een gemiddelde van 53,41 in 2019). Dit zou kunnen</w:t>
      </w:r>
      <w:r w:rsidR="004A3AFD">
        <w:t xml:space="preserve"> </w:t>
      </w:r>
      <w:r w:rsidR="00143D4E">
        <w:t xml:space="preserve">worden verklaard door </w:t>
      </w:r>
      <w:r w:rsidR="00F477ED">
        <w:t>de impact van de pandemie op de geestelijke gezondheid van de bevolking, waarvoor langere behandelingen</w:t>
      </w:r>
      <w:r w:rsidR="0009188E">
        <w:t xml:space="preserve"> nodig zouden zijn geweest</w:t>
      </w:r>
      <w:r w:rsidR="007539D2">
        <w:t xml:space="preserve">. </w:t>
      </w:r>
    </w:p>
    <w:p w14:paraId="6DE5D095" w14:textId="77777777" w:rsidR="004A3AFD" w:rsidRDefault="004A3AFD" w:rsidP="004A3AFD"/>
    <w:p w14:paraId="22BF71BB" w14:textId="78E5F6CE" w:rsidR="004A3AFD" w:rsidRDefault="004A3AFD" w:rsidP="004A3AFD">
      <w:r>
        <w:rPr>
          <w:noProof/>
        </w:rPr>
        <w:drawing>
          <wp:inline distT="0" distB="0" distL="0" distR="0" wp14:anchorId="293A2CC8" wp14:editId="22905543">
            <wp:extent cx="5760000" cy="2880000"/>
            <wp:effectExtent l="0" t="0" r="12700" b="15875"/>
            <wp:docPr id="4" name="Grafiek 4">
              <a:extLst xmlns:a="http://schemas.openxmlformats.org/drawingml/2006/main">
                <a:ext uri="{FF2B5EF4-FFF2-40B4-BE49-F238E27FC236}">
                  <a16:creationId xmlns:a16="http://schemas.microsoft.com/office/drawing/2014/main" id="{BE61CD04-2951-48CE-8854-22B7330A7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8DA0D0" w14:textId="77777777" w:rsidR="004A3AFD" w:rsidRDefault="004A3AFD" w:rsidP="004A3AFD">
      <w:pPr>
        <w:rPr>
          <w:highlight w:val="red"/>
        </w:rPr>
      </w:pPr>
    </w:p>
    <w:p w14:paraId="1C04A3DB" w14:textId="77777777" w:rsidR="005E785B" w:rsidRDefault="005E785B" w:rsidP="004A3AFD"/>
    <w:p w14:paraId="730E4659" w14:textId="77777777" w:rsidR="00F12F99" w:rsidRDefault="00F12F99">
      <w:pPr>
        <w:spacing w:after="160"/>
        <w:jc w:val="left"/>
      </w:pPr>
      <w:r>
        <w:br w:type="page"/>
      </w:r>
    </w:p>
    <w:p w14:paraId="7F9458E4" w14:textId="47BE8557" w:rsidR="00DE4ECF" w:rsidRDefault="007539D2" w:rsidP="004A3AFD">
      <w:r w:rsidRPr="004A3AFD">
        <w:t xml:space="preserve">Wat de verdeling van het </w:t>
      </w:r>
      <w:r w:rsidR="004A3AFD" w:rsidRPr="004A3AFD">
        <w:t xml:space="preserve">aantal verblijven </w:t>
      </w:r>
      <w:r w:rsidRPr="004A3AFD">
        <w:t>per regio betreft, is er een daling</w:t>
      </w:r>
      <w:r w:rsidR="004A3AFD" w:rsidRPr="004A3AFD">
        <w:t xml:space="preserve"> </w:t>
      </w:r>
      <w:r w:rsidRPr="004A3AFD">
        <w:t>ten opzichte van 2019</w:t>
      </w:r>
      <w:r w:rsidR="004A3AFD">
        <w:t>.</w:t>
      </w:r>
    </w:p>
    <w:p w14:paraId="72E2B3DE" w14:textId="119B24EA" w:rsidR="004A3AFD" w:rsidRDefault="004A3AFD" w:rsidP="004A3AFD"/>
    <w:p w14:paraId="07E3D57D" w14:textId="0ED57600" w:rsidR="004A3AFD" w:rsidRDefault="004A3AFD" w:rsidP="004A3AFD">
      <w:r>
        <w:rPr>
          <w:noProof/>
        </w:rPr>
        <w:drawing>
          <wp:inline distT="0" distB="0" distL="0" distR="0" wp14:anchorId="2E1C8530" wp14:editId="3D9781A3">
            <wp:extent cx="5760000" cy="2880000"/>
            <wp:effectExtent l="0" t="0" r="12700" b="15875"/>
            <wp:docPr id="15" name="Grafiek 15">
              <a:extLst xmlns:a="http://schemas.openxmlformats.org/drawingml/2006/main">
                <a:ext uri="{FF2B5EF4-FFF2-40B4-BE49-F238E27FC236}">
                  <a16:creationId xmlns:a16="http://schemas.microsoft.com/office/drawing/2014/main" id="{30AA375F-039E-456B-B1A9-15CA8DBAB8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E26277" w14:textId="77777777" w:rsidR="004A3AFD" w:rsidRDefault="004A3AFD" w:rsidP="004A3AFD"/>
    <w:p w14:paraId="4F335DC0" w14:textId="0BF5C064" w:rsidR="001A1EC8" w:rsidRDefault="004A3AFD" w:rsidP="004A3AFD">
      <w:r>
        <w:t xml:space="preserve">Er werden in PZ en PAAZ </w:t>
      </w:r>
      <w:r w:rsidR="000F6141">
        <w:t>51.904</w:t>
      </w:r>
      <w:r>
        <w:t xml:space="preserve"> verblijven met vrouwelijke patiënten en </w:t>
      </w:r>
      <w:r w:rsidR="000F6141">
        <w:t>50.825</w:t>
      </w:r>
      <w:r>
        <w:t xml:space="preserve"> van mannen geregistreerd. </w:t>
      </w:r>
    </w:p>
    <w:p w14:paraId="1EDA72DB" w14:textId="2E23679F" w:rsidR="004A3AFD" w:rsidRDefault="004A3AFD" w:rsidP="004A3AFD">
      <w:r>
        <w:rPr>
          <w:noProof/>
        </w:rPr>
        <w:drawing>
          <wp:inline distT="0" distB="0" distL="0" distR="0" wp14:anchorId="1F4B0B0B" wp14:editId="041114A4">
            <wp:extent cx="5731510" cy="2865755"/>
            <wp:effectExtent l="0" t="0" r="2540" b="10795"/>
            <wp:docPr id="9" name="Grafiek 9">
              <a:extLst xmlns:a="http://schemas.openxmlformats.org/drawingml/2006/main">
                <a:ext uri="{FF2B5EF4-FFF2-40B4-BE49-F238E27FC236}">
                  <a16:creationId xmlns:a16="http://schemas.microsoft.com/office/drawing/2014/main" id="{14051E17-5389-4D66-AD1A-C220BD02D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54DBDE" w14:textId="40E143FF" w:rsidR="007064F6" w:rsidRDefault="007064F6">
      <w:pPr>
        <w:spacing w:after="160"/>
        <w:jc w:val="left"/>
      </w:pPr>
      <w:r>
        <w:br w:type="page"/>
      </w:r>
    </w:p>
    <w:p w14:paraId="460DBE4D" w14:textId="40966875" w:rsidR="004A3AFD" w:rsidRDefault="004A3AFD" w:rsidP="004A3AFD">
      <w:r>
        <w:t>Wanneer we kijken naar de geslachtverhouding per type instelling stellen we vast dat, net als in 2019, in 2020 meer verblijven van mannen dan vrouwen in PZ waren (26.370 mannen t.o.v. 23.266 vrouwen), terwijl in PAAZ de tegenovergestelde trend waar werd genomen (24.455 mannen t.o.v. 28.638 vrouwen).</w:t>
      </w:r>
    </w:p>
    <w:p w14:paraId="07AB0E4F" w14:textId="4EAE42CD" w:rsidR="004A3AFD" w:rsidRDefault="004A3AFD" w:rsidP="004A3AFD">
      <w:r>
        <w:rPr>
          <w:noProof/>
        </w:rPr>
        <w:drawing>
          <wp:anchor distT="0" distB="0" distL="114300" distR="114300" simplePos="0" relativeHeight="251659264" behindDoc="1" locked="0" layoutInCell="1" allowOverlap="1" wp14:anchorId="01967981" wp14:editId="07F04705">
            <wp:simplePos x="0" y="0"/>
            <wp:positionH relativeFrom="column">
              <wp:posOffset>-73531</wp:posOffset>
            </wp:positionH>
            <wp:positionV relativeFrom="paragraph">
              <wp:posOffset>167511</wp:posOffset>
            </wp:positionV>
            <wp:extent cx="2880000" cy="2880000"/>
            <wp:effectExtent l="0" t="0" r="15875" b="15875"/>
            <wp:wrapTight wrapText="bothSides">
              <wp:wrapPolygon edited="0">
                <wp:start x="0" y="0"/>
                <wp:lineTo x="0" y="21576"/>
                <wp:lineTo x="21576" y="21576"/>
                <wp:lineTo x="21576" y="0"/>
                <wp:lineTo x="0" y="0"/>
              </wp:wrapPolygon>
            </wp:wrapTight>
            <wp:docPr id="11" name="Grafiek 11">
              <a:extLst xmlns:a="http://schemas.openxmlformats.org/drawingml/2006/main">
                <a:ext uri="{FF2B5EF4-FFF2-40B4-BE49-F238E27FC236}">
                  <a16:creationId xmlns:a16="http://schemas.microsoft.com/office/drawing/2014/main" id="{5FD79140-C2B4-42E9-B2FA-D533DCED0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noProof/>
        </w:rPr>
        <w:drawing>
          <wp:anchor distT="0" distB="0" distL="114300" distR="114300" simplePos="0" relativeHeight="251658240" behindDoc="1" locked="0" layoutInCell="1" allowOverlap="1" wp14:anchorId="3ACD9A50" wp14:editId="27E12F89">
            <wp:simplePos x="0" y="0"/>
            <wp:positionH relativeFrom="column">
              <wp:posOffset>2732133</wp:posOffset>
            </wp:positionH>
            <wp:positionV relativeFrom="paragraph">
              <wp:posOffset>165009</wp:posOffset>
            </wp:positionV>
            <wp:extent cx="2880000" cy="2879725"/>
            <wp:effectExtent l="0" t="0" r="15875" b="15875"/>
            <wp:wrapTight wrapText="bothSides">
              <wp:wrapPolygon edited="0">
                <wp:start x="0" y="0"/>
                <wp:lineTo x="0" y="21576"/>
                <wp:lineTo x="21576" y="21576"/>
                <wp:lineTo x="21576" y="0"/>
                <wp:lineTo x="0" y="0"/>
              </wp:wrapPolygon>
            </wp:wrapTight>
            <wp:docPr id="13" name="Grafiek 13">
              <a:extLst xmlns:a="http://schemas.openxmlformats.org/drawingml/2006/main">
                <a:ext uri="{FF2B5EF4-FFF2-40B4-BE49-F238E27FC236}">
                  <a16:creationId xmlns:a16="http://schemas.microsoft.com/office/drawing/2014/main" id="{B4583BA7-2DD6-4729-916A-92D2DB748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3B9B1F0" w14:textId="4714A241" w:rsidR="00465942" w:rsidRPr="004A3AFD" w:rsidRDefault="004A3AFD" w:rsidP="004A3AFD">
      <w:r w:rsidRPr="004A3AFD">
        <w:t>Bij de</w:t>
      </w:r>
      <w:r w:rsidR="006711CD" w:rsidRPr="004A3AFD">
        <w:t xml:space="preserve"> leeftijd</w:t>
      </w:r>
      <w:r w:rsidR="00465942" w:rsidRPr="004A3AFD">
        <w:t xml:space="preserve"> van </w:t>
      </w:r>
      <w:r w:rsidRPr="004A3AFD">
        <w:t xml:space="preserve">de </w:t>
      </w:r>
      <w:r w:rsidR="00465942" w:rsidRPr="004A3AFD">
        <w:t>patiënten</w:t>
      </w:r>
      <w:r w:rsidRPr="004A3AFD">
        <w:t xml:space="preserve"> stellen we ook enkele geslachtspecifieke trends vast</w:t>
      </w:r>
      <w:r w:rsidR="00465942" w:rsidRPr="004A3AFD">
        <w:t>. Er wordt</w:t>
      </w:r>
      <w:r w:rsidRPr="004A3AFD">
        <w:t xml:space="preserve"> opgemerkt</w:t>
      </w:r>
      <w:r w:rsidR="00465942" w:rsidRPr="004A3AFD">
        <w:t xml:space="preserve"> dat er voor de leeftijdsgroep van 0-14 jaar een meerderheid mannelijke patiënten was (1.857, of 60% van het totaal</w:t>
      </w:r>
      <w:r w:rsidR="006711CD" w:rsidRPr="004A3AFD">
        <w:t xml:space="preserve"> voor deze leeftijdsgroep</w:t>
      </w:r>
      <w:r w:rsidR="00465942" w:rsidRPr="004A3AFD">
        <w:t xml:space="preserve">), terwijl voor de leeftijdsgroep van 15-19 het tegenovergestelde </w:t>
      </w:r>
      <w:r w:rsidR="008F56CA">
        <w:t>zichtbaar is</w:t>
      </w:r>
      <w:r w:rsidR="00465942" w:rsidRPr="004A3AFD">
        <w:t xml:space="preserve"> (3.926 verblijven van vrouwelijke patiënten, of 63% van het totaal</w:t>
      </w:r>
      <w:r w:rsidR="006711CD" w:rsidRPr="004A3AFD">
        <w:t xml:space="preserve"> voor deze leeftijdsgroep</w:t>
      </w:r>
      <w:r w:rsidR="00465942" w:rsidRPr="004A3AFD">
        <w:t>).</w:t>
      </w:r>
      <w:r w:rsidRPr="004A3AFD">
        <w:t xml:space="preserve"> </w:t>
      </w:r>
      <w:r w:rsidR="00465942" w:rsidRPr="004A3AFD">
        <w:t xml:space="preserve">Er moet ook worden opgemerkt dat </w:t>
      </w:r>
      <w:r w:rsidR="00D53D21" w:rsidRPr="004A3AFD">
        <w:t>de</w:t>
      </w:r>
      <w:r w:rsidR="00C37E2E">
        <w:t xml:space="preserve"> </w:t>
      </w:r>
      <w:r w:rsidR="00F578A9" w:rsidRPr="004A3AFD">
        <w:t xml:space="preserve">leeftijdsgroep die het </w:t>
      </w:r>
      <w:r w:rsidR="00465942" w:rsidRPr="004A3AFD">
        <w:t>meest vertegenwoordigd</w:t>
      </w:r>
      <w:r w:rsidR="00F578A9" w:rsidRPr="004A3AFD">
        <w:t xml:space="preserve"> </w:t>
      </w:r>
      <w:r w:rsidR="00465942" w:rsidRPr="004A3AFD">
        <w:t>is</w:t>
      </w:r>
      <w:r w:rsidR="00C37E2E">
        <w:t xml:space="preserve">, </w:t>
      </w:r>
      <w:r w:rsidR="00465942" w:rsidRPr="004A3AFD">
        <w:t>onder de</w:t>
      </w:r>
      <w:r w:rsidR="0089342E" w:rsidRPr="004A3AFD">
        <w:t xml:space="preserve"> verblijven van</w:t>
      </w:r>
      <w:r w:rsidR="00D53D21" w:rsidRPr="004A3AFD">
        <w:t xml:space="preserve"> mannelijke patiënten</w:t>
      </w:r>
      <w:r w:rsidR="00C37E2E">
        <w:t>,</w:t>
      </w:r>
      <w:r w:rsidR="00D53D21" w:rsidRPr="004A3AFD">
        <w:t xml:space="preserve"> die van 40-44 is, terwijl het voor vrouwelijke patiënten die van </w:t>
      </w:r>
      <w:r w:rsidRPr="004A3AFD">
        <w:t>45</w:t>
      </w:r>
      <w:r w:rsidR="00D53D21" w:rsidRPr="004A3AFD">
        <w:t xml:space="preserve">-54 is. </w:t>
      </w:r>
    </w:p>
    <w:p w14:paraId="6EB19F6A" w14:textId="2F3D9574" w:rsidR="004A3AFD" w:rsidRDefault="004A3AFD" w:rsidP="004A3AFD"/>
    <w:p w14:paraId="689B4500" w14:textId="58E3A268" w:rsidR="004A3AFD" w:rsidRDefault="004A3AFD" w:rsidP="004A3AFD">
      <w:r>
        <w:rPr>
          <w:noProof/>
        </w:rPr>
        <w:drawing>
          <wp:inline distT="0" distB="0" distL="0" distR="0" wp14:anchorId="2FDA6366" wp14:editId="04906F14">
            <wp:extent cx="5709684" cy="3061970"/>
            <wp:effectExtent l="0" t="0" r="5715" b="5080"/>
            <wp:docPr id="7" name="Grafiek 7">
              <a:extLst xmlns:a="http://schemas.openxmlformats.org/drawingml/2006/main">
                <a:ext uri="{FF2B5EF4-FFF2-40B4-BE49-F238E27FC236}">
                  <a16:creationId xmlns:a16="http://schemas.microsoft.com/office/drawing/2014/main" id="{58ECF7E1-0329-4CB7-BE6F-5B3CC7210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sectPr w:rsidR="004A3AFD" w:rsidSect="00FC24C5">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989BB" w14:textId="77777777" w:rsidR="00870749" w:rsidRDefault="00870749" w:rsidP="004E154C">
      <w:pPr>
        <w:spacing w:line="240" w:lineRule="auto"/>
      </w:pPr>
      <w:r>
        <w:separator/>
      </w:r>
    </w:p>
  </w:endnote>
  <w:endnote w:type="continuationSeparator" w:id="0">
    <w:p w14:paraId="7180827C" w14:textId="77777777" w:rsidR="00870749" w:rsidRDefault="00870749" w:rsidP="004E15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F53E" w14:textId="77777777" w:rsidR="004E154C" w:rsidRDefault="004E154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59040"/>
      <w:docPartObj>
        <w:docPartGallery w:val="Page Numbers (Bottom of Page)"/>
        <w:docPartUnique/>
      </w:docPartObj>
    </w:sdtPr>
    <w:sdtEndPr/>
    <w:sdtContent>
      <w:p w14:paraId="195EAF11" w14:textId="175A796B" w:rsidR="004E154C" w:rsidRDefault="004E154C">
        <w:pPr>
          <w:pStyle w:val="Voettekst"/>
          <w:jc w:val="right"/>
        </w:pPr>
        <w:r>
          <w:fldChar w:fldCharType="begin"/>
        </w:r>
        <w:r>
          <w:instrText>PAGE   \* MERGEFORMAT</w:instrText>
        </w:r>
        <w:r>
          <w:fldChar w:fldCharType="separate"/>
        </w:r>
        <w:r>
          <w:rPr>
            <w:lang w:val="nl-NL"/>
          </w:rPr>
          <w:t>2</w:t>
        </w:r>
        <w:r>
          <w:fldChar w:fldCharType="end"/>
        </w:r>
      </w:p>
    </w:sdtContent>
  </w:sdt>
  <w:p w14:paraId="7D6FAED5" w14:textId="77777777" w:rsidR="004E154C" w:rsidRDefault="004E154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33C8" w14:textId="77777777" w:rsidR="004E154C" w:rsidRDefault="004E15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4146D" w14:textId="77777777" w:rsidR="00870749" w:rsidRDefault="00870749" w:rsidP="004E154C">
      <w:pPr>
        <w:spacing w:line="240" w:lineRule="auto"/>
      </w:pPr>
      <w:r>
        <w:separator/>
      </w:r>
    </w:p>
  </w:footnote>
  <w:footnote w:type="continuationSeparator" w:id="0">
    <w:p w14:paraId="2BAB2D84" w14:textId="77777777" w:rsidR="00870749" w:rsidRDefault="00870749" w:rsidP="004E15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2C1B" w14:textId="77777777" w:rsidR="004E154C" w:rsidRDefault="004E154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0107" w14:textId="77777777" w:rsidR="004E154C" w:rsidRDefault="004E154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23E8" w14:textId="77777777" w:rsidR="004E154C" w:rsidRDefault="004E154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38200D"/>
    <w:multiLevelType w:val="hybridMultilevel"/>
    <w:tmpl w:val="46269A6C"/>
    <w:lvl w:ilvl="0" w:tplc="B4F0F442">
      <w:start w:val="1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911"/>
    <w:rsid w:val="000569CD"/>
    <w:rsid w:val="00084AE8"/>
    <w:rsid w:val="0009188E"/>
    <w:rsid w:val="000C1AA7"/>
    <w:rsid w:val="000D3911"/>
    <w:rsid w:val="000D792D"/>
    <w:rsid w:val="000F6141"/>
    <w:rsid w:val="00107FC0"/>
    <w:rsid w:val="00112746"/>
    <w:rsid w:val="00143D4E"/>
    <w:rsid w:val="00173E40"/>
    <w:rsid w:val="00190DAA"/>
    <w:rsid w:val="001A1EC8"/>
    <w:rsid w:val="001D267B"/>
    <w:rsid w:val="001E2570"/>
    <w:rsid w:val="00200DF5"/>
    <w:rsid w:val="002052AA"/>
    <w:rsid w:val="002054B8"/>
    <w:rsid w:val="0023473A"/>
    <w:rsid w:val="00261F77"/>
    <w:rsid w:val="002A1FF9"/>
    <w:rsid w:val="002F6A03"/>
    <w:rsid w:val="0030320E"/>
    <w:rsid w:val="00303814"/>
    <w:rsid w:val="00340395"/>
    <w:rsid w:val="00345BE2"/>
    <w:rsid w:val="00364D25"/>
    <w:rsid w:val="0037425E"/>
    <w:rsid w:val="003B31EA"/>
    <w:rsid w:val="00465942"/>
    <w:rsid w:val="00476A62"/>
    <w:rsid w:val="004A3AFD"/>
    <w:rsid w:val="004A556C"/>
    <w:rsid w:val="004E154C"/>
    <w:rsid w:val="00541B9A"/>
    <w:rsid w:val="005A7AD4"/>
    <w:rsid w:val="005B645D"/>
    <w:rsid w:val="005E785B"/>
    <w:rsid w:val="006054D4"/>
    <w:rsid w:val="00622911"/>
    <w:rsid w:val="00622EF7"/>
    <w:rsid w:val="00646A8E"/>
    <w:rsid w:val="006711CD"/>
    <w:rsid w:val="0069384C"/>
    <w:rsid w:val="006C2169"/>
    <w:rsid w:val="007064F6"/>
    <w:rsid w:val="007539D2"/>
    <w:rsid w:val="00755834"/>
    <w:rsid w:val="007A5F4C"/>
    <w:rsid w:val="007A7CD1"/>
    <w:rsid w:val="00807188"/>
    <w:rsid w:val="00844938"/>
    <w:rsid w:val="00852C9A"/>
    <w:rsid w:val="00870749"/>
    <w:rsid w:val="0089342E"/>
    <w:rsid w:val="008A38C8"/>
    <w:rsid w:val="008D08C4"/>
    <w:rsid w:val="008F56CA"/>
    <w:rsid w:val="0090094B"/>
    <w:rsid w:val="00911EA6"/>
    <w:rsid w:val="0094438A"/>
    <w:rsid w:val="009C1DAB"/>
    <w:rsid w:val="009C366F"/>
    <w:rsid w:val="009D4CD6"/>
    <w:rsid w:val="00A65425"/>
    <w:rsid w:val="00AF59BB"/>
    <w:rsid w:val="00B418C1"/>
    <w:rsid w:val="00B578B2"/>
    <w:rsid w:val="00B923D7"/>
    <w:rsid w:val="00C02CD6"/>
    <w:rsid w:val="00C37E2E"/>
    <w:rsid w:val="00C6282F"/>
    <w:rsid w:val="00C728E5"/>
    <w:rsid w:val="00CB447F"/>
    <w:rsid w:val="00D16BD2"/>
    <w:rsid w:val="00D45B9F"/>
    <w:rsid w:val="00D53D21"/>
    <w:rsid w:val="00D742F7"/>
    <w:rsid w:val="00D84C2F"/>
    <w:rsid w:val="00DA0A70"/>
    <w:rsid w:val="00DD675E"/>
    <w:rsid w:val="00DE4ECF"/>
    <w:rsid w:val="00E04894"/>
    <w:rsid w:val="00E162CC"/>
    <w:rsid w:val="00E23084"/>
    <w:rsid w:val="00E34F61"/>
    <w:rsid w:val="00E368CB"/>
    <w:rsid w:val="00E40EA4"/>
    <w:rsid w:val="00E4146D"/>
    <w:rsid w:val="00E713C9"/>
    <w:rsid w:val="00EB1F30"/>
    <w:rsid w:val="00ED4349"/>
    <w:rsid w:val="00EE3144"/>
    <w:rsid w:val="00EF2BAC"/>
    <w:rsid w:val="00F12F99"/>
    <w:rsid w:val="00F250E4"/>
    <w:rsid w:val="00F3319A"/>
    <w:rsid w:val="00F477ED"/>
    <w:rsid w:val="00F578A9"/>
    <w:rsid w:val="00F66509"/>
    <w:rsid w:val="00F86C56"/>
    <w:rsid w:val="00FA7C24"/>
    <w:rsid w:val="00FC24C5"/>
    <w:rsid w:val="00FE58A5"/>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CC214"/>
  <w15:chartTrackingRefBased/>
  <w15:docId w15:val="{B84388AB-74B9-4031-BF77-482366D4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A3AFD"/>
    <w:pPr>
      <w:spacing w:after="0"/>
      <w:jc w:val="both"/>
    </w:pPr>
    <w:rPr>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22911"/>
    <w:rPr>
      <w:color w:val="0000FF"/>
      <w:u w:val="single"/>
    </w:rPr>
  </w:style>
  <w:style w:type="paragraph" w:styleId="Lijstalinea">
    <w:name w:val="List Paragraph"/>
    <w:basedOn w:val="Standaard"/>
    <w:uiPriority w:val="34"/>
    <w:qFormat/>
    <w:rsid w:val="00EF2BAC"/>
    <w:pPr>
      <w:ind w:left="720"/>
      <w:contextualSpacing/>
    </w:pPr>
  </w:style>
  <w:style w:type="character" w:styleId="Verwijzingopmerking">
    <w:name w:val="annotation reference"/>
    <w:basedOn w:val="Standaardalinea-lettertype"/>
    <w:uiPriority w:val="99"/>
    <w:semiHidden/>
    <w:unhideWhenUsed/>
    <w:rsid w:val="00F250E4"/>
    <w:rPr>
      <w:sz w:val="16"/>
      <w:szCs w:val="16"/>
    </w:rPr>
  </w:style>
  <w:style w:type="paragraph" w:styleId="Tekstopmerking">
    <w:name w:val="annotation text"/>
    <w:basedOn w:val="Standaard"/>
    <w:link w:val="TekstopmerkingChar"/>
    <w:uiPriority w:val="99"/>
    <w:semiHidden/>
    <w:unhideWhenUsed/>
    <w:rsid w:val="00F250E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250E4"/>
    <w:rPr>
      <w:sz w:val="20"/>
      <w:szCs w:val="20"/>
    </w:rPr>
  </w:style>
  <w:style w:type="paragraph" w:styleId="Onderwerpvanopmerking">
    <w:name w:val="annotation subject"/>
    <w:basedOn w:val="Tekstopmerking"/>
    <w:next w:val="Tekstopmerking"/>
    <w:link w:val="OnderwerpvanopmerkingChar"/>
    <w:uiPriority w:val="99"/>
    <w:semiHidden/>
    <w:unhideWhenUsed/>
    <w:rsid w:val="00F250E4"/>
    <w:rPr>
      <w:b/>
      <w:bCs/>
    </w:rPr>
  </w:style>
  <w:style w:type="character" w:customStyle="1" w:styleId="OnderwerpvanopmerkingChar">
    <w:name w:val="Onderwerp van opmerking Char"/>
    <w:basedOn w:val="TekstopmerkingChar"/>
    <w:link w:val="Onderwerpvanopmerking"/>
    <w:uiPriority w:val="99"/>
    <w:semiHidden/>
    <w:rsid w:val="00F250E4"/>
    <w:rPr>
      <w:b/>
      <w:bCs/>
      <w:sz w:val="20"/>
      <w:szCs w:val="20"/>
    </w:rPr>
  </w:style>
  <w:style w:type="character" w:styleId="Onopgelostemelding">
    <w:name w:val="Unresolved Mention"/>
    <w:basedOn w:val="Standaardalinea-lettertype"/>
    <w:uiPriority w:val="99"/>
    <w:semiHidden/>
    <w:unhideWhenUsed/>
    <w:rsid w:val="009D4CD6"/>
    <w:rPr>
      <w:color w:val="605E5C"/>
      <w:shd w:val="clear" w:color="auto" w:fill="E1DFDD"/>
    </w:rPr>
  </w:style>
  <w:style w:type="character" w:styleId="GevolgdeHyperlink">
    <w:name w:val="FollowedHyperlink"/>
    <w:basedOn w:val="Standaardalinea-lettertype"/>
    <w:uiPriority w:val="99"/>
    <w:semiHidden/>
    <w:unhideWhenUsed/>
    <w:rsid w:val="009D4CD6"/>
    <w:rPr>
      <w:color w:val="800080" w:themeColor="followedHyperlink"/>
      <w:u w:val="single"/>
    </w:rPr>
  </w:style>
  <w:style w:type="character" w:styleId="Tekstvantijdelijkeaanduiding">
    <w:name w:val="Placeholder Text"/>
    <w:basedOn w:val="Standaardalinea-lettertype"/>
    <w:uiPriority w:val="99"/>
    <w:semiHidden/>
    <w:rsid w:val="004A3AFD"/>
    <w:rPr>
      <w:color w:val="808080"/>
    </w:rPr>
  </w:style>
  <w:style w:type="paragraph" w:styleId="Titel">
    <w:name w:val="Title"/>
    <w:basedOn w:val="Standaard"/>
    <w:next w:val="Standaard"/>
    <w:link w:val="TitelChar"/>
    <w:uiPriority w:val="10"/>
    <w:qFormat/>
    <w:rsid w:val="004E154C"/>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E154C"/>
    <w:rPr>
      <w:rFonts w:asciiTheme="majorHAnsi" w:eastAsiaTheme="majorEastAsia" w:hAnsiTheme="majorHAnsi" w:cstheme="majorBidi"/>
      <w:spacing w:val="-10"/>
      <w:kern w:val="28"/>
      <w:sz w:val="56"/>
      <w:szCs w:val="56"/>
      <w:lang w:val="nl"/>
    </w:rPr>
  </w:style>
  <w:style w:type="paragraph" w:styleId="Koptekst">
    <w:name w:val="header"/>
    <w:basedOn w:val="Standaard"/>
    <w:link w:val="KoptekstChar"/>
    <w:uiPriority w:val="99"/>
    <w:unhideWhenUsed/>
    <w:rsid w:val="004E154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4E154C"/>
    <w:rPr>
      <w:lang w:val="nl"/>
    </w:rPr>
  </w:style>
  <w:style w:type="paragraph" w:styleId="Voettekst">
    <w:name w:val="footer"/>
    <w:basedOn w:val="Standaard"/>
    <w:link w:val="VoettekstChar"/>
    <w:uiPriority w:val="99"/>
    <w:unhideWhenUsed/>
    <w:rsid w:val="004E154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4E154C"/>
    <w:rPr>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health.fgov.be\shares\DG1\Dm_nieuw\06%20Beleidsanalyse\06.30%20Registratiesystemen%20en%20rapporten\02_MPG\Rapporten\01_Zorgactiviteit%20psychiatrische%20instellingen\2020\rapporten\laatste%20versie\Zorgactiviteit_2020_NL_Cartes%20V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ealth.fgov.be\shares\DG1\Dm_nieuw\06%20Beleidsanalyse\06.30%20Registratiesystemen%20en%20rapporten\02_MPG\Rapporten\01_Zorgactiviteit%20psychiatrische%20instellingen\2020\rapporten\laatste%20versie\Zorgactiviteit_2020_NL_Cartes%20V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ealth.fgov.be\shares\DG1\Dm_nieuw\06%20Beleidsanalyse\06.30%20Registratiesystemen%20en%20rapporten\02_MPG\Rapporten\01_Zorgactiviteit%20psychiatrische%20instellingen\2020\rapporten\laatste%20versie\Zorgactiviteit_2020_NL_Cartes%20V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health.fgov.be\shares\DG1\Dm_nieuw\06%20Beleidsanalyse\06.30%20Registratiesystemen%20en%20rapporten\02_MPG\Rapporten\01_Zorgactiviteit%20psychiatrische%20instellingen\2020\rapporten\laatste%20versie\Zorgactiviteit_2020_NL_Cartes%20V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health.fgov.be\shares\DG1\Dm_nieuw\06%20Beleidsanalyse\06.30%20Registratiesystemen%20en%20rapporten\02_MPG\Rapporten\01_Zorgactiviteit%20psychiatrische%20instellingen\2020\rapporten\laatste%20versie\Zorgactiviteit_2020_NL_Cartes%20V3.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health.fgov.be\shares\DG1\Dm_nieuw\06%20Beleidsanalyse\06.30%20Registratiesystemen%20en%20rapporten\02_MPG\Rapporten\01_Zorgactiviteit%20psychiatrische%20instellingen\2020\rapporten\laatste%20versie\Zorgactiviteit_2020_NL_Cartes%20V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health.fgov.be\shares\DG1\Dm_nieuw\06%20Beleidsanalyse\06.30%20Registratiesystemen%20en%20rapporten\02_MPG\Rapporten\01_Zorgactiviteit%20psychiatrische%20instellingen\2020\rapporten\laatste%20versie\Zorgactiviteit_2020_NL_Cartes%20V3.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health.fgov.be\shares\DG1\Dm_nieuw\06%20Beleidsanalyse\06.30%20Registratiesystemen%20en%20rapporten\02_MPG\Rapporten\01_Zorgactiviteit%20psychiatrische%20instellingen\2020\rapporten\laatste%20versie\Zorgactiviteit_2020_NL_Cartes%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Aantal</a:t>
            </a:r>
            <a:r>
              <a:rPr lang="nl-BE" baseline="0"/>
              <a:t> nieuwe </a:t>
            </a:r>
            <a:r>
              <a:rPr lang="nl-BE"/>
              <a:t>verblijven in PZ en PAAZ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0"/>
          <c:order val="0"/>
          <c:tx>
            <c:strRef>
              <c:f>'Verblijven in PZ en PAAZ'!$B$6</c:f>
              <c:strCache>
                <c:ptCount val="1"/>
                <c:pt idx="0">
                  <c:v>Totaal aantal verblijven</c:v>
                </c:pt>
              </c:strCache>
            </c:strRef>
          </c:tx>
          <c:dPt>
            <c:idx val="0"/>
            <c:bubble3D val="0"/>
            <c:spPr>
              <a:solidFill>
                <a:srgbClr val="7BBBBC"/>
              </a:solidFill>
              <a:ln w="19050">
                <a:solidFill>
                  <a:schemeClr val="lt1"/>
                </a:solidFill>
              </a:ln>
              <a:effectLst/>
            </c:spPr>
            <c:extLst>
              <c:ext xmlns:c16="http://schemas.microsoft.com/office/drawing/2014/chart" uri="{C3380CC4-5D6E-409C-BE32-E72D297353CC}">
                <c16:uniqueId val="{00000001-27B4-47B8-BFA2-80AD1157A8B4}"/>
              </c:ext>
            </c:extLst>
          </c:dPt>
          <c:dPt>
            <c:idx val="1"/>
            <c:bubble3D val="0"/>
            <c:spPr>
              <a:solidFill>
                <a:srgbClr val="E4AB72"/>
              </a:solidFill>
              <a:ln w="19050">
                <a:solidFill>
                  <a:schemeClr val="lt1"/>
                </a:solidFill>
              </a:ln>
              <a:effectLst/>
            </c:spPr>
            <c:extLst>
              <c:ext xmlns:c16="http://schemas.microsoft.com/office/drawing/2014/chart" uri="{C3380CC4-5D6E-409C-BE32-E72D297353CC}">
                <c16:uniqueId val="{00000003-27B4-47B8-BFA2-80AD1157A8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l-BE"/>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'Verblijven in PZ en PAAZ'!$A$7:$A$8</c:f>
              <c:strCache>
                <c:ptCount val="2"/>
                <c:pt idx="0">
                  <c:v>PAAZ</c:v>
                </c:pt>
                <c:pt idx="1">
                  <c:v>PZ</c:v>
                </c:pt>
              </c:strCache>
            </c:strRef>
          </c:cat>
          <c:val>
            <c:numRef>
              <c:f>'Verblijven in PZ en PAAZ'!$B$7:$B$8</c:f>
              <c:numCache>
                <c:formatCode>#,##0</c:formatCode>
                <c:ptCount val="2"/>
                <c:pt idx="0">
                  <c:v>53093</c:v>
                </c:pt>
                <c:pt idx="1">
                  <c:v>49636</c:v>
                </c:pt>
              </c:numCache>
            </c:numRef>
          </c:val>
          <c:extLst>
            <c:ext xmlns:c16="http://schemas.microsoft.com/office/drawing/2014/chart" uri="{C3380CC4-5D6E-409C-BE32-E72D297353CC}">
              <c16:uniqueId val="{00000004-27B4-47B8-BFA2-80AD1157A8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Aantal nieuwe verblijven per type verblijf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0"/>
          <c:order val="0"/>
          <c:tx>
            <c:strRef>
              <c:f>'Voltijdse en partiële verbl'!$D$9</c:f>
              <c:strCache>
                <c:ptCount val="1"/>
                <c:pt idx="0">
                  <c:v>Totaal</c:v>
                </c:pt>
              </c:strCache>
            </c:strRef>
          </c:tx>
          <c:spPr>
            <a:solidFill>
              <a:srgbClr val="7BBBBC"/>
            </a:solidFill>
          </c:spPr>
          <c:dPt>
            <c:idx val="0"/>
            <c:bubble3D val="0"/>
            <c:spPr>
              <a:solidFill>
                <a:srgbClr val="7BBBBC"/>
              </a:solidFill>
              <a:ln w="19050">
                <a:solidFill>
                  <a:schemeClr val="lt1"/>
                </a:solidFill>
              </a:ln>
              <a:effectLst/>
            </c:spPr>
            <c:extLst>
              <c:ext xmlns:c16="http://schemas.microsoft.com/office/drawing/2014/chart" uri="{C3380CC4-5D6E-409C-BE32-E72D297353CC}">
                <c16:uniqueId val="{00000001-2898-4E32-88DD-9A842EA5F67B}"/>
              </c:ext>
            </c:extLst>
          </c:dPt>
          <c:dPt>
            <c:idx val="1"/>
            <c:bubble3D val="0"/>
            <c:spPr>
              <a:solidFill>
                <a:srgbClr val="E4AB72"/>
              </a:solidFill>
              <a:ln w="19050">
                <a:solidFill>
                  <a:schemeClr val="lt1"/>
                </a:solidFill>
              </a:ln>
              <a:effectLst/>
            </c:spPr>
            <c:extLst>
              <c:ext xmlns:c16="http://schemas.microsoft.com/office/drawing/2014/chart" uri="{C3380CC4-5D6E-409C-BE32-E72D297353CC}">
                <c16:uniqueId val="{00000003-2898-4E32-88DD-9A842EA5F67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l-BE"/>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'Voltijdse en partiële verbl'!$A$10:$A$11</c:f>
              <c:strCache>
                <c:ptCount val="2"/>
                <c:pt idx="0">
                  <c:v>Voltijds</c:v>
                </c:pt>
                <c:pt idx="1">
                  <c:v>Partieel</c:v>
                </c:pt>
              </c:strCache>
            </c:strRef>
          </c:cat>
          <c:val>
            <c:numRef>
              <c:f>'Voltijdse en partiële verbl'!$D$10:$D$11</c:f>
              <c:numCache>
                <c:formatCode>#,##0</c:formatCode>
                <c:ptCount val="2"/>
                <c:pt idx="0">
                  <c:v>85873</c:v>
                </c:pt>
                <c:pt idx="1">
                  <c:v>16856</c:v>
                </c:pt>
              </c:numCache>
            </c:numRef>
          </c:val>
          <c:extLst>
            <c:ext xmlns:c16="http://schemas.microsoft.com/office/drawing/2014/chart" uri="{C3380CC4-5D6E-409C-BE32-E72D297353CC}">
              <c16:uniqueId val="{00000004-2898-4E32-88DD-9A842EA5F67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Totaal aantal ligdagen van de voltijdse hospitalisaties</a:t>
            </a:r>
            <a:endParaRPr lang="fr-BE"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'Ligdagen voltijdse verblijven'!$C$11</c:f>
              <c:strCache>
                <c:ptCount val="1"/>
                <c:pt idx="0">
                  <c:v>Totaal aantal ligdagen</c:v>
                </c:pt>
              </c:strCache>
            </c:strRef>
          </c:tx>
          <c:spPr>
            <a:ln w="28575" cap="rnd">
              <a:solidFill>
                <a:srgbClr val="81A9CE"/>
              </a:solidFill>
              <a:round/>
            </a:ln>
            <a:effectLst/>
          </c:spPr>
          <c:marker>
            <c:symbol val="none"/>
          </c:marker>
          <c:cat>
            <c:numRef>
              <c:f>'Ligdagen voltijdse verblijven'!$A$12:$A$25</c:f>
              <c:numCache>
                <c:formatCode>####0</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'Ligdagen voltijdse verblijven'!$C$12:$C$25</c:f>
              <c:numCache>
                <c:formatCode>#,##0</c:formatCode>
                <c:ptCount val="14"/>
                <c:pt idx="0">
                  <c:v>4943332</c:v>
                </c:pt>
                <c:pt idx="1">
                  <c:v>4936639</c:v>
                </c:pt>
                <c:pt idx="2">
                  <c:v>4931662</c:v>
                </c:pt>
                <c:pt idx="3">
                  <c:v>4930927</c:v>
                </c:pt>
                <c:pt idx="4">
                  <c:v>5065341</c:v>
                </c:pt>
                <c:pt idx="5">
                  <c:v>4733484</c:v>
                </c:pt>
                <c:pt idx="6">
                  <c:v>4531693</c:v>
                </c:pt>
                <c:pt idx="7">
                  <c:v>4519356</c:v>
                </c:pt>
                <c:pt idx="8">
                  <c:v>4460641</c:v>
                </c:pt>
                <c:pt idx="9">
                  <c:v>4604763</c:v>
                </c:pt>
                <c:pt idx="10">
                  <c:v>4366462</c:v>
                </c:pt>
                <c:pt idx="11">
                  <c:v>4287529</c:v>
                </c:pt>
                <c:pt idx="12">
                  <c:v>4816574</c:v>
                </c:pt>
                <c:pt idx="13">
                  <c:v>5046692</c:v>
                </c:pt>
              </c:numCache>
            </c:numRef>
          </c:val>
          <c:smooth val="0"/>
          <c:extLst>
            <c:ext xmlns:c16="http://schemas.microsoft.com/office/drawing/2014/chart" uri="{C3380CC4-5D6E-409C-BE32-E72D297353CC}">
              <c16:uniqueId val="{00000000-B09A-4C80-AE42-54B01516C71B}"/>
            </c:ext>
          </c:extLst>
        </c:ser>
        <c:dLbls>
          <c:showLegendKey val="0"/>
          <c:showVal val="0"/>
          <c:showCatName val="0"/>
          <c:showSerName val="0"/>
          <c:showPercent val="0"/>
          <c:showBubbleSize val="0"/>
        </c:dLbls>
        <c:smooth val="0"/>
        <c:axId val="901424192"/>
        <c:axId val="901421240"/>
      </c:lineChart>
      <c:catAx>
        <c:axId val="9014241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01421240"/>
        <c:crosses val="autoZero"/>
        <c:auto val="1"/>
        <c:lblAlgn val="ctr"/>
        <c:lblOffset val="100"/>
        <c:noMultiLvlLbl val="0"/>
      </c:catAx>
      <c:valAx>
        <c:axId val="901421240"/>
        <c:scaling>
          <c:orientation val="minMax"/>
          <c:max val="65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Totaal aantal ligdagen</a:t>
                </a:r>
                <a:endParaRPr lang="en-US" baseline="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01424192"/>
        <c:crosses val="autoZero"/>
        <c:crossBetween val="between"/>
        <c:majorUnit val="10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[Zorgactiviteit_2020_NL_Cartes V3.xlsx]Verblijven per regio!Tableau croisé dynamique7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Aantal</a:t>
            </a:r>
            <a:r>
              <a:rPr lang="nl-BE" baseline="0"/>
              <a:t> nieuwe verblijven per 1.000 inwoners per regio</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'Verblijven per regio'!$B$12:$B$13</c:f>
              <c:strCache>
                <c:ptCount val="1"/>
                <c:pt idx="0">
                  <c:v>België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'Verblijven per regio'!$A$14</c:f>
              <c:strCache>
                <c:ptCount val="1"/>
                <c:pt idx="0">
                  <c:v>Totaal</c:v>
                </c:pt>
              </c:strCache>
            </c:strRef>
          </c:cat>
          <c:val>
            <c:numRef>
              <c:f>'Verblijven per regio'!$B$14</c:f>
              <c:numCache>
                <c:formatCode>0.00</c:formatCode>
                <c:ptCount val="1"/>
                <c:pt idx="0">
                  <c:v>8.9386764974212642</c:v>
                </c:pt>
              </c:numCache>
            </c:numRef>
          </c:val>
          <c:extLst>
            <c:ext xmlns:c16="http://schemas.microsoft.com/office/drawing/2014/chart" uri="{C3380CC4-5D6E-409C-BE32-E72D297353CC}">
              <c16:uniqueId val="{00000000-68C3-482C-9D9F-364C27B4A59F}"/>
            </c:ext>
          </c:extLst>
        </c:ser>
        <c:ser>
          <c:idx val="1"/>
          <c:order val="1"/>
          <c:tx>
            <c:strRef>
              <c:f>'Verblijven per regio'!$C$12:$C$13</c:f>
              <c:strCache>
                <c:ptCount val="1"/>
                <c:pt idx="0">
                  <c:v>Vlaanderen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'Verblijven per regio'!$A$14</c:f>
              <c:strCache>
                <c:ptCount val="1"/>
                <c:pt idx="0">
                  <c:v>Totaal</c:v>
                </c:pt>
              </c:strCache>
            </c:strRef>
          </c:cat>
          <c:val>
            <c:numRef>
              <c:f>'Verblijven per regio'!$C$14</c:f>
              <c:numCache>
                <c:formatCode>0.00</c:formatCode>
                <c:ptCount val="1"/>
                <c:pt idx="0">
                  <c:v>9.3289585094181859</c:v>
                </c:pt>
              </c:numCache>
            </c:numRef>
          </c:val>
          <c:extLst>
            <c:ext xmlns:c16="http://schemas.microsoft.com/office/drawing/2014/chart" uri="{C3380CC4-5D6E-409C-BE32-E72D297353CC}">
              <c16:uniqueId val="{00000001-68C3-482C-9D9F-364C27B4A59F}"/>
            </c:ext>
          </c:extLst>
        </c:ser>
        <c:ser>
          <c:idx val="2"/>
          <c:order val="2"/>
          <c:tx>
            <c:strRef>
              <c:f>'Verblijven per regio'!$D$12:$D$13</c:f>
              <c:strCache>
                <c:ptCount val="1"/>
                <c:pt idx="0">
                  <c:v>Wallonië</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'Verblijven per regio'!$A$14</c:f>
              <c:strCache>
                <c:ptCount val="1"/>
                <c:pt idx="0">
                  <c:v>Totaal</c:v>
                </c:pt>
              </c:strCache>
            </c:strRef>
          </c:cat>
          <c:val>
            <c:numRef>
              <c:f>'Verblijven per regio'!$D$14</c:f>
              <c:numCache>
                <c:formatCode>0.00</c:formatCode>
                <c:ptCount val="1"/>
                <c:pt idx="0">
                  <c:v>7.972856679239217</c:v>
                </c:pt>
              </c:numCache>
            </c:numRef>
          </c:val>
          <c:extLst>
            <c:ext xmlns:c16="http://schemas.microsoft.com/office/drawing/2014/chart" uri="{C3380CC4-5D6E-409C-BE32-E72D297353CC}">
              <c16:uniqueId val="{00000002-68C3-482C-9D9F-364C27B4A59F}"/>
            </c:ext>
          </c:extLst>
        </c:ser>
        <c:ser>
          <c:idx val="3"/>
          <c:order val="3"/>
          <c:tx>
            <c:strRef>
              <c:f>'Verblijven per regio'!$E$12:$E$13</c:f>
              <c:strCache>
                <c:ptCount val="1"/>
                <c:pt idx="0">
                  <c:v>Brussel Hoofdstedelijk Gewest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'Verblijven per regio'!$A$14</c:f>
              <c:strCache>
                <c:ptCount val="1"/>
                <c:pt idx="0">
                  <c:v>Totaal</c:v>
                </c:pt>
              </c:strCache>
            </c:strRef>
          </c:cat>
          <c:val>
            <c:numRef>
              <c:f>'Verblijven per regio'!$E$14</c:f>
              <c:numCache>
                <c:formatCode>0.00</c:formatCode>
                <c:ptCount val="1"/>
                <c:pt idx="0">
                  <c:v>9.704864745065688</c:v>
                </c:pt>
              </c:numCache>
            </c:numRef>
          </c:val>
          <c:extLst>
            <c:ext xmlns:c16="http://schemas.microsoft.com/office/drawing/2014/chart" uri="{C3380CC4-5D6E-409C-BE32-E72D297353CC}">
              <c16:uniqueId val="{00000003-68C3-482C-9D9F-364C27B4A59F}"/>
            </c:ext>
          </c:extLst>
        </c:ser>
        <c:dLbls>
          <c:dLblPos val="outEnd"/>
          <c:showLegendKey val="0"/>
          <c:showVal val="1"/>
          <c:showCatName val="0"/>
          <c:showSerName val="0"/>
          <c:showPercent val="0"/>
          <c:showBubbleSize val="0"/>
        </c:dLbls>
        <c:gapWidth val="219"/>
        <c:overlap val="-27"/>
        <c:axId val="1188373280"/>
        <c:axId val="1188373608"/>
      </c:barChart>
      <c:catAx>
        <c:axId val="1188373280"/>
        <c:scaling>
          <c:orientation val="minMax"/>
        </c:scaling>
        <c:delete val="1"/>
        <c:axPos val="b"/>
        <c:numFmt formatCode="General" sourceLinked="1"/>
        <c:majorTickMark val="none"/>
        <c:minorTickMark val="none"/>
        <c:tickLblPos val="nextTo"/>
        <c:crossAx val="1188373608"/>
        <c:crosses val="autoZero"/>
        <c:auto val="1"/>
        <c:lblAlgn val="ctr"/>
        <c:lblOffset val="100"/>
        <c:noMultiLvlLbl val="0"/>
      </c:catAx>
      <c:valAx>
        <c:axId val="1188373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18837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extLst>
    <c:ext xmlns:c14="http://schemas.microsoft.com/office/drawing/2007/8/2/chart" uri="{781A3756-C4B2-4CAC-9D66-4F8BD8637D16}">
      <c14:pivotOptions>
        <c14:dropZoneFilter val="1"/>
        <c14:dropZoneCategories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Aantal</a:t>
            </a:r>
            <a:r>
              <a:rPr lang="nl-BE" baseline="0"/>
              <a:t> mannen en vrouwen in PZ en PAAZ</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0F-47BC-8634-6FC452CEDC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0F-47BC-8634-6FC452CEDC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'Leeftijd &amp; geslacht'!$C$5:$D$5</c:f>
              <c:strCache>
                <c:ptCount val="2"/>
                <c:pt idx="0">
                  <c:v>Mannen</c:v>
                </c:pt>
                <c:pt idx="1">
                  <c:v>Vrouwen</c:v>
                </c:pt>
              </c:strCache>
            </c:strRef>
          </c:cat>
          <c:val>
            <c:numRef>
              <c:f>'Leeftijd &amp; geslacht'!$C$63:$D$63</c:f>
              <c:numCache>
                <c:formatCode>###########0</c:formatCode>
                <c:ptCount val="2"/>
                <c:pt idx="0">
                  <c:v>50825</c:v>
                </c:pt>
                <c:pt idx="1">
                  <c:v>51904</c:v>
                </c:pt>
              </c:numCache>
            </c:numRef>
          </c:val>
          <c:extLst>
            <c:ext xmlns:c16="http://schemas.microsoft.com/office/drawing/2014/chart" uri="{C3380CC4-5D6E-409C-BE32-E72D297353CC}">
              <c16:uniqueId val="{00000004-0D0F-47BC-8634-6FC452CEDC2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Aantal verblijven</a:t>
            </a:r>
            <a:r>
              <a:rPr lang="en-US" sz="1200" baseline="0"/>
              <a:t> per geslacht in PZ</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tx>
            <c:strRef>
              <c:f>'Leeftijd &amp; geslacht'!$C$5</c:f>
              <c:strCache>
                <c:ptCount val="1"/>
                <c:pt idx="0">
                  <c:v>Mannen</c:v>
                </c:pt>
              </c:strCache>
            </c:strRef>
          </c:tx>
          <c:spPr>
            <a:solidFill>
              <a:schemeClr val="accent1"/>
            </a:solidFill>
            <a:ln w="12700" cap="flat" cmpd="sng" algn="ctr">
              <a:solidFill>
                <a:schemeClr val="accent1">
                  <a:shade val="50000"/>
                </a:schemeClr>
              </a:solidFill>
              <a:prstDash val="solid"/>
              <a:miter lim="800000"/>
            </a:ln>
            <a:effectLst/>
          </c:spPr>
          <c:invertIfNegative val="0"/>
          <c:cat>
            <c:strRef>
              <c:f>'Leeftijd &amp; geslacht'!$B$6:$B$24</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'Leeftijd &amp; geslacht'!$C$6:$C$24</c:f>
              <c:numCache>
                <c:formatCode>###########0</c:formatCode>
                <c:ptCount val="19"/>
                <c:pt idx="0">
                  <c:v>87</c:v>
                </c:pt>
                <c:pt idx="1">
                  <c:v>236</c:v>
                </c:pt>
                <c:pt idx="2">
                  <c:v>401</c:v>
                </c:pt>
                <c:pt idx="3">
                  <c:v>1176</c:v>
                </c:pt>
                <c:pt idx="4">
                  <c:v>1896</c:v>
                </c:pt>
                <c:pt idx="5">
                  <c:v>2557</c:v>
                </c:pt>
                <c:pt idx="6">
                  <c:v>3035</c:v>
                </c:pt>
                <c:pt idx="7">
                  <c:v>3164</c:v>
                </c:pt>
                <c:pt idx="8">
                  <c:v>3224</c:v>
                </c:pt>
                <c:pt idx="9">
                  <c:v>2682</c:v>
                </c:pt>
                <c:pt idx="10">
                  <c:v>2350</c:v>
                </c:pt>
                <c:pt idx="11">
                  <c:v>2001</c:v>
                </c:pt>
                <c:pt idx="12">
                  <c:v>1365</c:v>
                </c:pt>
                <c:pt idx="13">
                  <c:v>933</c:v>
                </c:pt>
                <c:pt idx="14">
                  <c:v>495</c:v>
                </c:pt>
                <c:pt idx="15">
                  <c:v>313</c:v>
                </c:pt>
                <c:pt idx="16">
                  <c:v>255</c:v>
                </c:pt>
                <c:pt idx="17">
                  <c:v>147</c:v>
                </c:pt>
                <c:pt idx="18">
                  <c:v>53</c:v>
                </c:pt>
              </c:numCache>
            </c:numRef>
          </c:val>
          <c:extLst>
            <c:ext xmlns:c16="http://schemas.microsoft.com/office/drawing/2014/chart" uri="{C3380CC4-5D6E-409C-BE32-E72D297353CC}">
              <c16:uniqueId val="{00000000-6EED-483A-982D-E68ED5F48DFC}"/>
            </c:ext>
          </c:extLst>
        </c:ser>
        <c:ser>
          <c:idx val="1"/>
          <c:order val="1"/>
          <c:tx>
            <c:strRef>
              <c:f>'Leeftijd &amp; geslacht'!$D$5</c:f>
              <c:strCache>
                <c:ptCount val="1"/>
                <c:pt idx="0">
                  <c:v>Vrouwen</c:v>
                </c:pt>
              </c:strCache>
            </c:strRef>
          </c:tx>
          <c:spPr>
            <a:solidFill>
              <a:schemeClr val="accent2"/>
            </a:solidFill>
            <a:ln w="12700" cap="flat" cmpd="sng" algn="ctr">
              <a:solidFill>
                <a:schemeClr val="accent2">
                  <a:shade val="50000"/>
                </a:schemeClr>
              </a:solidFill>
              <a:prstDash val="solid"/>
              <a:miter lim="800000"/>
            </a:ln>
            <a:effectLst/>
          </c:spPr>
          <c:invertIfNegative val="0"/>
          <c:cat>
            <c:strRef>
              <c:f>'Leeftijd &amp; geslacht'!$B$6:$B$24</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'Leeftijd &amp; geslacht'!$D$6:$D$24</c:f>
              <c:numCache>
                <c:formatCode>0;0</c:formatCode>
                <c:ptCount val="19"/>
                <c:pt idx="0">
                  <c:v>-43</c:v>
                </c:pt>
                <c:pt idx="1">
                  <c:v>-93</c:v>
                </c:pt>
                <c:pt idx="2">
                  <c:v>-354</c:v>
                </c:pt>
                <c:pt idx="3">
                  <c:v>-1967</c:v>
                </c:pt>
                <c:pt idx="4">
                  <c:v>-1727</c:v>
                </c:pt>
                <c:pt idx="5">
                  <c:v>-1760</c:v>
                </c:pt>
                <c:pt idx="6">
                  <c:v>-2110</c:v>
                </c:pt>
                <c:pt idx="7">
                  <c:v>-2213</c:v>
                </c:pt>
                <c:pt idx="8">
                  <c:v>-2089</c:v>
                </c:pt>
                <c:pt idx="9">
                  <c:v>-2255</c:v>
                </c:pt>
                <c:pt idx="10">
                  <c:v>-2180</c:v>
                </c:pt>
                <c:pt idx="11">
                  <c:v>-2006</c:v>
                </c:pt>
                <c:pt idx="12">
                  <c:v>-1559</c:v>
                </c:pt>
                <c:pt idx="13">
                  <c:v>-1078</c:v>
                </c:pt>
                <c:pt idx="14">
                  <c:v>-702</c:v>
                </c:pt>
                <c:pt idx="15">
                  <c:v>-463</c:v>
                </c:pt>
                <c:pt idx="16">
                  <c:v>-379</c:v>
                </c:pt>
                <c:pt idx="17">
                  <c:v>-220</c:v>
                </c:pt>
                <c:pt idx="18">
                  <c:v>-68</c:v>
                </c:pt>
              </c:numCache>
            </c:numRef>
          </c:val>
          <c:extLst>
            <c:ext xmlns:c16="http://schemas.microsoft.com/office/drawing/2014/chart" uri="{C3380CC4-5D6E-409C-BE32-E72D297353CC}">
              <c16:uniqueId val="{00000001-6EED-483A-982D-E68ED5F48DFC}"/>
            </c:ext>
          </c:extLst>
        </c:ser>
        <c:dLbls>
          <c:showLegendKey val="0"/>
          <c:showVal val="0"/>
          <c:showCatName val="0"/>
          <c:showSerName val="0"/>
          <c:showPercent val="0"/>
          <c:showBubbleSize val="0"/>
        </c:dLbls>
        <c:gapWidth val="0"/>
        <c:overlap val="100"/>
        <c:axId val="907148656"/>
        <c:axId val="907149312"/>
      </c:barChart>
      <c:catAx>
        <c:axId val="9071486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07149312"/>
        <c:crosses val="autoZero"/>
        <c:auto val="1"/>
        <c:lblAlgn val="ctr"/>
        <c:lblOffset val="100"/>
        <c:noMultiLvlLbl val="0"/>
      </c:catAx>
      <c:valAx>
        <c:axId val="907149312"/>
        <c:scaling>
          <c:orientation val="minMax"/>
          <c:max val="4000"/>
          <c:min val="-400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071486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Aantal verblijven</a:t>
            </a:r>
            <a:r>
              <a:rPr lang="en-US" sz="1200" baseline="0"/>
              <a:t> per geslacht in PAAZ</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tx>
            <c:strRef>
              <c:f>'Leeftijd &amp; geslacht'!$C$5</c:f>
              <c:strCache>
                <c:ptCount val="1"/>
                <c:pt idx="0">
                  <c:v>Mannen</c:v>
                </c:pt>
              </c:strCache>
            </c:strRef>
          </c:tx>
          <c:spPr>
            <a:solidFill>
              <a:schemeClr val="accent1"/>
            </a:solidFill>
            <a:ln w="12700" cap="flat" cmpd="sng" algn="ctr">
              <a:solidFill>
                <a:schemeClr val="accent1">
                  <a:shade val="50000"/>
                </a:schemeClr>
              </a:solidFill>
              <a:prstDash val="solid"/>
              <a:miter lim="800000"/>
            </a:ln>
            <a:effectLst/>
          </c:spPr>
          <c:invertIfNegative val="0"/>
          <c:cat>
            <c:strRef>
              <c:f>'Leeftijd &amp; geslacht'!$B$6:$B$24</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'Leeftijd &amp; geslacht'!$C$25:$C$43</c:f>
              <c:numCache>
                <c:formatCode>###########0</c:formatCode>
                <c:ptCount val="19"/>
                <c:pt idx="0">
                  <c:v>131</c:v>
                </c:pt>
                <c:pt idx="1">
                  <c:v>381</c:v>
                </c:pt>
                <c:pt idx="2">
                  <c:v>621</c:v>
                </c:pt>
                <c:pt idx="3">
                  <c:v>1110</c:v>
                </c:pt>
                <c:pt idx="4">
                  <c:v>1589</c:v>
                </c:pt>
                <c:pt idx="5">
                  <c:v>1997</c:v>
                </c:pt>
                <c:pt idx="6">
                  <c:v>2422</c:v>
                </c:pt>
                <c:pt idx="7">
                  <c:v>2555</c:v>
                </c:pt>
                <c:pt idx="8">
                  <c:v>2868</c:v>
                </c:pt>
                <c:pt idx="9">
                  <c:v>2705</c:v>
                </c:pt>
                <c:pt idx="10">
                  <c:v>2542</c:v>
                </c:pt>
                <c:pt idx="11">
                  <c:v>2189</c:v>
                </c:pt>
                <c:pt idx="12">
                  <c:v>1541</c:v>
                </c:pt>
                <c:pt idx="13">
                  <c:v>870</c:v>
                </c:pt>
                <c:pt idx="14">
                  <c:v>525</c:v>
                </c:pt>
                <c:pt idx="15">
                  <c:v>204</c:v>
                </c:pt>
                <c:pt idx="16">
                  <c:v>132</c:v>
                </c:pt>
                <c:pt idx="17">
                  <c:v>65</c:v>
                </c:pt>
                <c:pt idx="18">
                  <c:v>8</c:v>
                </c:pt>
              </c:numCache>
            </c:numRef>
          </c:val>
          <c:extLst>
            <c:ext xmlns:c16="http://schemas.microsoft.com/office/drawing/2014/chart" uri="{C3380CC4-5D6E-409C-BE32-E72D297353CC}">
              <c16:uniqueId val="{00000000-45B6-4C17-83C0-D7A7E463F28F}"/>
            </c:ext>
          </c:extLst>
        </c:ser>
        <c:ser>
          <c:idx val="1"/>
          <c:order val="1"/>
          <c:tx>
            <c:strRef>
              <c:f>'Leeftijd &amp; geslacht'!$D$5</c:f>
              <c:strCache>
                <c:ptCount val="1"/>
                <c:pt idx="0">
                  <c:v>Vrouwen</c:v>
                </c:pt>
              </c:strCache>
            </c:strRef>
          </c:tx>
          <c:spPr>
            <a:solidFill>
              <a:schemeClr val="accent2"/>
            </a:solidFill>
            <a:ln w="12700" cap="flat" cmpd="sng" algn="ctr">
              <a:solidFill>
                <a:schemeClr val="accent2">
                  <a:shade val="50000"/>
                </a:schemeClr>
              </a:solidFill>
              <a:prstDash val="solid"/>
              <a:miter lim="800000"/>
            </a:ln>
            <a:effectLst/>
          </c:spPr>
          <c:invertIfNegative val="0"/>
          <c:cat>
            <c:strRef>
              <c:f>'Leeftijd &amp; geslacht'!$B$6:$B$24</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'Leeftijd &amp; geslacht'!$D$25:$D$43</c:f>
              <c:numCache>
                <c:formatCode>0;0</c:formatCode>
                <c:ptCount val="19"/>
                <c:pt idx="0">
                  <c:v>-63</c:v>
                </c:pt>
                <c:pt idx="1">
                  <c:v>-146</c:v>
                </c:pt>
                <c:pt idx="2">
                  <c:v>-576</c:v>
                </c:pt>
                <c:pt idx="3">
                  <c:v>-1959</c:v>
                </c:pt>
                <c:pt idx="4">
                  <c:v>-1884</c:v>
                </c:pt>
                <c:pt idx="5">
                  <c:v>-1900</c:v>
                </c:pt>
                <c:pt idx="6">
                  <c:v>-2358</c:v>
                </c:pt>
                <c:pt idx="7">
                  <c:v>-2657</c:v>
                </c:pt>
                <c:pt idx="8">
                  <c:v>-2819</c:v>
                </c:pt>
                <c:pt idx="9">
                  <c:v>-3067</c:v>
                </c:pt>
                <c:pt idx="10">
                  <c:v>-3145</c:v>
                </c:pt>
                <c:pt idx="11">
                  <c:v>-2895</c:v>
                </c:pt>
                <c:pt idx="12">
                  <c:v>-1969</c:v>
                </c:pt>
                <c:pt idx="13">
                  <c:v>-1373</c:v>
                </c:pt>
                <c:pt idx="14">
                  <c:v>-897</c:v>
                </c:pt>
                <c:pt idx="15">
                  <c:v>-542</c:v>
                </c:pt>
                <c:pt idx="16">
                  <c:v>-278</c:v>
                </c:pt>
                <c:pt idx="17">
                  <c:v>-98</c:v>
                </c:pt>
                <c:pt idx="18">
                  <c:v>-12</c:v>
                </c:pt>
              </c:numCache>
            </c:numRef>
          </c:val>
          <c:extLst>
            <c:ext xmlns:c16="http://schemas.microsoft.com/office/drawing/2014/chart" uri="{C3380CC4-5D6E-409C-BE32-E72D297353CC}">
              <c16:uniqueId val="{00000001-45B6-4C17-83C0-D7A7E463F28F}"/>
            </c:ext>
          </c:extLst>
        </c:ser>
        <c:dLbls>
          <c:showLegendKey val="0"/>
          <c:showVal val="0"/>
          <c:showCatName val="0"/>
          <c:showSerName val="0"/>
          <c:showPercent val="0"/>
          <c:showBubbleSize val="0"/>
        </c:dLbls>
        <c:gapWidth val="0"/>
        <c:overlap val="100"/>
        <c:axId val="907148656"/>
        <c:axId val="907149312"/>
      </c:barChart>
      <c:catAx>
        <c:axId val="9071486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07149312"/>
        <c:crosses val="autoZero"/>
        <c:auto val="1"/>
        <c:lblAlgn val="ctr"/>
        <c:lblOffset val="100"/>
        <c:noMultiLvlLbl val="0"/>
      </c:catAx>
      <c:valAx>
        <c:axId val="907149312"/>
        <c:scaling>
          <c:orientation val="minMax"/>
          <c:max val="4000"/>
          <c:min val="-400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071486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Aantal verblijven</a:t>
            </a:r>
            <a:r>
              <a:rPr lang="en-US" baseline="0"/>
              <a:t> per geslacht in PZ en PAAZ</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tx>
            <c:strRef>
              <c:f>'Leeftijd &amp; geslacht'!$C$5</c:f>
              <c:strCache>
                <c:ptCount val="1"/>
                <c:pt idx="0">
                  <c:v>Mannen</c:v>
                </c:pt>
              </c:strCache>
            </c:strRef>
          </c:tx>
          <c:spPr>
            <a:solidFill>
              <a:schemeClr val="accent1"/>
            </a:solidFill>
            <a:ln w="12700" cap="flat" cmpd="sng" algn="ctr">
              <a:solidFill>
                <a:schemeClr val="accent1">
                  <a:shade val="50000"/>
                </a:schemeClr>
              </a:solidFill>
              <a:prstDash val="solid"/>
              <a:miter lim="800000"/>
            </a:ln>
            <a:effectLst/>
          </c:spPr>
          <c:invertIfNegative val="0"/>
          <c:cat>
            <c:strRef>
              <c:f>'Leeftijd &amp; geslacht'!$B$6:$B$24</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'Leeftijd &amp; geslacht'!$C$44:$C$62</c:f>
              <c:numCache>
                <c:formatCode>###########0</c:formatCode>
                <c:ptCount val="19"/>
                <c:pt idx="0">
                  <c:v>218</c:v>
                </c:pt>
                <c:pt idx="1">
                  <c:v>617</c:v>
                </c:pt>
                <c:pt idx="2">
                  <c:v>1022</c:v>
                </c:pt>
                <c:pt idx="3">
                  <c:v>2286</c:v>
                </c:pt>
                <c:pt idx="4">
                  <c:v>3485</c:v>
                </c:pt>
                <c:pt idx="5">
                  <c:v>4554</c:v>
                </c:pt>
                <c:pt idx="6">
                  <c:v>5457</c:v>
                </c:pt>
                <c:pt idx="7">
                  <c:v>5719</c:v>
                </c:pt>
                <c:pt idx="8">
                  <c:v>6092</c:v>
                </c:pt>
                <c:pt idx="9">
                  <c:v>5387</c:v>
                </c:pt>
                <c:pt idx="10">
                  <c:v>4892</c:v>
                </c:pt>
                <c:pt idx="11">
                  <c:v>4190</c:v>
                </c:pt>
                <c:pt idx="12">
                  <c:v>2906</c:v>
                </c:pt>
                <c:pt idx="13">
                  <c:v>1803</c:v>
                </c:pt>
                <c:pt idx="14">
                  <c:v>1020</c:v>
                </c:pt>
                <c:pt idx="15">
                  <c:v>517</c:v>
                </c:pt>
                <c:pt idx="16">
                  <c:v>387</c:v>
                </c:pt>
                <c:pt idx="17">
                  <c:v>212</c:v>
                </c:pt>
                <c:pt idx="18">
                  <c:v>61</c:v>
                </c:pt>
              </c:numCache>
            </c:numRef>
          </c:val>
          <c:extLst>
            <c:ext xmlns:c16="http://schemas.microsoft.com/office/drawing/2014/chart" uri="{C3380CC4-5D6E-409C-BE32-E72D297353CC}">
              <c16:uniqueId val="{00000000-5E74-43DF-BBF5-0A9078424786}"/>
            </c:ext>
          </c:extLst>
        </c:ser>
        <c:ser>
          <c:idx val="1"/>
          <c:order val="1"/>
          <c:tx>
            <c:strRef>
              <c:f>'Leeftijd &amp; geslacht'!$D$5</c:f>
              <c:strCache>
                <c:ptCount val="1"/>
                <c:pt idx="0">
                  <c:v>Vrouwen</c:v>
                </c:pt>
              </c:strCache>
            </c:strRef>
          </c:tx>
          <c:spPr>
            <a:solidFill>
              <a:schemeClr val="accent2"/>
            </a:solidFill>
            <a:ln w="12700" cap="flat" cmpd="sng" algn="ctr">
              <a:solidFill>
                <a:schemeClr val="accent2">
                  <a:shade val="50000"/>
                </a:schemeClr>
              </a:solidFill>
              <a:prstDash val="solid"/>
              <a:miter lim="800000"/>
            </a:ln>
            <a:effectLst/>
          </c:spPr>
          <c:invertIfNegative val="0"/>
          <c:cat>
            <c:strRef>
              <c:f>'Leeftijd &amp; geslacht'!$B$6:$B$24</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'Leeftijd &amp; geslacht'!$D$44:$D$62</c:f>
              <c:numCache>
                <c:formatCode>0;0</c:formatCode>
                <c:ptCount val="19"/>
                <c:pt idx="0">
                  <c:v>-106</c:v>
                </c:pt>
                <c:pt idx="1">
                  <c:v>-239</c:v>
                </c:pt>
                <c:pt idx="2">
                  <c:v>-930</c:v>
                </c:pt>
                <c:pt idx="3">
                  <c:v>-3926</c:v>
                </c:pt>
                <c:pt idx="4">
                  <c:v>-3611</c:v>
                </c:pt>
                <c:pt idx="5">
                  <c:v>-3660</c:v>
                </c:pt>
                <c:pt idx="6">
                  <c:v>-4468</c:v>
                </c:pt>
                <c:pt idx="7">
                  <c:v>-4870</c:v>
                </c:pt>
                <c:pt idx="8">
                  <c:v>-4908</c:v>
                </c:pt>
                <c:pt idx="9">
                  <c:v>-5322</c:v>
                </c:pt>
                <c:pt idx="10">
                  <c:v>-5325</c:v>
                </c:pt>
                <c:pt idx="11">
                  <c:v>-4901</c:v>
                </c:pt>
                <c:pt idx="12">
                  <c:v>-3528</c:v>
                </c:pt>
                <c:pt idx="13">
                  <c:v>-2451</c:v>
                </c:pt>
                <c:pt idx="14">
                  <c:v>-1599</c:v>
                </c:pt>
                <c:pt idx="15">
                  <c:v>-1005</c:v>
                </c:pt>
                <c:pt idx="16">
                  <c:v>-657</c:v>
                </c:pt>
                <c:pt idx="17">
                  <c:v>-318</c:v>
                </c:pt>
                <c:pt idx="18">
                  <c:v>-80</c:v>
                </c:pt>
              </c:numCache>
            </c:numRef>
          </c:val>
          <c:extLst>
            <c:ext xmlns:c16="http://schemas.microsoft.com/office/drawing/2014/chart" uri="{C3380CC4-5D6E-409C-BE32-E72D297353CC}">
              <c16:uniqueId val="{00000001-5E74-43DF-BBF5-0A9078424786}"/>
            </c:ext>
          </c:extLst>
        </c:ser>
        <c:dLbls>
          <c:showLegendKey val="0"/>
          <c:showVal val="0"/>
          <c:showCatName val="0"/>
          <c:showSerName val="0"/>
          <c:showPercent val="0"/>
          <c:showBubbleSize val="0"/>
        </c:dLbls>
        <c:gapWidth val="0"/>
        <c:overlap val="100"/>
        <c:axId val="907148656"/>
        <c:axId val="907149312"/>
      </c:barChart>
      <c:catAx>
        <c:axId val="9071486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07149312"/>
        <c:crosses val="autoZero"/>
        <c:auto val="1"/>
        <c:lblAlgn val="ctr"/>
        <c:lblOffset val="100"/>
        <c:noMultiLvlLbl val="0"/>
      </c:catAx>
      <c:valAx>
        <c:axId val="907149312"/>
        <c:scaling>
          <c:orientation val="minMax"/>
          <c:max val="7000"/>
          <c:min val="-700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071486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a Blikvanger">
  <a:themeElements>
    <a:clrScheme name="Thema Blikvanger">
      <a:dk1>
        <a:srgbClr val="000000"/>
      </a:dk1>
      <a:lt1>
        <a:srgbClr val="FFFFFF"/>
      </a:lt1>
      <a:dk2>
        <a:srgbClr val="1F497D"/>
      </a:dk2>
      <a:lt2>
        <a:srgbClr val="EEECE1"/>
      </a:lt2>
      <a:accent1>
        <a:srgbClr val="7BBBBC"/>
      </a:accent1>
      <a:accent2>
        <a:srgbClr val="E4AB72"/>
      </a:accent2>
      <a:accent3>
        <a:srgbClr val="81A9CE"/>
      </a:accent3>
      <a:accent4>
        <a:srgbClr val="C46A82"/>
      </a:accent4>
      <a:accent5>
        <a:srgbClr val="A78CBD"/>
      </a:accent5>
      <a:accent6>
        <a:srgbClr val="F6DC9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likvanger2">
    <a:dk1>
      <a:srgbClr val="000000"/>
    </a:dk1>
    <a:lt1>
      <a:srgbClr val="FFFFFF"/>
    </a:lt1>
    <a:dk2>
      <a:srgbClr val="1F497D"/>
    </a:dk2>
    <a:lt2>
      <a:srgbClr val="EEECE1"/>
    </a:lt2>
    <a:accent1>
      <a:srgbClr val="7BBBBC"/>
    </a:accent1>
    <a:accent2>
      <a:srgbClr val="E4AB72"/>
    </a:accent2>
    <a:accent3>
      <a:srgbClr val="81A9CE"/>
    </a:accent3>
    <a:accent4>
      <a:srgbClr val="C46A82"/>
    </a:accent4>
    <a:accent5>
      <a:srgbClr val="A78CBD"/>
    </a:accent5>
    <a:accent6>
      <a:srgbClr val="F6DC9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likvanger2">
    <a:dk1>
      <a:srgbClr val="000000"/>
    </a:dk1>
    <a:lt1>
      <a:srgbClr val="FFFFFF"/>
    </a:lt1>
    <a:dk2>
      <a:srgbClr val="1F497D"/>
    </a:dk2>
    <a:lt2>
      <a:srgbClr val="EEECE1"/>
    </a:lt2>
    <a:accent1>
      <a:srgbClr val="7BBBBC"/>
    </a:accent1>
    <a:accent2>
      <a:srgbClr val="E4AB72"/>
    </a:accent2>
    <a:accent3>
      <a:srgbClr val="81A9CE"/>
    </a:accent3>
    <a:accent4>
      <a:srgbClr val="C46A82"/>
    </a:accent4>
    <a:accent5>
      <a:srgbClr val="A78CBD"/>
    </a:accent5>
    <a:accent6>
      <a:srgbClr val="F6DC9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likvanger2">
    <a:dk1>
      <a:srgbClr val="000000"/>
    </a:dk1>
    <a:lt1>
      <a:srgbClr val="FFFFFF"/>
    </a:lt1>
    <a:dk2>
      <a:srgbClr val="1F497D"/>
    </a:dk2>
    <a:lt2>
      <a:srgbClr val="EEECE1"/>
    </a:lt2>
    <a:accent1>
      <a:srgbClr val="7BBBBC"/>
    </a:accent1>
    <a:accent2>
      <a:srgbClr val="E4AB72"/>
    </a:accent2>
    <a:accent3>
      <a:srgbClr val="81A9CE"/>
    </a:accent3>
    <a:accent4>
      <a:srgbClr val="C46A82"/>
    </a:accent4>
    <a:accent5>
      <a:srgbClr val="A78CBD"/>
    </a:accent5>
    <a:accent6>
      <a:srgbClr val="F6DC9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likvanger2">
    <a:dk1>
      <a:srgbClr val="000000"/>
    </a:dk1>
    <a:lt1>
      <a:srgbClr val="FFFFFF"/>
    </a:lt1>
    <a:dk2>
      <a:srgbClr val="1F497D"/>
    </a:dk2>
    <a:lt2>
      <a:srgbClr val="EEECE1"/>
    </a:lt2>
    <a:accent1>
      <a:srgbClr val="7BBBBC"/>
    </a:accent1>
    <a:accent2>
      <a:srgbClr val="E4AB72"/>
    </a:accent2>
    <a:accent3>
      <a:srgbClr val="81A9CE"/>
    </a:accent3>
    <a:accent4>
      <a:srgbClr val="C46A82"/>
    </a:accent4>
    <a:accent5>
      <a:srgbClr val="A78CBD"/>
    </a:accent5>
    <a:accent6>
      <a:srgbClr val="F6DC9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likvanger2">
    <a:dk1>
      <a:srgbClr val="000000"/>
    </a:dk1>
    <a:lt1>
      <a:srgbClr val="FFFFFF"/>
    </a:lt1>
    <a:dk2>
      <a:srgbClr val="1F497D"/>
    </a:dk2>
    <a:lt2>
      <a:srgbClr val="EEECE1"/>
    </a:lt2>
    <a:accent1>
      <a:srgbClr val="7BBBBC"/>
    </a:accent1>
    <a:accent2>
      <a:srgbClr val="E4AB72"/>
    </a:accent2>
    <a:accent3>
      <a:srgbClr val="81A9CE"/>
    </a:accent3>
    <a:accent4>
      <a:srgbClr val="C46A82"/>
    </a:accent4>
    <a:accent5>
      <a:srgbClr val="A78CBD"/>
    </a:accent5>
    <a:accent6>
      <a:srgbClr val="F6DC9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5CE13-5D30-45F4-9BCE-32C7F7878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562</Words>
  <Characters>3096</Characters>
  <Application>Microsoft Office Word</Application>
  <DocSecurity>4</DocSecurity>
  <Lines>25</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Henriques (SPF Santé Publique - FOD Volksgezondheid)</dc:creator>
  <cp:keywords/>
  <dc:description/>
  <cp:lastModifiedBy>Ine Alaerts (SPF Santé Publique - FOD Volksgezondheid)</cp:lastModifiedBy>
  <cp:revision>2</cp:revision>
  <dcterms:created xsi:type="dcterms:W3CDTF">2022-12-02T10:55:00Z</dcterms:created>
  <dcterms:modified xsi:type="dcterms:W3CDTF">2022-12-02T10:55:00Z</dcterms:modified>
  <cp:category/>
</cp:coreProperties>
</file>