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B8D9" w14:textId="22DD7388" w:rsidR="002A0C10" w:rsidRDefault="00BE6F5F" w:rsidP="004B286E">
      <w:pPr>
        <w:pStyle w:val="ti-art"/>
        <w:shd w:val="clear" w:color="auto" w:fill="FFFFFF"/>
        <w:spacing w:before="120" w:beforeAutospacing="0" w:after="120" w:afterAutospacing="0" w:line="312" w:lineRule="atLeast"/>
        <w:jc w:val="center"/>
      </w:pPr>
      <w:r>
        <w:rPr>
          <w:rFonts w:asciiTheme="majorHAnsi" w:hAnsiTheme="majorHAnsi"/>
          <w:b/>
          <w:color w:val="333333"/>
          <w:sz w:val="27"/>
          <w:u w:val="single"/>
        </w:rPr>
        <w:t xml:space="preserve">FAQ: </w:t>
      </w:r>
      <w:r w:rsidR="007F1D4E">
        <w:rPr>
          <w:rFonts w:asciiTheme="majorHAnsi" w:hAnsiTheme="majorHAnsi"/>
          <w:b/>
          <w:color w:val="333333"/>
          <w:sz w:val="27"/>
          <w:u w:val="single"/>
        </w:rPr>
        <w:t>w</w:t>
      </w:r>
      <w:r>
        <w:rPr>
          <w:rFonts w:asciiTheme="majorHAnsi" w:hAnsiTheme="majorHAnsi"/>
          <w:b/>
          <w:color w:val="333333"/>
          <w:sz w:val="27"/>
          <w:u w:val="single"/>
        </w:rPr>
        <w:t>elke regels gelden inzake staat</w:t>
      </w:r>
      <w:r w:rsidR="00201306">
        <w:rPr>
          <w:rFonts w:asciiTheme="majorHAnsi" w:hAnsiTheme="majorHAnsi"/>
          <w:b/>
          <w:color w:val="333333"/>
          <w:sz w:val="27"/>
          <w:u w:val="single"/>
        </w:rPr>
        <w:t>s</w:t>
      </w:r>
      <w:r>
        <w:rPr>
          <w:rFonts w:asciiTheme="majorHAnsi" w:hAnsiTheme="majorHAnsi"/>
          <w:b/>
          <w:color w:val="333333"/>
          <w:sz w:val="27"/>
          <w:u w:val="single"/>
        </w:rPr>
        <w:t>steun</w:t>
      </w:r>
      <w:r w:rsidR="00291A2F">
        <w:rPr>
          <w:rFonts w:asciiTheme="majorHAnsi" w:hAnsiTheme="majorHAnsi"/>
          <w:b/>
          <w:color w:val="333333"/>
          <w:sz w:val="27"/>
          <w:u w:val="single"/>
        </w:rPr>
        <w:t>?</w:t>
      </w:r>
    </w:p>
    <w:p w14:paraId="56D06223" w14:textId="77777777" w:rsidR="004B286E" w:rsidRDefault="004B286E" w:rsidP="00142810">
      <w:pPr>
        <w:pStyle w:val="ti-art"/>
        <w:shd w:val="clear" w:color="auto" w:fill="FFFFFF"/>
        <w:spacing w:before="120" w:beforeAutospacing="0" w:after="120" w:afterAutospacing="0" w:line="312" w:lineRule="atLeast"/>
        <w:jc w:val="both"/>
      </w:pPr>
    </w:p>
    <w:p w14:paraId="761A20F4" w14:textId="4063FC3C" w:rsidR="00142810" w:rsidRPr="00142810" w:rsidRDefault="00C5475A" w:rsidP="00142810">
      <w:pPr>
        <w:pStyle w:val="ti-art"/>
        <w:shd w:val="clear" w:color="auto" w:fill="FFFFFF"/>
        <w:spacing w:before="120" w:beforeAutospacing="0" w:after="120" w:afterAutospacing="0" w:line="312" w:lineRule="atLeast"/>
        <w:jc w:val="both"/>
        <w:rPr>
          <w:color w:val="0000FF"/>
          <w:u w:val="single"/>
        </w:rPr>
      </w:pPr>
      <w:r>
        <w:t>De regels inzake staatssteun zijn ingegeven door het recht van de Europese Unie, waarnaar men zich moet schikken. De Europese Commissie heeft bepaalde categorieën steun verenigbaar verklaard met de interne markt in haar Verordening nr. 651/2014 van 17 juni 2014 (</w:t>
      </w:r>
      <w:hyperlink r:id="rId10" w:history="1">
        <w:r>
          <w:rPr>
            <w:rStyle w:val="Lienhypertexte"/>
          </w:rPr>
          <w:t>EUR-Lex - 32014R0651 - EN - EUR-Lex (europa.eu)</w:t>
        </w:r>
      </w:hyperlink>
      <w:r>
        <w:rPr>
          <w:rStyle w:val="Lienhypertexte"/>
        </w:rPr>
        <w:t xml:space="preserve"> hierna AGVV - Algemene Groepsvrijstellingsverordening)</w:t>
      </w:r>
    </w:p>
    <w:p w14:paraId="39ADE7F3" w14:textId="0686D970" w:rsidR="00142810" w:rsidRDefault="00F02558" w:rsidP="00C001AA">
      <w:pPr>
        <w:pStyle w:val="ti-art"/>
        <w:shd w:val="clear" w:color="auto" w:fill="FFFFFF"/>
        <w:spacing w:before="120" w:beforeAutospacing="0" w:after="120" w:afterAutospacing="0" w:line="312" w:lineRule="atLeast"/>
        <w:jc w:val="both"/>
        <w:rPr>
          <w:color w:val="333333"/>
        </w:rPr>
      </w:pPr>
      <w:r>
        <w:rPr>
          <w:color w:val="333333"/>
        </w:rPr>
        <w:t xml:space="preserve">Deze FAQ wijst op een aantal zaken die van toepassing kunnen zijn voor uw project maar treedt niet in de plaats van de toepasselijke rechtsbepalingen.  </w:t>
      </w:r>
    </w:p>
    <w:p w14:paraId="3FB6429C" w14:textId="7E505189" w:rsidR="00C001AA" w:rsidRDefault="00C001AA" w:rsidP="00C001AA">
      <w:pPr>
        <w:pStyle w:val="ti-art"/>
        <w:shd w:val="clear" w:color="auto" w:fill="FFFFFF"/>
        <w:spacing w:before="120" w:beforeAutospacing="0" w:after="120" w:afterAutospacing="0" w:line="312" w:lineRule="atLeast"/>
        <w:jc w:val="both"/>
        <w:rPr>
          <w:color w:val="333333"/>
        </w:rPr>
      </w:pPr>
      <w:r>
        <w:rPr>
          <w:color w:val="333333"/>
        </w:rPr>
        <w:t xml:space="preserve">Om te voldoen aan de regels inzake staatssteun moet uw project een steun kunnen rechtvaardigen die vrijgesteld is van de aanmeldingsverplichting (artikel 3 van de AGVV). Dit betekent dat het dient te gaan om: </w:t>
      </w:r>
    </w:p>
    <w:p w14:paraId="05F1D88A" w14:textId="28EB52E6" w:rsidR="00C001AA" w:rsidRPr="001A17D6" w:rsidRDefault="00A17ECD" w:rsidP="00C001AA">
      <w:pPr>
        <w:pStyle w:val="ti-art"/>
        <w:numPr>
          <w:ilvl w:val="0"/>
          <w:numId w:val="1"/>
        </w:numPr>
        <w:shd w:val="clear" w:color="auto" w:fill="FFFFFF"/>
        <w:spacing w:before="120" w:beforeAutospacing="0" w:after="120" w:afterAutospacing="0" w:line="312" w:lineRule="atLeast"/>
        <w:jc w:val="both"/>
        <w:rPr>
          <w:b/>
          <w:bCs/>
          <w:color w:val="333333"/>
        </w:rPr>
      </w:pPr>
      <w:r>
        <w:rPr>
          <w:b/>
          <w:color w:val="333333"/>
        </w:rPr>
        <w:t>steun voor onderzoeks- en ontwikkelingsprojecten, in de zin van artikel 25;</w:t>
      </w:r>
    </w:p>
    <w:p w14:paraId="646663FA" w14:textId="1F5647D7" w:rsidR="00C001AA" w:rsidRPr="001A17D6" w:rsidRDefault="00A17ECD" w:rsidP="00C001AA">
      <w:pPr>
        <w:pStyle w:val="ti-art"/>
        <w:numPr>
          <w:ilvl w:val="0"/>
          <w:numId w:val="1"/>
        </w:numPr>
        <w:shd w:val="clear" w:color="auto" w:fill="FFFFFF"/>
        <w:spacing w:before="120" w:beforeAutospacing="0" w:after="120" w:afterAutospacing="0" w:line="312" w:lineRule="atLeast"/>
        <w:jc w:val="both"/>
        <w:rPr>
          <w:b/>
          <w:bCs/>
          <w:color w:val="333333"/>
        </w:rPr>
      </w:pPr>
      <w:r>
        <w:rPr>
          <w:b/>
          <w:color w:val="333333"/>
        </w:rPr>
        <w:t>innovatiesteun voor kmo's, in de zin van artikel 28;</w:t>
      </w:r>
    </w:p>
    <w:p w14:paraId="37F89A8E" w14:textId="4D2D3DC9" w:rsidR="00C001AA" w:rsidRPr="001A17D6" w:rsidRDefault="00A17ECD" w:rsidP="00C001AA">
      <w:pPr>
        <w:pStyle w:val="ti-art"/>
        <w:numPr>
          <w:ilvl w:val="0"/>
          <w:numId w:val="1"/>
        </w:numPr>
        <w:shd w:val="clear" w:color="auto" w:fill="FFFFFF"/>
        <w:spacing w:before="120" w:beforeAutospacing="0" w:after="120" w:afterAutospacing="0" w:line="312" w:lineRule="atLeast"/>
        <w:jc w:val="both"/>
        <w:rPr>
          <w:b/>
          <w:bCs/>
          <w:color w:val="333333"/>
        </w:rPr>
      </w:pPr>
      <w:r>
        <w:rPr>
          <w:b/>
          <w:color w:val="333333"/>
        </w:rPr>
        <w:t>steun voor proces- en organisatie-innovatie, in de zin van artikel 29.</w:t>
      </w:r>
    </w:p>
    <w:p w14:paraId="77AACF62" w14:textId="4962E0F5" w:rsidR="00A17ECD" w:rsidRDefault="00A17ECD" w:rsidP="00A17ECD">
      <w:pPr>
        <w:pStyle w:val="ti-art"/>
        <w:shd w:val="clear" w:color="auto" w:fill="FFFFFF"/>
        <w:spacing w:before="120" w:beforeAutospacing="0" w:after="120" w:afterAutospacing="0" w:line="312" w:lineRule="atLeast"/>
        <w:jc w:val="both"/>
        <w:rPr>
          <w:color w:val="333333"/>
        </w:rPr>
      </w:pPr>
      <w:r>
        <w:rPr>
          <w:color w:val="333333"/>
        </w:rPr>
        <w:t>De betrokken bepalingen voorzien in te vervullen voorwaarden</w:t>
      </w:r>
      <w:r w:rsidR="00EC2C56" w:rsidRPr="00EC2C56">
        <w:rPr>
          <w:color w:val="333333"/>
        </w:rPr>
        <w:t xml:space="preserve"> </w:t>
      </w:r>
      <w:r w:rsidR="00EC2C56">
        <w:rPr>
          <w:color w:val="333333"/>
        </w:rPr>
        <w:t>waaronder de steun vrijgesteld is van de aanmeldingsverplichting</w:t>
      </w:r>
      <w:r w:rsidR="00DE3DA1">
        <w:rPr>
          <w:color w:val="333333"/>
        </w:rPr>
        <w:t>; de voorwaarden betreffen</w:t>
      </w:r>
      <w:r>
        <w:rPr>
          <w:color w:val="333333"/>
        </w:rPr>
        <w:t xml:space="preserve"> onder meer </w:t>
      </w:r>
      <w:r w:rsidR="00DE3DA1">
        <w:rPr>
          <w:color w:val="333333"/>
        </w:rPr>
        <w:t>d</w:t>
      </w:r>
      <w:r>
        <w:rPr>
          <w:color w:val="333333"/>
        </w:rPr>
        <w:t>e in aanmerking komende kosten en de intensiteitsdrempels,.</w:t>
      </w:r>
    </w:p>
    <w:p w14:paraId="342E0448" w14:textId="77777777" w:rsidR="001C7B98" w:rsidRPr="00C001AA" w:rsidRDefault="001C7B98" w:rsidP="00A17ECD">
      <w:pPr>
        <w:pStyle w:val="ti-art"/>
        <w:shd w:val="clear" w:color="auto" w:fill="FFFFFF"/>
        <w:spacing w:before="120" w:beforeAutospacing="0" w:after="120" w:afterAutospacing="0" w:line="312" w:lineRule="atLeast"/>
        <w:jc w:val="both"/>
        <w:rPr>
          <w:color w:val="333333"/>
        </w:rPr>
      </w:pPr>
    </w:p>
    <w:p w14:paraId="18A8889B" w14:textId="04F9CC59" w:rsidR="00A17ECD" w:rsidRPr="002A0C10" w:rsidRDefault="00A17ECD" w:rsidP="00BF6C69">
      <w:pPr>
        <w:pStyle w:val="ti-art"/>
        <w:numPr>
          <w:ilvl w:val="0"/>
          <w:numId w:val="5"/>
        </w:numPr>
        <w:shd w:val="clear" w:color="auto" w:fill="FFFFFF"/>
        <w:spacing w:before="120" w:beforeAutospacing="0" w:after="120" w:afterAutospacing="0" w:line="312" w:lineRule="atLeast"/>
        <w:jc w:val="both"/>
        <w:rPr>
          <w:rFonts w:asciiTheme="majorHAnsi" w:hAnsiTheme="majorHAnsi"/>
          <w:b/>
          <w:bCs/>
          <w:color w:val="333333"/>
          <w:sz w:val="27"/>
          <w:szCs w:val="27"/>
          <w:u w:val="single"/>
        </w:rPr>
      </w:pPr>
      <w:r>
        <w:rPr>
          <w:rFonts w:asciiTheme="majorHAnsi" w:hAnsiTheme="majorHAnsi"/>
          <w:b/>
          <w:color w:val="333333"/>
          <w:sz w:val="27"/>
          <w:u w:val="single"/>
        </w:rPr>
        <w:t>Komen alle kosten in aanmerking?</w:t>
      </w:r>
    </w:p>
    <w:p w14:paraId="1E2D747E" w14:textId="2CCE8B99" w:rsidR="00BE6F5F" w:rsidRDefault="00A17ECD" w:rsidP="00BE6F5F">
      <w:pPr>
        <w:pStyle w:val="ti-art"/>
        <w:shd w:val="clear" w:color="auto" w:fill="FFFFFF"/>
        <w:spacing w:before="120" w:beforeAutospacing="0" w:after="120" w:afterAutospacing="0" w:line="0" w:lineRule="atLeast"/>
        <w:jc w:val="both"/>
        <w:rPr>
          <w:color w:val="333333"/>
        </w:rPr>
      </w:pPr>
      <w:r>
        <w:rPr>
          <w:b/>
          <w:color w:val="333333"/>
        </w:rPr>
        <w:t>Neen.</w:t>
      </w:r>
      <w:r>
        <w:rPr>
          <w:color w:val="333333"/>
        </w:rPr>
        <w:t xml:space="preserve"> Slechts bepaalde kosten komen in aanmerking. </w:t>
      </w:r>
    </w:p>
    <w:p w14:paraId="3D3FEF81" w14:textId="51A4EEB9" w:rsidR="005210F6" w:rsidRPr="005210F6" w:rsidRDefault="002A0C10" w:rsidP="00BF6C69">
      <w:pPr>
        <w:pStyle w:val="ti-art"/>
        <w:numPr>
          <w:ilvl w:val="0"/>
          <w:numId w:val="2"/>
        </w:numPr>
        <w:shd w:val="clear" w:color="auto" w:fill="FFFFFF"/>
        <w:spacing w:before="120" w:beforeAutospacing="0" w:after="120" w:afterAutospacing="0" w:line="0" w:lineRule="atLeast"/>
        <w:ind w:left="1068"/>
        <w:jc w:val="both"/>
        <w:rPr>
          <w:color w:val="333333"/>
        </w:rPr>
      </w:pPr>
      <w:r>
        <w:rPr>
          <w:b/>
          <w:bCs/>
          <w:color w:val="333333"/>
        </w:rPr>
        <w:t>Onderzoek en ontwikkeling, artikel 25:</w:t>
      </w:r>
      <w:r>
        <w:rPr>
          <w:color w:val="333333"/>
        </w:rPr>
        <w:t xml:space="preserve"> de volgende kosten komen in aanmerking: </w:t>
      </w:r>
    </w:p>
    <w:p w14:paraId="58D40599" w14:textId="77777777" w:rsidR="005210F6" w:rsidRPr="005210F6" w:rsidRDefault="005210F6" w:rsidP="00BF6C69">
      <w:pPr>
        <w:pStyle w:val="ti-art"/>
        <w:shd w:val="clear" w:color="auto" w:fill="FFFFFF"/>
        <w:spacing w:before="0" w:beforeAutospacing="0" w:after="0" w:afterAutospacing="0" w:line="0" w:lineRule="atLeast"/>
        <w:ind w:left="348"/>
        <w:jc w:val="both"/>
        <w:rPr>
          <w:color w:val="333333"/>
        </w:rPr>
      </w:pPr>
      <w:r>
        <w:rPr>
          <w:color w:val="333333"/>
        </w:rPr>
        <w:tab/>
        <w:t xml:space="preserve">o personeelskosten; </w:t>
      </w:r>
    </w:p>
    <w:p w14:paraId="58E7A156" w14:textId="6A54E948" w:rsidR="005210F6" w:rsidRPr="005210F6" w:rsidRDefault="005210F6" w:rsidP="00BF6C69">
      <w:pPr>
        <w:pStyle w:val="ti-art"/>
        <w:shd w:val="clear" w:color="auto" w:fill="FFFFFF"/>
        <w:spacing w:before="0" w:beforeAutospacing="0" w:after="0" w:afterAutospacing="0" w:line="0" w:lineRule="atLeast"/>
        <w:ind w:left="348"/>
        <w:jc w:val="both"/>
        <w:rPr>
          <w:color w:val="333333"/>
        </w:rPr>
      </w:pPr>
      <w:r>
        <w:rPr>
          <w:color w:val="333333"/>
        </w:rPr>
        <w:tab/>
        <w:t xml:space="preserve">o kosten van apparatuur en uitrusting; </w:t>
      </w:r>
    </w:p>
    <w:p w14:paraId="3B8367AB" w14:textId="56865A61" w:rsidR="005210F6" w:rsidRDefault="005210F6" w:rsidP="00BF6C69">
      <w:pPr>
        <w:pStyle w:val="ti-art"/>
        <w:shd w:val="clear" w:color="auto" w:fill="FFFFFF"/>
        <w:spacing w:before="0" w:beforeAutospacing="0" w:after="0" w:afterAutospacing="0" w:line="0" w:lineRule="atLeast"/>
        <w:ind w:left="348"/>
        <w:jc w:val="both"/>
        <w:rPr>
          <w:color w:val="333333"/>
        </w:rPr>
      </w:pPr>
      <w:r>
        <w:rPr>
          <w:color w:val="333333"/>
        </w:rPr>
        <w:tab/>
        <w:t xml:space="preserve">o kosten van gebouwen en gronden; </w:t>
      </w:r>
    </w:p>
    <w:p w14:paraId="27197876" w14:textId="78B009F3" w:rsidR="005210F6" w:rsidRDefault="005210F6" w:rsidP="00BF6C69">
      <w:pPr>
        <w:pStyle w:val="ti-art"/>
        <w:shd w:val="clear" w:color="auto" w:fill="FFFFFF"/>
        <w:spacing w:before="0" w:beforeAutospacing="0" w:after="0" w:afterAutospacing="0" w:line="0" w:lineRule="atLeast"/>
        <w:ind w:left="348" w:firstLine="708"/>
        <w:jc w:val="both"/>
        <w:rPr>
          <w:color w:val="333333"/>
        </w:rPr>
      </w:pPr>
      <w:r>
        <w:rPr>
          <w:color w:val="333333"/>
        </w:rPr>
        <w:t>o bijkomende algemene kosten en andere operationele uitgaven.</w:t>
      </w:r>
    </w:p>
    <w:p w14:paraId="3421F0FC" w14:textId="7C55165B" w:rsidR="002A0C10" w:rsidRDefault="002A0C10" w:rsidP="00BF6C69">
      <w:pPr>
        <w:pStyle w:val="ti-art"/>
        <w:numPr>
          <w:ilvl w:val="0"/>
          <w:numId w:val="2"/>
        </w:numPr>
        <w:shd w:val="clear" w:color="auto" w:fill="FFFFFF"/>
        <w:spacing w:before="120" w:beforeAutospacing="0" w:after="120" w:afterAutospacing="0" w:line="0" w:lineRule="atLeast"/>
        <w:ind w:left="1068"/>
        <w:jc w:val="both"/>
        <w:rPr>
          <w:color w:val="333333"/>
        </w:rPr>
      </w:pPr>
      <w:r>
        <w:rPr>
          <w:b/>
          <w:bCs/>
          <w:color w:val="333333"/>
        </w:rPr>
        <w:t>Innovatie kmo’s, artikel 28:</w:t>
      </w:r>
      <w:r>
        <w:t xml:space="preserve"> </w:t>
      </w:r>
      <w:r w:rsidR="005D0E96">
        <w:t>d</w:t>
      </w:r>
      <w:r>
        <w:rPr>
          <w:color w:val="333333"/>
        </w:rPr>
        <w:t xml:space="preserve">e in aanmerking komende kosten houden verband met de octrooien, met het hooggekwalificeerd personeel en met de adviesdiensten en diensten inzake ondersteuning. </w:t>
      </w:r>
    </w:p>
    <w:p w14:paraId="7A3FA183" w14:textId="5605937B" w:rsidR="002A0C10" w:rsidRDefault="002A0C10" w:rsidP="00BF6C69">
      <w:pPr>
        <w:pStyle w:val="ti-art"/>
        <w:numPr>
          <w:ilvl w:val="0"/>
          <w:numId w:val="2"/>
        </w:numPr>
        <w:shd w:val="clear" w:color="auto" w:fill="FFFFFF"/>
        <w:spacing w:before="0" w:beforeAutospacing="0" w:after="0" w:afterAutospacing="0" w:line="0" w:lineRule="atLeast"/>
        <w:ind w:left="1068"/>
        <w:jc w:val="both"/>
        <w:rPr>
          <w:color w:val="333333"/>
        </w:rPr>
      </w:pPr>
      <w:r>
        <w:rPr>
          <w:b/>
          <w:color w:val="333333"/>
        </w:rPr>
        <w:t>Proces- en organisatie-innovatie, artikel 29:</w:t>
      </w:r>
      <w:r>
        <w:t xml:space="preserve"> </w:t>
      </w:r>
      <w:r w:rsidR="00215CC0">
        <w:t>d</w:t>
      </w:r>
      <w:r>
        <w:rPr>
          <w:color w:val="333333"/>
        </w:rPr>
        <w:t xml:space="preserve">e in aanmerking komende kosten houden verband met: </w:t>
      </w:r>
    </w:p>
    <w:p w14:paraId="2EF7C8B3" w14:textId="77777777" w:rsidR="00215CC0" w:rsidRPr="002A0C10" w:rsidRDefault="00215CC0" w:rsidP="00BF6C69">
      <w:pPr>
        <w:pStyle w:val="ti-art"/>
        <w:shd w:val="clear" w:color="auto" w:fill="FFFFFF"/>
        <w:spacing w:before="0" w:beforeAutospacing="0" w:after="0" w:afterAutospacing="0" w:line="0" w:lineRule="atLeast"/>
        <w:ind w:left="1068"/>
        <w:jc w:val="both"/>
        <w:rPr>
          <w:color w:val="333333"/>
        </w:rPr>
      </w:pPr>
    </w:p>
    <w:p w14:paraId="76240F81" w14:textId="77777777" w:rsidR="002A0C10" w:rsidRPr="002A0C10" w:rsidRDefault="002A0C10" w:rsidP="00BF6C69">
      <w:pPr>
        <w:pStyle w:val="ti-art"/>
        <w:shd w:val="clear" w:color="auto" w:fill="FFFFFF"/>
        <w:spacing w:before="0" w:beforeAutospacing="0" w:after="0" w:afterAutospacing="0" w:line="0" w:lineRule="atLeast"/>
        <w:ind w:left="348"/>
        <w:jc w:val="both"/>
        <w:rPr>
          <w:color w:val="333333"/>
        </w:rPr>
      </w:pPr>
      <w:r>
        <w:rPr>
          <w:color w:val="333333"/>
        </w:rPr>
        <w:tab/>
        <w:t xml:space="preserve">o personeelskosten; </w:t>
      </w:r>
    </w:p>
    <w:p w14:paraId="6073BDE0" w14:textId="0020CD28" w:rsidR="002A0C10" w:rsidRPr="002A0C10" w:rsidRDefault="002A0C10" w:rsidP="00BF6C69">
      <w:pPr>
        <w:pStyle w:val="ti-art"/>
        <w:shd w:val="clear" w:color="auto" w:fill="FFFFFF"/>
        <w:spacing w:before="0" w:beforeAutospacing="0" w:after="0" w:afterAutospacing="0" w:line="0" w:lineRule="atLeast"/>
        <w:ind w:left="348"/>
        <w:jc w:val="both"/>
        <w:rPr>
          <w:color w:val="333333"/>
        </w:rPr>
      </w:pPr>
      <w:r>
        <w:rPr>
          <w:color w:val="333333"/>
        </w:rPr>
        <w:tab/>
        <w:t>o kosten voor apparatuur, uitrusting</w:t>
      </w:r>
      <w:r w:rsidR="008877E2">
        <w:rPr>
          <w:color w:val="333333"/>
        </w:rPr>
        <w:t>en onroerende goederen</w:t>
      </w:r>
      <w:r>
        <w:rPr>
          <w:color w:val="333333"/>
        </w:rPr>
        <w:t xml:space="preserve">; </w:t>
      </w:r>
    </w:p>
    <w:p w14:paraId="53481783" w14:textId="77777777" w:rsidR="002A0C10" w:rsidRPr="002A0C10" w:rsidRDefault="002A0C10" w:rsidP="00BF6C69">
      <w:pPr>
        <w:pStyle w:val="ti-art"/>
        <w:shd w:val="clear" w:color="auto" w:fill="FFFFFF"/>
        <w:spacing w:before="0" w:beforeAutospacing="0" w:after="0" w:afterAutospacing="0" w:line="0" w:lineRule="atLeast"/>
        <w:ind w:left="348"/>
        <w:jc w:val="both"/>
        <w:rPr>
          <w:color w:val="333333"/>
        </w:rPr>
      </w:pPr>
      <w:r>
        <w:rPr>
          <w:color w:val="333333"/>
        </w:rPr>
        <w:tab/>
        <w:t xml:space="preserve">o onderzoekskosten; </w:t>
      </w:r>
    </w:p>
    <w:p w14:paraId="66CB8495" w14:textId="0FCAB39E" w:rsidR="005210F6" w:rsidRPr="002A0C10" w:rsidRDefault="002A0C10" w:rsidP="00BF6C69">
      <w:pPr>
        <w:pStyle w:val="ti-art"/>
        <w:shd w:val="clear" w:color="auto" w:fill="FFFFFF"/>
        <w:spacing w:before="0" w:beforeAutospacing="0" w:after="0" w:afterAutospacing="0" w:line="0" w:lineRule="atLeast"/>
        <w:ind w:left="348"/>
        <w:jc w:val="both"/>
        <w:rPr>
          <w:color w:val="333333"/>
        </w:rPr>
      </w:pPr>
      <w:r>
        <w:rPr>
          <w:color w:val="333333"/>
        </w:rPr>
        <w:tab/>
        <w:t xml:space="preserve">o bijkomende algemene kosten en andere exploitatiekosten. </w:t>
      </w:r>
      <w:r>
        <w:rPr>
          <w:b/>
          <w:color w:val="333333"/>
        </w:rPr>
        <w:tab/>
      </w:r>
    </w:p>
    <w:p w14:paraId="62484659" w14:textId="77777777" w:rsidR="00215CC0" w:rsidRDefault="00215CC0" w:rsidP="00C001AA">
      <w:pPr>
        <w:pStyle w:val="ti-art"/>
        <w:shd w:val="clear" w:color="auto" w:fill="FFFFFF"/>
        <w:spacing w:before="120" w:beforeAutospacing="0" w:after="120" w:afterAutospacing="0" w:line="312" w:lineRule="atLeast"/>
        <w:jc w:val="both"/>
        <w:rPr>
          <w:rFonts w:asciiTheme="majorHAnsi" w:hAnsiTheme="majorHAnsi"/>
          <w:b/>
          <w:color w:val="333333"/>
          <w:sz w:val="27"/>
          <w:u w:val="single"/>
        </w:rPr>
      </w:pPr>
    </w:p>
    <w:p w14:paraId="5E3EA1E8" w14:textId="72DB4DE5" w:rsidR="00D365AA" w:rsidRPr="002A0C10" w:rsidRDefault="00A17ECD" w:rsidP="00BF6C69">
      <w:pPr>
        <w:pStyle w:val="ti-art"/>
        <w:numPr>
          <w:ilvl w:val="0"/>
          <w:numId w:val="5"/>
        </w:numPr>
        <w:shd w:val="clear" w:color="auto" w:fill="FFFFFF"/>
        <w:spacing w:before="120" w:beforeAutospacing="0" w:after="120" w:afterAutospacing="0" w:line="312" w:lineRule="atLeast"/>
        <w:jc w:val="both"/>
        <w:rPr>
          <w:rFonts w:asciiTheme="majorHAnsi" w:hAnsiTheme="majorHAnsi"/>
          <w:b/>
          <w:bCs/>
          <w:color w:val="333333"/>
          <w:sz w:val="27"/>
          <w:szCs w:val="27"/>
          <w:u w:val="single"/>
        </w:rPr>
      </w:pPr>
      <w:r>
        <w:rPr>
          <w:rFonts w:asciiTheme="majorHAnsi" w:hAnsiTheme="majorHAnsi"/>
          <w:b/>
          <w:color w:val="333333"/>
          <w:sz w:val="27"/>
          <w:u w:val="single"/>
        </w:rPr>
        <w:t>Moet er een drempel in acht worden genomen?</w:t>
      </w:r>
    </w:p>
    <w:p w14:paraId="251A9D50" w14:textId="3559B0B9" w:rsidR="005210F6" w:rsidRDefault="00A17ECD" w:rsidP="002A0C10">
      <w:pPr>
        <w:pStyle w:val="ti-art"/>
        <w:shd w:val="clear" w:color="auto" w:fill="FFFFFF"/>
        <w:spacing w:before="120" w:beforeAutospacing="0" w:after="120" w:afterAutospacing="0" w:line="0" w:lineRule="atLeast"/>
        <w:jc w:val="both"/>
        <w:rPr>
          <w:color w:val="333333"/>
        </w:rPr>
      </w:pPr>
      <w:r>
        <w:rPr>
          <w:b/>
          <w:color w:val="333333"/>
        </w:rPr>
        <w:lastRenderedPageBreak/>
        <w:t>Ja.</w:t>
      </w:r>
      <w:r>
        <w:rPr>
          <w:color w:val="333333"/>
        </w:rPr>
        <w:t xml:space="preserve"> De steun die in het kader van deze call wordt toegekend, mag niet ov</w:t>
      </w:r>
      <w:r w:rsidR="0031570D">
        <w:rPr>
          <w:color w:val="333333"/>
        </w:rPr>
        <w:t>e</w:t>
      </w:r>
      <w:r>
        <w:rPr>
          <w:color w:val="333333"/>
        </w:rPr>
        <w:t>reenstemmen met de totale kosten van het project. Combinatie van deze steun met niet-overheidsfinanciering is bijgevolg noodzak</w:t>
      </w:r>
      <w:r w:rsidR="0031570D">
        <w:rPr>
          <w:color w:val="333333"/>
        </w:rPr>
        <w:t>e</w:t>
      </w:r>
      <w:r>
        <w:rPr>
          <w:color w:val="333333"/>
        </w:rPr>
        <w:t xml:space="preserve">lijk. De relevante artikelen vermelde de drempels die in acht moeten worden genomen. </w:t>
      </w:r>
      <w:r>
        <w:t>Deze drempels worden berekend op basis van het</w:t>
      </w:r>
      <w:r>
        <w:rPr>
          <w:color w:val="333333"/>
        </w:rPr>
        <w:t xml:space="preserve"> totale bedrag aan steun ten behoeve van de betrokken activiteit, het betrokken project of de betrokken onderneming (artikel 8 van de AGVV); </w:t>
      </w:r>
      <w:r>
        <w:rPr>
          <w:color w:val="333333"/>
          <w:u w:val="single"/>
        </w:rPr>
        <w:t xml:space="preserve">daarom wordt u verzocht om de in het verleden mogelijks ontvangen lokale, regionale of federale overheidssteun aan te geven in </w:t>
      </w:r>
      <w:hyperlink r:id="rId11" w:history="1">
        <w:r>
          <w:rPr>
            <w:rStyle w:val="Lienhypertexte"/>
          </w:rPr>
          <w:t>het formulier</w:t>
        </w:r>
      </w:hyperlink>
      <w:r>
        <w:rPr>
          <w:color w:val="333333"/>
          <w:u w:val="single"/>
        </w:rPr>
        <w:t>.</w:t>
      </w:r>
    </w:p>
    <w:p w14:paraId="223E02BE" w14:textId="139703DB" w:rsidR="002A0C10" w:rsidRDefault="00C5475A" w:rsidP="00C5475A">
      <w:pPr>
        <w:pStyle w:val="ti-art"/>
        <w:numPr>
          <w:ilvl w:val="0"/>
          <w:numId w:val="3"/>
        </w:numPr>
        <w:shd w:val="clear" w:color="auto" w:fill="FFFFFF"/>
        <w:spacing w:before="120" w:beforeAutospacing="0" w:after="120" w:afterAutospacing="0" w:line="0" w:lineRule="atLeast"/>
        <w:jc w:val="both"/>
        <w:rPr>
          <w:color w:val="333333"/>
        </w:rPr>
      </w:pPr>
      <w:r>
        <w:rPr>
          <w:b/>
          <w:bCs/>
          <w:color w:val="333333"/>
        </w:rPr>
        <w:t>Artikel 25 van de AGVV betreffende onderzoeks- en ontwikkelingsprojecten</w:t>
      </w:r>
      <w:r>
        <w:rPr>
          <w:color w:val="333333"/>
        </w:rPr>
        <w:t xml:space="preserve"> voorziet in verschillende steunintensiteiten voor fundamenteel onderzoek (100%), voor industrieel onderzoek (50%), voor experimentele ontwikkeling (25%) en voor haalbaarheidsstudies (50%). Deze bedragen kunnen worden verhoogd voor kleine ondernemingen of voor projecten van daadwerkelijke samenwerking (artikel 25, 6.) en voor middelgrote ondernemingen of kleine ondernemingen (artikel 25, 7.).</w:t>
      </w:r>
    </w:p>
    <w:p w14:paraId="40AD730E" w14:textId="6A5C4892" w:rsidR="002A0C10" w:rsidRPr="002A0C10" w:rsidRDefault="00C5475A" w:rsidP="00C5475A">
      <w:pPr>
        <w:pStyle w:val="ti-art"/>
        <w:numPr>
          <w:ilvl w:val="0"/>
          <w:numId w:val="3"/>
        </w:numPr>
        <w:shd w:val="clear" w:color="auto" w:fill="FFFFFF"/>
        <w:spacing w:before="120" w:beforeAutospacing="0" w:after="120" w:afterAutospacing="0" w:line="0" w:lineRule="atLeast"/>
        <w:jc w:val="both"/>
        <w:rPr>
          <w:color w:val="333333"/>
        </w:rPr>
      </w:pPr>
      <w:r>
        <w:rPr>
          <w:b/>
          <w:color w:val="333333"/>
        </w:rPr>
        <w:t xml:space="preserve">Artikel 28 van de AGVV betreffende innovatiesteun voor kmo’s </w:t>
      </w:r>
      <w:r>
        <w:rPr>
          <w:color w:val="333333"/>
        </w:rPr>
        <w:t>voorziet in een steunintensiteit van hoofdzakelijk 50%.</w:t>
      </w:r>
    </w:p>
    <w:p w14:paraId="09870B09" w14:textId="201FF5DB" w:rsidR="002517D0" w:rsidRPr="00865530" w:rsidRDefault="00C5475A" w:rsidP="0099417C">
      <w:pPr>
        <w:pStyle w:val="ti-art"/>
        <w:numPr>
          <w:ilvl w:val="0"/>
          <w:numId w:val="3"/>
        </w:numPr>
        <w:shd w:val="clear" w:color="auto" w:fill="FFFFFF"/>
        <w:spacing w:before="120" w:beforeAutospacing="0" w:after="120" w:afterAutospacing="0" w:line="0" w:lineRule="atLeast"/>
        <w:jc w:val="both"/>
        <w:rPr>
          <w:rFonts w:asciiTheme="majorHAnsi" w:hAnsiTheme="majorHAnsi"/>
          <w:b/>
          <w:bCs/>
          <w:color w:val="333333"/>
          <w:sz w:val="27"/>
          <w:szCs w:val="27"/>
          <w:lang w:val="fr-FR"/>
        </w:rPr>
      </w:pPr>
      <w:r w:rsidRPr="00865530">
        <w:rPr>
          <w:b/>
          <w:color w:val="333333"/>
        </w:rPr>
        <w:t>Artikel 29 van de AGVV betreffende steun voor proces- en organisatie-innovatie</w:t>
      </w:r>
      <w:r w:rsidRPr="00865530">
        <w:rPr>
          <w:color w:val="333333"/>
        </w:rPr>
        <w:t>, hoofdzakelijk voor kmo’s of voor grote onder</w:t>
      </w:r>
      <w:r w:rsidR="00977EAC" w:rsidRPr="00865530">
        <w:rPr>
          <w:color w:val="333333"/>
        </w:rPr>
        <w:t>ne</w:t>
      </w:r>
      <w:r w:rsidRPr="00865530">
        <w:rPr>
          <w:color w:val="333333"/>
        </w:rPr>
        <w:t>mingen die samenwerken met kmo’s, voorziet in een steunintensiteit van 15% voor de grote ondernemingen en van 50% voor de kmo's.</w:t>
      </w:r>
    </w:p>
    <w:p w14:paraId="5B8FC051" w14:textId="77777777" w:rsidR="00856A6B" w:rsidRPr="00856A6B" w:rsidRDefault="00856A6B" w:rsidP="00856A6B">
      <w:pPr>
        <w:pStyle w:val="ti-art"/>
        <w:shd w:val="clear" w:color="auto" w:fill="FFFFFF"/>
        <w:spacing w:before="120" w:after="120" w:line="0" w:lineRule="atLeast"/>
        <w:jc w:val="both"/>
        <w:rPr>
          <w:color w:val="333333"/>
        </w:rPr>
      </w:pPr>
      <w:r w:rsidRPr="00856A6B">
        <w:rPr>
          <w:color w:val="333333"/>
        </w:rPr>
        <w:t xml:space="preserve">De maximale financieringspercentages zijn de percentages voor staatssteun en vormen geen garantie voor de bedragen die uiteindelijk aan de aanvragers ter beschikking zullen worden gesteld.  Deze bedragen zullen na het onderzoek van de projecten door de jury worden toegekend naar gelang van het beschikbare budget en de aard van de projecten. </w:t>
      </w:r>
    </w:p>
    <w:p w14:paraId="5ECB8E1C" w14:textId="34D1B7CC" w:rsidR="00856A6B" w:rsidRDefault="00856A6B" w:rsidP="00856A6B">
      <w:pPr>
        <w:pStyle w:val="ti-art"/>
        <w:shd w:val="clear" w:color="auto" w:fill="FFFFFF"/>
        <w:spacing w:before="120" w:after="120" w:line="0" w:lineRule="atLeast"/>
        <w:jc w:val="both"/>
        <w:rPr>
          <w:color w:val="333333"/>
        </w:rPr>
      </w:pPr>
      <w:r w:rsidRPr="00856A6B">
        <w:rPr>
          <w:color w:val="333333"/>
        </w:rPr>
        <w:t>Voorts valt de organisatie van de aanvragers, in geval van een consortium of een ander samenwerkingsmechanisme, onder de verantwoordelijkheid van de aanvragers.  Het onderzoek van de projecten geschiedt overeenkomstig de Europese regelgeving.</w:t>
      </w:r>
    </w:p>
    <w:p w14:paraId="594AD910" w14:textId="43460A54" w:rsidR="00865530" w:rsidRPr="007920FA" w:rsidRDefault="00865530" w:rsidP="00865530">
      <w:pPr>
        <w:pStyle w:val="ti-art"/>
        <w:shd w:val="clear" w:color="auto" w:fill="FFFFFF"/>
        <w:spacing w:before="120" w:beforeAutospacing="0" w:after="120" w:afterAutospacing="0" w:line="0" w:lineRule="atLeast"/>
        <w:jc w:val="both"/>
        <w:rPr>
          <w:color w:val="333333"/>
        </w:rPr>
      </w:pPr>
    </w:p>
    <w:p w14:paraId="6FBA2029" w14:textId="1B86F892" w:rsidR="002517D0" w:rsidRPr="002517D0" w:rsidRDefault="002517D0" w:rsidP="002517D0">
      <w:pPr>
        <w:pStyle w:val="ti-art"/>
        <w:numPr>
          <w:ilvl w:val="0"/>
          <w:numId w:val="5"/>
        </w:numPr>
        <w:shd w:val="clear" w:color="auto" w:fill="FFFFFF"/>
        <w:spacing w:before="120" w:beforeAutospacing="0" w:after="120" w:afterAutospacing="0" w:line="312" w:lineRule="atLeast"/>
        <w:jc w:val="both"/>
        <w:rPr>
          <w:rFonts w:asciiTheme="majorHAnsi" w:hAnsiTheme="majorHAnsi"/>
          <w:b/>
          <w:color w:val="333333"/>
          <w:sz w:val="27"/>
          <w:u w:val="single"/>
        </w:rPr>
      </w:pPr>
      <w:r w:rsidRPr="002517D0">
        <w:rPr>
          <w:rFonts w:asciiTheme="majorHAnsi" w:hAnsiTheme="majorHAnsi"/>
          <w:b/>
          <w:color w:val="333333"/>
          <w:sz w:val="27"/>
          <w:u w:val="single"/>
        </w:rPr>
        <w:t xml:space="preserve">Is </w:t>
      </w:r>
      <w:proofErr w:type="spellStart"/>
      <w:r w:rsidRPr="002517D0">
        <w:rPr>
          <w:rFonts w:asciiTheme="majorHAnsi" w:hAnsiTheme="majorHAnsi"/>
          <w:b/>
          <w:color w:val="333333"/>
          <w:sz w:val="27"/>
          <w:u w:val="single"/>
        </w:rPr>
        <w:t>onderaanneming</w:t>
      </w:r>
      <w:proofErr w:type="spellEnd"/>
      <w:r w:rsidRPr="002517D0">
        <w:rPr>
          <w:rFonts w:asciiTheme="majorHAnsi" w:hAnsiTheme="majorHAnsi"/>
          <w:b/>
          <w:color w:val="333333"/>
          <w:sz w:val="27"/>
          <w:u w:val="single"/>
        </w:rPr>
        <w:t xml:space="preserve"> toegestaan?</w:t>
      </w:r>
    </w:p>
    <w:p w14:paraId="4B4BE192" w14:textId="77777777" w:rsidR="002517D0" w:rsidRPr="002517D0" w:rsidRDefault="002517D0" w:rsidP="002517D0">
      <w:pPr>
        <w:pStyle w:val="ti-art"/>
        <w:shd w:val="clear" w:color="auto" w:fill="FFFFFF"/>
        <w:spacing w:before="120" w:after="120" w:line="312" w:lineRule="atLeast"/>
        <w:jc w:val="both"/>
        <w:rPr>
          <w:color w:val="333333"/>
        </w:rPr>
      </w:pPr>
      <w:r w:rsidRPr="002517D0">
        <w:rPr>
          <w:color w:val="333333"/>
        </w:rPr>
        <w:t xml:space="preserve">JA. </w:t>
      </w:r>
      <w:proofErr w:type="spellStart"/>
      <w:r w:rsidRPr="002517D0">
        <w:rPr>
          <w:color w:val="333333"/>
        </w:rPr>
        <w:t>Onderaanneming</w:t>
      </w:r>
      <w:proofErr w:type="spellEnd"/>
      <w:r w:rsidRPr="002517D0">
        <w:rPr>
          <w:color w:val="333333"/>
        </w:rPr>
        <w:t xml:space="preserve"> is toegestaan in het kader van deze oproep tot projecten op voorwaarde dat de onderaannemer voldoet aan de selectiecriteria die worden vermeld in artikel 7 van het memorandum. </w:t>
      </w:r>
      <w:proofErr w:type="spellStart"/>
      <w:r w:rsidRPr="002517D0">
        <w:rPr>
          <w:color w:val="333333"/>
        </w:rPr>
        <w:t>Onderaanneming</w:t>
      </w:r>
      <w:proofErr w:type="spellEnd"/>
      <w:r w:rsidRPr="002517D0">
        <w:rPr>
          <w:color w:val="333333"/>
        </w:rPr>
        <w:t xml:space="preserve"> moet in de kandidatuur worden vermeld of expliciet door de FOD worden aanvaard. De FOD beschikt evenwel niet over het model van samenwerkingsakkoord dat aan de kandidaten moet worden meegedeeld.  De contractuele organisatie van de kandidaten valt onder hun verantwoordelijkheid.</w:t>
      </w:r>
    </w:p>
    <w:p w14:paraId="20D6A763" w14:textId="1CBE63E5" w:rsidR="002517D0" w:rsidRPr="002517D0" w:rsidRDefault="002517D0" w:rsidP="002517D0">
      <w:pPr>
        <w:pStyle w:val="ti-art"/>
        <w:numPr>
          <w:ilvl w:val="0"/>
          <w:numId w:val="3"/>
        </w:numPr>
        <w:shd w:val="clear" w:color="auto" w:fill="FFFFFF"/>
        <w:spacing w:before="120" w:after="120" w:line="312" w:lineRule="atLeast"/>
        <w:jc w:val="both"/>
        <w:rPr>
          <w:rFonts w:asciiTheme="majorHAnsi" w:hAnsiTheme="majorHAnsi"/>
          <w:b/>
          <w:bCs/>
          <w:color w:val="333333"/>
          <w:sz w:val="27"/>
          <w:szCs w:val="27"/>
        </w:rPr>
      </w:pPr>
      <w:r w:rsidRPr="002517D0">
        <w:rPr>
          <w:rFonts w:asciiTheme="majorHAnsi" w:hAnsiTheme="majorHAnsi"/>
          <w:b/>
          <w:bCs/>
          <w:color w:val="333333"/>
          <w:sz w:val="27"/>
          <w:szCs w:val="27"/>
        </w:rPr>
        <w:t>Is de FOD van plan om de intellectuele eigendomsrechten op de projecten te verwerven?</w:t>
      </w:r>
    </w:p>
    <w:p w14:paraId="67EC2654" w14:textId="77777777" w:rsidR="002517D0" w:rsidRPr="002517D0" w:rsidRDefault="002517D0" w:rsidP="002517D0">
      <w:pPr>
        <w:pStyle w:val="ti-art"/>
        <w:shd w:val="clear" w:color="auto" w:fill="FFFFFF"/>
        <w:spacing w:before="120" w:after="120" w:line="312" w:lineRule="atLeast"/>
        <w:jc w:val="both"/>
        <w:rPr>
          <w:color w:val="333333"/>
        </w:rPr>
      </w:pPr>
      <w:r w:rsidRPr="002517D0">
        <w:rPr>
          <w:color w:val="333333"/>
        </w:rPr>
        <w:t xml:space="preserve">NEEN. De FOD is niet van plan om de intellectuele eigendomsrechten op de gesubsidieerde projecten te verwerven. Het deel intellectuele rechten en industriële eigendom zal door de kandidaten worden beheerd. </w:t>
      </w:r>
    </w:p>
    <w:p w14:paraId="08B72976" w14:textId="604D1EC3" w:rsidR="002517D0" w:rsidRPr="002517D0" w:rsidRDefault="002517D0" w:rsidP="002517D0">
      <w:pPr>
        <w:pStyle w:val="ti-art"/>
        <w:numPr>
          <w:ilvl w:val="0"/>
          <w:numId w:val="3"/>
        </w:numPr>
        <w:shd w:val="clear" w:color="auto" w:fill="FFFFFF"/>
        <w:spacing w:before="120" w:after="120" w:line="312" w:lineRule="atLeast"/>
        <w:jc w:val="both"/>
        <w:rPr>
          <w:rFonts w:asciiTheme="majorHAnsi" w:hAnsiTheme="majorHAnsi"/>
          <w:b/>
          <w:bCs/>
          <w:color w:val="333333"/>
          <w:sz w:val="27"/>
          <w:szCs w:val="27"/>
        </w:rPr>
      </w:pPr>
      <w:r w:rsidRPr="002517D0">
        <w:rPr>
          <w:rFonts w:asciiTheme="majorHAnsi" w:hAnsiTheme="majorHAnsi"/>
          <w:b/>
          <w:bCs/>
          <w:color w:val="333333"/>
          <w:sz w:val="27"/>
          <w:szCs w:val="27"/>
        </w:rPr>
        <w:lastRenderedPageBreak/>
        <w:t>Is het financieringspercentage vast?</w:t>
      </w:r>
    </w:p>
    <w:p w14:paraId="201CE8A2" w14:textId="77777777" w:rsidR="002517D0" w:rsidRPr="002517D0" w:rsidRDefault="002517D0" w:rsidP="002517D0">
      <w:pPr>
        <w:pStyle w:val="ti-art"/>
        <w:shd w:val="clear" w:color="auto" w:fill="FFFFFF"/>
        <w:spacing w:before="120" w:after="120" w:line="312" w:lineRule="atLeast"/>
        <w:jc w:val="both"/>
        <w:rPr>
          <w:color w:val="333333"/>
        </w:rPr>
      </w:pPr>
      <w:r w:rsidRPr="002517D0">
        <w:rPr>
          <w:color w:val="333333"/>
        </w:rPr>
        <w:t>NEEN. Het toegekende financieringspercentage varieert op basis van het type project en het type structuur van de kandidaat. Zoals vermeld in het memorandum, zal de financiële steun gebeuren in de vorm van subsidies voor een minimumbedrag van 250.000 euro en een maximumbedrag van 1.000.000 euro.</w:t>
      </w:r>
    </w:p>
    <w:p w14:paraId="10155BA8" w14:textId="77777777" w:rsidR="002517D0" w:rsidRPr="002517D0" w:rsidRDefault="002517D0" w:rsidP="002517D0">
      <w:pPr>
        <w:pStyle w:val="ti-art"/>
        <w:shd w:val="clear" w:color="auto" w:fill="FFFFFF"/>
        <w:spacing w:before="120" w:after="120" w:line="312" w:lineRule="atLeast"/>
        <w:jc w:val="both"/>
        <w:rPr>
          <w:rFonts w:asciiTheme="majorHAnsi" w:hAnsiTheme="majorHAnsi"/>
          <w:b/>
          <w:bCs/>
          <w:color w:val="333333"/>
          <w:sz w:val="27"/>
          <w:szCs w:val="27"/>
        </w:rPr>
      </w:pPr>
    </w:p>
    <w:p w14:paraId="1E69F67A" w14:textId="69377407" w:rsidR="002517D0" w:rsidRPr="002517D0" w:rsidRDefault="002517D0" w:rsidP="002517D0">
      <w:pPr>
        <w:pStyle w:val="ti-art"/>
        <w:numPr>
          <w:ilvl w:val="0"/>
          <w:numId w:val="3"/>
        </w:numPr>
        <w:shd w:val="clear" w:color="auto" w:fill="FFFFFF"/>
        <w:spacing w:before="120" w:after="120" w:line="312" w:lineRule="atLeast"/>
        <w:jc w:val="both"/>
        <w:rPr>
          <w:rFonts w:asciiTheme="majorHAnsi" w:hAnsiTheme="majorHAnsi"/>
          <w:b/>
          <w:bCs/>
          <w:color w:val="333333"/>
          <w:sz w:val="27"/>
          <w:szCs w:val="27"/>
        </w:rPr>
      </w:pPr>
      <w:r w:rsidRPr="002517D0">
        <w:rPr>
          <w:rFonts w:asciiTheme="majorHAnsi" w:hAnsiTheme="majorHAnsi"/>
          <w:b/>
          <w:bCs/>
          <w:color w:val="333333"/>
          <w:sz w:val="27"/>
          <w:szCs w:val="27"/>
        </w:rPr>
        <w:t>Is de indiening van een subsidieaanvraag door een groepering toegestaan?</w:t>
      </w:r>
    </w:p>
    <w:p w14:paraId="38670BC7" w14:textId="63C59431" w:rsidR="002517D0" w:rsidRPr="002517D0" w:rsidRDefault="002517D0" w:rsidP="002517D0">
      <w:pPr>
        <w:pStyle w:val="ti-art"/>
        <w:shd w:val="clear" w:color="auto" w:fill="FFFFFF"/>
        <w:spacing w:before="120" w:after="120" w:line="312" w:lineRule="atLeast"/>
        <w:jc w:val="both"/>
        <w:rPr>
          <w:color w:val="333333"/>
        </w:rPr>
      </w:pPr>
      <w:r w:rsidRPr="002517D0">
        <w:rPr>
          <w:color w:val="333333"/>
        </w:rPr>
        <w:t xml:space="preserve">JA.  De oprichting van een groepering en de interne organisatie ervan vallen echter onder de verantwoordelijkheid van de kandidaten en de FOD kan hierover geen advies geven zonder het principe van gelijkheid tussen de kandidaten te schenden. Indien een aanvraag wordt ingediend door een groepering, wordt de subsidie toegekend aan de hele groepering en niet aan elk </w:t>
      </w:r>
      <w:r w:rsidR="00492031" w:rsidRPr="002517D0">
        <w:rPr>
          <w:color w:val="333333"/>
        </w:rPr>
        <w:t>partner lid</w:t>
      </w:r>
      <w:r w:rsidRPr="002517D0">
        <w:rPr>
          <w:color w:val="333333"/>
        </w:rPr>
        <w:t xml:space="preserve"> van de groepering. </w:t>
      </w:r>
    </w:p>
    <w:p w14:paraId="5DDC6325" w14:textId="500C4710" w:rsidR="002517D0" w:rsidRPr="002517D0" w:rsidRDefault="002517D0" w:rsidP="002517D0">
      <w:pPr>
        <w:pStyle w:val="ti-art"/>
        <w:numPr>
          <w:ilvl w:val="0"/>
          <w:numId w:val="3"/>
        </w:numPr>
        <w:shd w:val="clear" w:color="auto" w:fill="FFFFFF"/>
        <w:spacing w:before="120" w:after="120" w:line="312" w:lineRule="atLeast"/>
        <w:jc w:val="both"/>
        <w:rPr>
          <w:rFonts w:asciiTheme="majorHAnsi" w:hAnsiTheme="majorHAnsi"/>
          <w:b/>
          <w:bCs/>
          <w:color w:val="333333"/>
          <w:sz w:val="27"/>
          <w:szCs w:val="27"/>
        </w:rPr>
      </w:pPr>
      <w:r w:rsidRPr="002517D0">
        <w:rPr>
          <w:rFonts w:asciiTheme="majorHAnsi" w:hAnsiTheme="majorHAnsi"/>
          <w:b/>
          <w:bCs/>
          <w:color w:val="333333"/>
          <w:sz w:val="27"/>
          <w:szCs w:val="27"/>
        </w:rPr>
        <w:t xml:space="preserve">Zijn de regels betreffende de </w:t>
      </w:r>
      <w:proofErr w:type="spellStart"/>
      <w:r w:rsidRPr="002517D0">
        <w:rPr>
          <w:rFonts w:asciiTheme="majorHAnsi" w:hAnsiTheme="majorHAnsi"/>
          <w:b/>
          <w:bCs/>
          <w:color w:val="333333"/>
          <w:sz w:val="27"/>
          <w:szCs w:val="27"/>
        </w:rPr>
        <w:t>minimis</w:t>
      </w:r>
      <w:proofErr w:type="spellEnd"/>
      <w:r w:rsidRPr="002517D0">
        <w:rPr>
          <w:rFonts w:asciiTheme="majorHAnsi" w:hAnsiTheme="majorHAnsi"/>
          <w:b/>
          <w:bCs/>
          <w:color w:val="333333"/>
          <w:sz w:val="27"/>
          <w:szCs w:val="27"/>
        </w:rPr>
        <w:t>-steun van toepassing?</w:t>
      </w:r>
    </w:p>
    <w:p w14:paraId="73D8DA4D" w14:textId="77777777" w:rsidR="002517D0" w:rsidRPr="002517D0" w:rsidRDefault="002517D0" w:rsidP="002517D0">
      <w:pPr>
        <w:pStyle w:val="ti-art"/>
        <w:shd w:val="clear" w:color="auto" w:fill="FFFFFF"/>
        <w:spacing w:before="120" w:after="120" w:line="312" w:lineRule="atLeast"/>
        <w:jc w:val="both"/>
        <w:rPr>
          <w:color w:val="333333"/>
        </w:rPr>
      </w:pPr>
      <w:r w:rsidRPr="002517D0">
        <w:rPr>
          <w:color w:val="333333"/>
        </w:rPr>
        <w:t xml:space="preserve">NEEN. De regels betreffende de </w:t>
      </w:r>
      <w:proofErr w:type="spellStart"/>
      <w:r w:rsidRPr="002517D0">
        <w:rPr>
          <w:color w:val="333333"/>
        </w:rPr>
        <w:t>minimis</w:t>
      </w:r>
      <w:proofErr w:type="spellEnd"/>
      <w:r w:rsidRPr="002517D0">
        <w:rPr>
          <w:color w:val="333333"/>
        </w:rPr>
        <w:t>-steun zijn in het kader van deze procedure niet van toepassing. Zoals vermeld in het memorandum, zal de financiële steun gebeuren in de vorm van subsidies voor een minimumbedrag van 250.000 euro en een maximumbedrag van 1.000.000 euro op basis van het type project.</w:t>
      </w:r>
    </w:p>
    <w:p w14:paraId="4CB75032" w14:textId="046F2E3E" w:rsidR="002517D0" w:rsidRPr="002517D0" w:rsidRDefault="002517D0" w:rsidP="002517D0">
      <w:pPr>
        <w:pStyle w:val="ti-art"/>
        <w:numPr>
          <w:ilvl w:val="0"/>
          <w:numId w:val="3"/>
        </w:numPr>
        <w:shd w:val="clear" w:color="auto" w:fill="FFFFFF"/>
        <w:spacing w:before="120" w:after="120" w:line="312" w:lineRule="atLeast"/>
        <w:jc w:val="both"/>
        <w:rPr>
          <w:rFonts w:asciiTheme="majorHAnsi" w:hAnsiTheme="majorHAnsi"/>
          <w:b/>
          <w:bCs/>
          <w:color w:val="333333"/>
          <w:sz w:val="27"/>
          <w:szCs w:val="27"/>
        </w:rPr>
      </w:pPr>
      <w:r w:rsidRPr="002517D0">
        <w:rPr>
          <w:rFonts w:asciiTheme="majorHAnsi" w:hAnsiTheme="majorHAnsi"/>
          <w:b/>
          <w:bCs/>
          <w:color w:val="333333"/>
          <w:sz w:val="27"/>
          <w:szCs w:val="27"/>
        </w:rPr>
        <w:t>Komen de onderzoekscentra voor subsidiëring in aanmerking?</w:t>
      </w:r>
    </w:p>
    <w:p w14:paraId="41E661FF" w14:textId="77777777" w:rsidR="0094213E" w:rsidRDefault="002517D0" w:rsidP="0094213E">
      <w:pPr>
        <w:pStyle w:val="ti-art"/>
        <w:shd w:val="clear" w:color="auto" w:fill="FFFFFF"/>
        <w:spacing w:before="120" w:after="120" w:line="312" w:lineRule="atLeast"/>
        <w:jc w:val="both"/>
        <w:rPr>
          <w:color w:val="333333"/>
        </w:rPr>
      </w:pPr>
      <w:r w:rsidRPr="002517D0">
        <w:rPr>
          <w:color w:val="333333"/>
        </w:rPr>
        <w:t xml:space="preserve">JA. Onderzoekscentra kunnen in aanmerking komen indien het voorgestelde project voldoet aan de selectievoorwaarden zoals vermeld in punt 7 van het memorandum. Het toegekende financieringspercentage varieert op basis van het type project en het type structuur. </w:t>
      </w:r>
    </w:p>
    <w:p w14:paraId="65C40716" w14:textId="429B8EBE" w:rsidR="001970EE" w:rsidRPr="003A0954" w:rsidRDefault="001970EE" w:rsidP="001970EE">
      <w:pPr>
        <w:pStyle w:val="ti-art"/>
        <w:numPr>
          <w:ilvl w:val="0"/>
          <w:numId w:val="3"/>
        </w:numPr>
        <w:shd w:val="clear" w:color="auto" w:fill="FFFFFF"/>
        <w:spacing w:before="120" w:after="120" w:line="312" w:lineRule="atLeast"/>
        <w:jc w:val="both"/>
        <w:rPr>
          <w:rFonts w:asciiTheme="majorHAnsi" w:hAnsiTheme="majorHAnsi"/>
          <w:b/>
          <w:bCs/>
          <w:color w:val="333333"/>
          <w:sz w:val="27"/>
          <w:szCs w:val="27"/>
        </w:rPr>
      </w:pPr>
      <w:r w:rsidRPr="003A0954">
        <w:rPr>
          <w:rFonts w:asciiTheme="majorHAnsi" w:hAnsiTheme="majorHAnsi"/>
          <w:b/>
          <w:bCs/>
          <w:color w:val="333333"/>
          <w:sz w:val="27"/>
          <w:szCs w:val="27"/>
        </w:rPr>
        <w:t xml:space="preserve">Hoe worden </w:t>
      </w:r>
      <w:proofErr w:type="spellStart"/>
      <w:r w:rsidRPr="003A0954">
        <w:rPr>
          <w:rFonts w:asciiTheme="majorHAnsi" w:hAnsiTheme="majorHAnsi"/>
          <w:b/>
          <w:bCs/>
          <w:color w:val="333333"/>
          <w:sz w:val="27"/>
          <w:szCs w:val="27"/>
        </w:rPr>
        <w:t>VZW’s</w:t>
      </w:r>
      <w:proofErr w:type="spellEnd"/>
      <w:r w:rsidRPr="003A0954">
        <w:rPr>
          <w:rFonts w:asciiTheme="majorHAnsi" w:hAnsiTheme="majorHAnsi"/>
          <w:b/>
          <w:bCs/>
          <w:color w:val="333333"/>
          <w:sz w:val="27"/>
          <w:szCs w:val="27"/>
        </w:rPr>
        <w:t xml:space="preserve"> in aanmerking genomen in deze oproep? </w:t>
      </w:r>
    </w:p>
    <w:p w14:paraId="2C50BD7F" w14:textId="77777777" w:rsidR="001970EE" w:rsidRPr="001970EE" w:rsidRDefault="001970EE" w:rsidP="001970EE">
      <w:pPr>
        <w:pStyle w:val="ti-art"/>
        <w:shd w:val="clear" w:color="auto" w:fill="FFFFFF"/>
        <w:spacing w:before="120" w:after="120" w:line="312" w:lineRule="atLeast"/>
        <w:jc w:val="both"/>
        <w:rPr>
          <w:color w:val="333333"/>
        </w:rPr>
      </w:pPr>
      <w:r w:rsidRPr="001970EE">
        <w:rPr>
          <w:color w:val="333333"/>
        </w:rPr>
        <w:t>Elke onderneming die wordt gedefinieerd als een entiteit die een "economische activiteit" verricht, valt onder de wetgeving, die wordt gedefinieerd als "elke activiteit bestaande in het aanbieden van goederen of diensten op een markt".  Deze zeer ruime definitie bestrijkt alle activiteiten van het aanbieden van goederen of diensten op een markt, ongeacht de rechtsvorm van de entiteit (vennootschap, eenvoudige feitelijke vereniging of VZW), de wijze van financiering (openbaar, particulier of gemengd) of het feit dat zij zowel economische als niet-economische activiteiten verricht. In dit laatste geval zal de wetgeving inzake staatssteun alleen van toepassing zijn op het "economische" deel van de activiteiten van de onderneming, op basis van een analytische boekhouding die een strikte scheiding van de twee soorten activiteiten garandeert.</w:t>
      </w:r>
    </w:p>
    <w:p w14:paraId="26A2AE0A" w14:textId="77777777" w:rsidR="002D34E0" w:rsidRDefault="002D34E0" w:rsidP="00BE6F5F">
      <w:pPr>
        <w:pStyle w:val="ti-art"/>
        <w:shd w:val="clear" w:color="auto" w:fill="FFFFFF"/>
        <w:spacing w:before="120" w:beforeAutospacing="0" w:after="120" w:afterAutospacing="0" w:line="312" w:lineRule="atLeast"/>
        <w:jc w:val="both"/>
        <w:rPr>
          <w:b/>
          <w:i/>
          <w:color w:val="333333"/>
          <w:sz w:val="27"/>
        </w:rPr>
      </w:pPr>
    </w:p>
    <w:p w14:paraId="299F0835" w14:textId="432968B5" w:rsidR="00BE6F5F" w:rsidRPr="00BE6F5F" w:rsidRDefault="00BE6F5F" w:rsidP="00BE6F5F">
      <w:pPr>
        <w:pStyle w:val="ti-art"/>
        <w:shd w:val="clear" w:color="auto" w:fill="FFFFFF"/>
        <w:spacing w:before="120" w:beforeAutospacing="0" w:after="120" w:afterAutospacing="0" w:line="312" w:lineRule="atLeast"/>
        <w:jc w:val="both"/>
        <w:rPr>
          <w:b/>
          <w:bCs/>
          <w:i/>
          <w:iCs/>
          <w:color w:val="333333"/>
          <w:sz w:val="27"/>
          <w:szCs w:val="27"/>
        </w:rPr>
      </w:pPr>
      <w:r>
        <w:rPr>
          <w:b/>
          <w:i/>
          <w:color w:val="333333"/>
          <w:sz w:val="27"/>
        </w:rPr>
        <w:lastRenderedPageBreak/>
        <w:t>Bijlage: citaten uit de AGVV - Algemene Groepsvrijstellingsverordening, ter informatie</w:t>
      </w:r>
    </w:p>
    <w:p w14:paraId="2947B045" w14:textId="05429825" w:rsidR="00BE6F5F" w:rsidRPr="00201306" w:rsidRDefault="004903BA" w:rsidP="00BE6F5F">
      <w:pPr>
        <w:pStyle w:val="ti-art"/>
        <w:shd w:val="clear" w:color="auto" w:fill="FFFFFF"/>
        <w:spacing w:before="120" w:beforeAutospacing="0" w:after="120" w:afterAutospacing="0" w:line="312" w:lineRule="atLeast"/>
        <w:jc w:val="both"/>
        <w:rPr>
          <w:rFonts w:asciiTheme="majorHAnsi" w:hAnsiTheme="majorHAnsi"/>
          <w:color w:val="333333"/>
          <w:sz w:val="27"/>
          <w:szCs w:val="27"/>
          <w:lang w:val="fr-BE"/>
        </w:rPr>
      </w:pPr>
      <w:hyperlink r:id="rId12" w:history="1">
        <w:r w:rsidR="00BE6F5F" w:rsidRPr="00201306">
          <w:rPr>
            <w:rStyle w:val="Lienhypertexte"/>
            <w:lang w:val="fr-BE"/>
          </w:rPr>
          <w:t>EUR-Lex - 32014R0651 - EN - EUR-Lex (europa.eu)</w:t>
        </w:r>
      </w:hyperlink>
    </w:p>
    <w:p w14:paraId="797F50A9" w14:textId="0DC8B827" w:rsidR="00D365AA" w:rsidRDefault="00D365AA" w:rsidP="00D365AA">
      <w:pPr>
        <w:pStyle w:val="ti-art"/>
        <w:shd w:val="clear" w:color="auto" w:fill="FFFFFF"/>
        <w:spacing w:before="360" w:beforeAutospacing="0" w:after="120" w:afterAutospacing="0" w:line="312" w:lineRule="atLeast"/>
        <w:jc w:val="center"/>
        <w:rPr>
          <w:i/>
          <w:iCs/>
          <w:color w:val="333333"/>
          <w:sz w:val="27"/>
          <w:szCs w:val="27"/>
        </w:rPr>
      </w:pPr>
      <w:r>
        <w:rPr>
          <w:i/>
          <w:color w:val="333333"/>
          <w:sz w:val="27"/>
        </w:rPr>
        <w:t>Artikel 3</w:t>
      </w:r>
    </w:p>
    <w:p w14:paraId="24465750" w14:textId="77777777" w:rsidR="00D365AA" w:rsidRDefault="00D365AA" w:rsidP="00D365AA">
      <w:pPr>
        <w:pStyle w:val="sti-art"/>
        <w:shd w:val="clear" w:color="auto" w:fill="FFFFFF"/>
        <w:spacing w:before="60" w:beforeAutospacing="0" w:after="120" w:afterAutospacing="0" w:line="312" w:lineRule="atLeast"/>
        <w:jc w:val="center"/>
        <w:rPr>
          <w:b/>
          <w:bCs/>
          <w:color w:val="333333"/>
          <w:sz w:val="27"/>
          <w:szCs w:val="27"/>
        </w:rPr>
      </w:pPr>
      <w:r>
        <w:rPr>
          <w:b/>
          <w:color w:val="333333"/>
          <w:sz w:val="27"/>
        </w:rPr>
        <w:t>Vrijstellingsvoorwaarden</w:t>
      </w:r>
    </w:p>
    <w:p w14:paraId="78332340" w14:textId="6FAEBECD" w:rsidR="00D365AA" w:rsidRPr="00D365AA" w:rsidRDefault="00D365AA" w:rsidP="00D365AA">
      <w:pPr>
        <w:pStyle w:val="Normal1"/>
        <w:shd w:val="clear" w:color="auto" w:fill="FFFFFF"/>
        <w:spacing w:before="120" w:beforeAutospacing="0" w:after="0" w:afterAutospacing="0" w:line="312" w:lineRule="atLeast"/>
        <w:jc w:val="both"/>
        <w:rPr>
          <w:color w:val="333333"/>
          <w:sz w:val="27"/>
          <w:szCs w:val="27"/>
        </w:rPr>
      </w:pPr>
      <w:r>
        <w:rPr>
          <w:color w:val="333333"/>
          <w:sz w:val="27"/>
        </w:rPr>
        <w:t>Steunregelingen, individuele steun toegekend in het kader van steunregelingen en ad-</w:t>
      </w:r>
      <w:proofErr w:type="spellStart"/>
      <w:r>
        <w:rPr>
          <w:color w:val="333333"/>
          <w:sz w:val="27"/>
        </w:rPr>
        <w:t>hocsteun</w:t>
      </w:r>
      <w:proofErr w:type="spellEnd"/>
      <w:r>
        <w:rPr>
          <w:color w:val="333333"/>
          <w:sz w:val="27"/>
        </w:rPr>
        <w:t xml:space="preserve"> zijn verenigbaar met de interne markt in de zin van artikel 107, lid 2 of 3, van het Verdrag en zijn vrijgesteld van de aanmeldingsverplichting van artikel 108, lid 3, van het Verdrag mits die steun voldoet aan alle voorwaarden van hoofdstuk I van deze verordening en aan de specifieke voorwaarden die voor de desbetreffende steuncategorie in hoofdstuk III van deze verordening zijn vastgesteld.</w:t>
      </w:r>
    </w:p>
    <w:p w14:paraId="5543219B" w14:textId="73ED7875" w:rsidR="00D365AA" w:rsidRPr="00D365AA" w:rsidRDefault="00D365AA" w:rsidP="00D365AA">
      <w:pPr>
        <w:shd w:val="clear" w:color="auto" w:fill="FFFFFF"/>
        <w:spacing w:before="360" w:after="120" w:line="312" w:lineRule="atLeast"/>
        <w:jc w:val="center"/>
        <w:rPr>
          <w:rFonts w:ascii="Times New Roman" w:eastAsia="Times New Roman" w:hAnsi="Times New Roman" w:cs="Times New Roman"/>
          <w:i/>
          <w:iCs/>
          <w:color w:val="333333"/>
          <w:sz w:val="27"/>
          <w:szCs w:val="27"/>
        </w:rPr>
      </w:pPr>
      <w:r>
        <w:rPr>
          <w:rFonts w:ascii="Times New Roman" w:hAnsi="Times New Roman"/>
          <w:i/>
          <w:color w:val="333333"/>
          <w:sz w:val="27"/>
        </w:rPr>
        <w:t>Artikel 8</w:t>
      </w:r>
    </w:p>
    <w:p w14:paraId="0B6D1E30" w14:textId="77777777" w:rsidR="00D365AA" w:rsidRPr="00D365AA" w:rsidRDefault="00D365AA" w:rsidP="00D365AA">
      <w:pPr>
        <w:shd w:val="clear" w:color="auto" w:fill="FFFFFF"/>
        <w:spacing w:before="60" w:after="120" w:line="312" w:lineRule="atLeast"/>
        <w:jc w:val="center"/>
        <w:rPr>
          <w:rFonts w:ascii="Times New Roman" w:eastAsia="Times New Roman" w:hAnsi="Times New Roman" w:cs="Times New Roman"/>
          <w:b/>
          <w:bCs/>
          <w:color w:val="333333"/>
          <w:sz w:val="27"/>
          <w:szCs w:val="27"/>
        </w:rPr>
      </w:pPr>
      <w:proofErr w:type="spellStart"/>
      <w:r>
        <w:rPr>
          <w:rFonts w:ascii="Times New Roman" w:hAnsi="Times New Roman"/>
          <w:b/>
          <w:color w:val="333333"/>
          <w:sz w:val="27"/>
        </w:rPr>
        <w:t>Cumulering</w:t>
      </w:r>
      <w:proofErr w:type="spellEnd"/>
    </w:p>
    <w:p w14:paraId="742BD9F9" w14:textId="77777777" w:rsidR="00D365AA" w:rsidRPr="00D365AA" w:rsidRDefault="00D365AA" w:rsidP="00D365AA">
      <w:pPr>
        <w:shd w:val="clear" w:color="auto" w:fill="FFFFFF"/>
        <w:spacing w:before="120" w:after="0" w:line="312" w:lineRule="atLeast"/>
        <w:jc w:val="both"/>
        <w:rPr>
          <w:rFonts w:ascii="Times New Roman" w:eastAsia="Times New Roman" w:hAnsi="Times New Roman" w:cs="Times New Roman"/>
          <w:color w:val="333333"/>
          <w:sz w:val="27"/>
          <w:szCs w:val="27"/>
        </w:rPr>
      </w:pPr>
      <w:r>
        <w:rPr>
          <w:rFonts w:ascii="Times New Roman" w:hAnsi="Times New Roman"/>
          <w:color w:val="333333"/>
          <w:sz w:val="27"/>
        </w:rPr>
        <w:t>1.   Om te bepalen of de in artikel 4 voor aanmelding vastgestelde drempels en de maximale steunintensiteiten van hoofdstuk III in acht worden genomen, wordt het totale bedrag aan staatssteun ten behoeve van de gesteunde activiteit of het gesteunde project of de gesteunde onderneming in aanmerking genomen.</w:t>
      </w:r>
    </w:p>
    <w:p w14:paraId="6A22B4CA" w14:textId="77777777" w:rsidR="005E49B6" w:rsidRDefault="005E49B6" w:rsidP="00D365AA">
      <w:pPr>
        <w:shd w:val="clear" w:color="auto" w:fill="FFFFFF"/>
        <w:spacing w:before="120" w:after="0" w:line="312" w:lineRule="atLeast"/>
        <w:jc w:val="both"/>
        <w:rPr>
          <w:rFonts w:ascii="Times New Roman" w:hAnsi="Times New Roman"/>
          <w:color w:val="333333"/>
          <w:sz w:val="27"/>
        </w:rPr>
      </w:pPr>
    </w:p>
    <w:p w14:paraId="51560AAF" w14:textId="1BA6D414" w:rsidR="00D365AA" w:rsidRPr="00D365AA" w:rsidRDefault="00D365AA" w:rsidP="00D365AA">
      <w:pPr>
        <w:shd w:val="clear" w:color="auto" w:fill="FFFFFF"/>
        <w:spacing w:before="120" w:after="0" w:line="312" w:lineRule="atLeast"/>
        <w:jc w:val="both"/>
        <w:rPr>
          <w:rFonts w:ascii="Times New Roman" w:eastAsia="Times New Roman" w:hAnsi="Times New Roman" w:cs="Times New Roman"/>
          <w:color w:val="333333"/>
          <w:sz w:val="27"/>
          <w:szCs w:val="27"/>
        </w:rPr>
      </w:pPr>
      <w:r>
        <w:rPr>
          <w:rFonts w:ascii="Times New Roman" w:hAnsi="Times New Roman"/>
          <w:color w:val="333333"/>
          <w:sz w:val="27"/>
        </w:rPr>
        <w:t>2.   Wanneer centraal door de instellingen, agentschappen, gemeenschappelijke ondernemingen of andere instanties van de Unie beheerde Uniefinanciering die niet direct of indirect onder de controle van de lidstaten staat, wordt gecumuleerd met staatssteun, wordt alleen met deze laatste rekening gehouden om te bepalen of aanmeldingsdrempels en de maximale steunintensiteiten in acht worden genomen, mits het totale bedrag aan overheidsfinanciering dat voor dezelfde in aanmerking komende kosten wordt toegekend, het in de toepasselijke regels van het Unierecht vastgestelde gunstigste financieringspercentage niet overschrijdt.</w:t>
      </w:r>
    </w:p>
    <w:p w14:paraId="269B8CE6" w14:textId="77777777" w:rsidR="005E49B6" w:rsidRDefault="005E49B6" w:rsidP="00D365AA">
      <w:pPr>
        <w:shd w:val="clear" w:color="auto" w:fill="FFFFFF"/>
        <w:spacing w:before="120" w:after="0" w:line="312" w:lineRule="atLeast"/>
        <w:jc w:val="both"/>
        <w:rPr>
          <w:rFonts w:ascii="Times New Roman" w:hAnsi="Times New Roman"/>
          <w:color w:val="333333"/>
          <w:sz w:val="27"/>
        </w:rPr>
      </w:pPr>
    </w:p>
    <w:p w14:paraId="6CE4C4B2" w14:textId="507EAC0F" w:rsidR="00D365AA" w:rsidRPr="00D365AA" w:rsidRDefault="00D365AA" w:rsidP="00D365AA">
      <w:pPr>
        <w:shd w:val="clear" w:color="auto" w:fill="FFFFFF"/>
        <w:spacing w:before="120" w:after="0" w:line="312" w:lineRule="atLeast"/>
        <w:jc w:val="both"/>
        <w:rPr>
          <w:rFonts w:ascii="Times New Roman" w:eastAsia="Times New Roman" w:hAnsi="Times New Roman" w:cs="Times New Roman"/>
          <w:color w:val="333333"/>
          <w:sz w:val="27"/>
          <w:szCs w:val="27"/>
        </w:rPr>
      </w:pPr>
      <w:r>
        <w:rPr>
          <w:rFonts w:ascii="Times New Roman" w:hAnsi="Times New Roman"/>
          <w:color w:val="333333"/>
          <w:sz w:val="27"/>
        </w:rPr>
        <w:t>3.   Krachtens deze verordening vrijgestelde steun met identificeerbare in aanmerking komende kosten mag worden gecumuleerd met:</w:t>
      </w:r>
    </w:p>
    <w:tbl>
      <w:tblPr>
        <w:tblW w:w="5000" w:type="pct"/>
        <w:shd w:val="clear" w:color="auto" w:fill="FFFFFF"/>
        <w:tblCellMar>
          <w:left w:w="0" w:type="dxa"/>
          <w:right w:w="0" w:type="dxa"/>
        </w:tblCellMar>
        <w:tblLook w:val="04A0" w:firstRow="1" w:lastRow="0" w:firstColumn="1" w:lastColumn="0" w:noHBand="0" w:noVBand="1"/>
      </w:tblPr>
      <w:tblGrid>
        <w:gridCol w:w="9020"/>
        <w:gridCol w:w="6"/>
      </w:tblGrid>
      <w:tr w:rsidR="00D365AA" w:rsidRPr="00D365AA" w14:paraId="43933FC7" w14:textId="77777777" w:rsidTr="00D365AA">
        <w:tc>
          <w:tcPr>
            <w:tcW w:w="0" w:type="auto"/>
            <w:shd w:val="clear" w:color="auto" w:fill="FFFFFF"/>
            <w:hideMark/>
          </w:tcPr>
          <w:p w14:paraId="4E5CB35B" w14:textId="77777777" w:rsidR="00D365AA" w:rsidRDefault="00D365AA" w:rsidP="005E49B6">
            <w:pPr>
              <w:spacing w:before="120" w:after="0" w:line="312" w:lineRule="atLeast"/>
              <w:ind w:left="708"/>
              <w:jc w:val="both"/>
              <w:rPr>
                <w:rFonts w:ascii="Times New Roman" w:hAnsi="Times New Roman"/>
                <w:color w:val="333333"/>
                <w:sz w:val="27"/>
              </w:rPr>
            </w:pPr>
            <w:r>
              <w:rPr>
                <w:rFonts w:ascii="Times New Roman" w:hAnsi="Times New Roman"/>
                <w:color w:val="333333"/>
                <w:sz w:val="27"/>
              </w:rPr>
              <w:t>a) andere staatssteun, zolang die maatregelen andere identificeerbare in aanmerking komende kosten betreffen;</w:t>
            </w:r>
          </w:p>
          <w:p w14:paraId="4C2529F4"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 xml:space="preserve">b) andere staatssteun ten behoeve van dezelfde — geheel of gedeeltelijk overlappende — in aanmerking komende kosten mits deze </w:t>
            </w:r>
            <w:proofErr w:type="spellStart"/>
            <w:r w:rsidRPr="00EC596A">
              <w:rPr>
                <w:rFonts w:ascii="Times New Roman" w:eastAsia="Times New Roman" w:hAnsi="Times New Roman" w:cs="Times New Roman"/>
                <w:color w:val="333333"/>
                <w:sz w:val="27"/>
                <w:szCs w:val="27"/>
              </w:rPr>
              <w:t>cumulering</w:t>
            </w:r>
            <w:proofErr w:type="spellEnd"/>
            <w:r w:rsidRPr="00EC596A">
              <w:rPr>
                <w:rFonts w:ascii="Times New Roman" w:eastAsia="Times New Roman" w:hAnsi="Times New Roman" w:cs="Times New Roman"/>
                <w:color w:val="333333"/>
                <w:sz w:val="27"/>
                <w:szCs w:val="27"/>
              </w:rPr>
              <w:t xml:space="preserve"> niet ertoe leidt dat de hoogste steunintensiteit of het hoogste steunbedrag die krachtens deze verordening voor deze steunmaatregel gelden, wordt overschreden.</w:t>
            </w:r>
            <w:r w:rsidRPr="00EC596A">
              <w:rPr>
                <w:rFonts w:ascii="Times New Roman" w:eastAsia="Times New Roman" w:hAnsi="Times New Roman" w:cs="Times New Roman"/>
                <w:color w:val="333333"/>
                <w:sz w:val="27"/>
                <w:szCs w:val="27"/>
              </w:rPr>
              <w:tab/>
            </w:r>
          </w:p>
          <w:p w14:paraId="48C746F0"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p>
          <w:p w14:paraId="1FF9421A" w14:textId="77777777" w:rsidR="00EC596A" w:rsidRPr="00DF7AF8" w:rsidRDefault="00EC596A" w:rsidP="0013241C">
            <w:pPr>
              <w:spacing w:before="120" w:after="0" w:line="312" w:lineRule="atLeast"/>
              <w:jc w:val="center"/>
              <w:rPr>
                <w:rFonts w:ascii="Times New Roman" w:eastAsia="Times New Roman" w:hAnsi="Times New Roman" w:cs="Times New Roman"/>
                <w:i/>
                <w:iCs/>
                <w:color w:val="333333"/>
                <w:sz w:val="27"/>
                <w:szCs w:val="27"/>
              </w:rPr>
            </w:pPr>
            <w:r w:rsidRPr="00DF7AF8">
              <w:rPr>
                <w:rFonts w:ascii="Times New Roman" w:eastAsia="Times New Roman" w:hAnsi="Times New Roman" w:cs="Times New Roman"/>
                <w:i/>
                <w:iCs/>
                <w:color w:val="333333"/>
                <w:sz w:val="27"/>
                <w:szCs w:val="27"/>
              </w:rPr>
              <w:lastRenderedPageBreak/>
              <w:t>Artikel 25</w:t>
            </w:r>
          </w:p>
          <w:p w14:paraId="38699BEA" w14:textId="77777777" w:rsidR="00EC596A" w:rsidRPr="00DF7AF8" w:rsidRDefault="00EC596A" w:rsidP="00DF7AF8">
            <w:pPr>
              <w:spacing w:before="120" w:after="0" w:line="312" w:lineRule="atLeast"/>
              <w:jc w:val="center"/>
              <w:rPr>
                <w:rFonts w:ascii="Times New Roman" w:eastAsia="Times New Roman" w:hAnsi="Times New Roman" w:cs="Times New Roman"/>
                <w:b/>
                <w:bCs/>
                <w:color w:val="333333"/>
                <w:sz w:val="27"/>
                <w:szCs w:val="27"/>
              </w:rPr>
            </w:pPr>
            <w:r w:rsidRPr="00DF7AF8">
              <w:rPr>
                <w:rFonts w:ascii="Times New Roman" w:eastAsia="Times New Roman" w:hAnsi="Times New Roman" w:cs="Times New Roman"/>
                <w:b/>
                <w:bCs/>
                <w:color w:val="333333"/>
                <w:sz w:val="27"/>
                <w:szCs w:val="27"/>
              </w:rPr>
              <w:t>Steun voor onderzoeks- en ontwikkelingsprojecten</w:t>
            </w:r>
          </w:p>
          <w:p w14:paraId="468F29E3"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1.   Steun voor onderzoeks- en ontwikkelingsprojecten is verenigbaar met de interne markt in de zin van artikel 107, lid 3, van het Verdrag en is van de aanmeldingsverplichting van artikel 108, lid 3, van het Verdrag vrijgesteld, mits de in dit artikel en in hoofdstuk I vastgestelde voorwaarden zijn vervuld.</w:t>
            </w:r>
          </w:p>
          <w:p w14:paraId="189C1239" w14:textId="77777777" w:rsidR="005E49B6" w:rsidRDefault="005E49B6" w:rsidP="00EC596A">
            <w:pPr>
              <w:spacing w:before="120" w:after="0" w:line="312" w:lineRule="atLeast"/>
              <w:jc w:val="both"/>
              <w:rPr>
                <w:rFonts w:ascii="Times New Roman" w:eastAsia="Times New Roman" w:hAnsi="Times New Roman" w:cs="Times New Roman"/>
                <w:color w:val="333333"/>
                <w:sz w:val="27"/>
                <w:szCs w:val="27"/>
              </w:rPr>
            </w:pPr>
          </w:p>
          <w:p w14:paraId="7D46C70C" w14:textId="3879180A"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2.   Het gesteunde deel van het onderzoeks- en ontwikkelingsproject valt volledig binnen één of meer van de volgende categorieën:</w:t>
            </w:r>
          </w:p>
          <w:p w14:paraId="1F4F128B"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 fundamenteel onderzoek;</w:t>
            </w:r>
            <w:r w:rsidRPr="00EC596A">
              <w:rPr>
                <w:rFonts w:ascii="Times New Roman" w:eastAsia="Times New Roman" w:hAnsi="Times New Roman" w:cs="Times New Roman"/>
                <w:color w:val="333333"/>
                <w:sz w:val="27"/>
                <w:szCs w:val="27"/>
              </w:rPr>
              <w:tab/>
            </w:r>
          </w:p>
          <w:p w14:paraId="378729A6"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b) industrieel onderzoek;</w:t>
            </w:r>
            <w:r w:rsidRPr="00EC596A">
              <w:rPr>
                <w:rFonts w:ascii="Times New Roman" w:eastAsia="Times New Roman" w:hAnsi="Times New Roman" w:cs="Times New Roman"/>
                <w:color w:val="333333"/>
                <w:sz w:val="27"/>
                <w:szCs w:val="27"/>
              </w:rPr>
              <w:tab/>
            </w:r>
          </w:p>
          <w:p w14:paraId="5755A643"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c) experimentele ontwikkeling;</w:t>
            </w:r>
            <w:r w:rsidRPr="00EC596A">
              <w:rPr>
                <w:rFonts w:ascii="Times New Roman" w:eastAsia="Times New Roman" w:hAnsi="Times New Roman" w:cs="Times New Roman"/>
                <w:color w:val="333333"/>
                <w:sz w:val="27"/>
                <w:szCs w:val="27"/>
              </w:rPr>
              <w:tab/>
              <w:t xml:space="preserve">   </w:t>
            </w:r>
          </w:p>
          <w:p w14:paraId="0BD833D5"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d) haalbaarheidsstudies.</w:t>
            </w:r>
            <w:r w:rsidRPr="00EC596A">
              <w:rPr>
                <w:rFonts w:ascii="Times New Roman" w:eastAsia="Times New Roman" w:hAnsi="Times New Roman" w:cs="Times New Roman"/>
                <w:color w:val="333333"/>
                <w:sz w:val="27"/>
                <w:szCs w:val="27"/>
              </w:rPr>
              <w:tab/>
            </w:r>
          </w:p>
          <w:p w14:paraId="164BBCCA" w14:textId="77777777" w:rsidR="005E49B6" w:rsidRDefault="005E49B6" w:rsidP="00EC596A">
            <w:pPr>
              <w:spacing w:before="120" w:after="0" w:line="312" w:lineRule="atLeast"/>
              <w:jc w:val="both"/>
              <w:rPr>
                <w:rFonts w:ascii="Times New Roman" w:eastAsia="Times New Roman" w:hAnsi="Times New Roman" w:cs="Times New Roman"/>
                <w:color w:val="333333"/>
                <w:sz w:val="27"/>
                <w:szCs w:val="27"/>
              </w:rPr>
            </w:pPr>
          </w:p>
          <w:p w14:paraId="00491D8B" w14:textId="3673DF56"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3.   De in aanmerking komende kosten van onderzoeks- en ontwikkelingsprojecten worden bij een specifieke categorie onderzoek en ontwikkeling ingedeeld en betreffen:</w:t>
            </w:r>
          </w:p>
          <w:p w14:paraId="0FFF0297"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 personeelskosten: onderzoekers, technici en ander ondersteunend personeel voor zover zij zich met het onderzoeksproject bezighouden;</w:t>
            </w:r>
            <w:r w:rsidRPr="00EC596A">
              <w:rPr>
                <w:rFonts w:ascii="Times New Roman" w:eastAsia="Times New Roman" w:hAnsi="Times New Roman" w:cs="Times New Roman"/>
                <w:color w:val="333333"/>
                <w:sz w:val="27"/>
                <w:szCs w:val="27"/>
              </w:rPr>
              <w:tab/>
            </w:r>
          </w:p>
          <w:p w14:paraId="45130AF6"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b) kosten van apparatuur en uitrusting voor zover en zolang zij worden gebruikt voor het project.</w:t>
            </w:r>
            <w:r w:rsidRPr="00EC596A">
              <w:rPr>
                <w:rFonts w:ascii="Times New Roman" w:eastAsia="Times New Roman" w:hAnsi="Times New Roman" w:cs="Times New Roman"/>
                <w:color w:val="333333"/>
                <w:sz w:val="27"/>
                <w:szCs w:val="27"/>
              </w:rPr>
              <w:tab/>
              <w:t xml:space="preserve"> Wanneer deze apparatuur en uitrusting niet tijdens hun volledige levensduur voor het project worden gebruikt, worden alleen de afschrijvingskosten overeenstemmend met de looptijd van het project, berekend volgens algemeen erkende boekhoudkundige beginselen, als in aanmerking komende kosten beschouwd;</w:t>
            </w:r>
          </w:p>
          <w:p w14:paraId="069858BE"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c) kosten van gebouwen en gronden voor zover en zolang zij worden gebruikt voor het project.</w:t>
            </w:r>
            <w:r w:rsidRPr="00EC596A">
              <w:rPr>
                <w:rFonts w:ascii="Times New Roman" w:eastAsia="Times New Roman" w:hAnsi="Times New Roman" w:cs="Times New Roman"/>
                <w:color w:val="333333"/>
                <w:sz w:val="27"/>
                <w:szCs w:val="27"/>
              </w:rPr>
              <w:tab/>
              <w:t xml:space="preserve"> Wat gebouwen betreft, worden alleen de afschrijvingskosten overeenstemmend met de looptijd van het project, berekend volgens algemeen erkende boekhoudkundige beginselen, als in aanmerking komende kosten beschouwd. Wat gronden betreft, komen de kosten voor de commerciële overdracht of de daadwerkelijk gemaakte kapitaalkosten in aanmerking;</w:t>
            </w:r>
          </w:p>
          <w:p w14:paraId="1D9120C1"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 xml:space="preserve">d) kosten van contractonderzoek, kennis en octrooien die op </w:t>
            </w:r>
            <w:proofErr w:type="spellStart"/>
            <w:r w:rsidRPr="00EC596A">
              <w:rPr>
                <w:rFonts w:ascii="Times New Roman" w:eastAsia="Times New Roman" w:hAnsi="Times New Roman" w:cs="Times New Roman"/>
                <w:color w:val="333333"/>
                <w:sz w:val="27"/>
                <w:szCs w:val="27"/>
              </w:rPr>
              <w:t>arm's</w:t>
            </w:r>
            <w:proofErr w:type="spellEnd"/>
            <w:r w:rsidRPr="00EC596A">
              <w:rPr>
                <w:rFonts w:ascii="Times New Roman" w:eastAsia="Times New Roman" w:hAnsi="Times New Roman" w:cs="Times New Roman"/>
                <w:color w:val="333333"/>
                <w:sz w:val="27"/>
                <w:szCs w:val="27"/>
              </w:rPr>
              <w:t xml:space="preserve"> </w:t>
            </w:r>
            <w:proofErr w:type="spellStart"/>
            <w:r w:rsidRPr="00EC596A">
              <w:rPr>
                <w:rFonts w:ascii="Times New Roman" w:eastAsia="Times New Roman" w:hAnsi="Times New Roman" w:cs="Times New Roman"/>
                <w:color w:val="333333"/>
                <w:sz w:val="27"/>
                <w:szCs w:val="27"/>
              </w:rPr>
              <w:t>length</w:t>
            </w:r>
            <w:proofErr w:type="spellEnd"/>
            <w:r w:rsidRPr="00EC596A">
              <w:rPr>
                <w:rFonts w:ascii="Times New Roman" w:eastAsia="Times New Roman" w:hAnsi="Times New Roman" w:cs="Times New Roman"/>
                <w:color w:val="333333"/>
                <w:sz w:val="27"/>
                <w:szCs w:val="27"/>
              </w:rPr>
              <w:t>-voorwaarden worden gekocht bij of waarvoor een licentie wordt verleend door externe bronnen, alsmede kosten voor consultancy en gelijkwaardige diensten die uitsluitend voor het project worden gebruikt;</w:t>
            </w:r>
            <w:r w:rsidRPr="00EC596A">
              <w:rPr>
                <w:rFonts w:ascii="Times New Roman" w:eastAsia="Times New Roman" w:hAnsi="Times New Roman" w:cs="Times New Roman"/>
                <w:color w:val="333333"/>
                <w:sz w:val="27"/>
                <w:szCs w:val="27"/>
              </w:rPr>
              <w:tab/>
            </w:r>
          </w:p>
          <w:p w14:paraId="63A25AA3" w14:textId="77777777"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lastRenderedPageBreak/>
              <w:t>e) bijkomende algemene kosten en andere operationele uitgaven, waaronder die voor materiaal, leveranties en dergelijke producten, die rechtstreeks uit het project voortvloeien.</w:t>
            </w:r>
            <w:r w:rsidRPr="00EC596A">
              <w:rPr>
                <w:rFonts w:ascii="Times New Roman" w:eastAsia="Times New Roman" w:hAnsi="Times New Roman" w:cs="Times New Roman"/>
                <w:color w:val="333333"/>
                <w:sz w:val="27"/>
                <w:szCs w:val="27"/>
              </w:rPr>
              <w:tab/>
            </w:r>
          </w:p>
          <w:p w14:paraId="08AEAB2D" w14:textId="77777777" w:rsidR="005E49B6" w:rsidRDefault="005E49B6" w:rsidP="00EC596A">
            <w:pPr>
              <w:spacing w:before="120" w:after="0" w:line="312" w:lineRule="atLeast"/>
              <w:jc w:val="both"/>
              <w:rPr>
                <w:rFonts w:ascii="Times New Roman" w:eastAsia="Times New Roman" w:hAnsi="Times New Roman" w:cs="Times New Roman"/>
                <w:color w:val="333333"/>
                <w:sz w:val="27"/>
                <w:szCs w:val="27"/>
              </w:rPr>
            </w:pPr>
          </w:p>
          <w:p w14:paraId="667C06D7" w14:textId="72963CFD"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4.   Bij haalbaarheidsstudies zijn de in aanmerking komende kosten de kosten van de studie.</w:t>
            </w:r>
          </w:p>
          <w:p w14:paraId="2FF26E7B" w14:textId="77777777" w:rsidR="005E49B6" w:rsidRDefault="005E49B6" w:rsidP="00EC596A">
            <w:pPr>
              <w:spacing w:before="120" w:after="0" w:line="312" w:lineRule="atLeast"/>
              <w:jc w:val="both"/>
              <w:rPr>
                <w:rFonts w:ascii="Times New Roman" w:eastAsia="Times New Roman" w:hAnsi="Times New Roman" w:cs="Times New Roman"/>
                <w:color w:val="333333"/>
                <w:sz w:val="27"/>
                <w:szCs w:val="27"/>
              </w:rPr>
            </w:pPr>
          </w:p>
          <w:p w14:paraId="3F1F47F6" w14:textId="2FE99B2A"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5.   De steunintensiteit bedraagt voor elke begunstigde ten hoogste:</w:t>
            </w:r>
          </w:p>
          <w:p w14:paraId="2E188AC0" w14:textId="2D62E404"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w:t>
            </w:r>
            <w:r w:rsidR="00DF7AF8">
              <w:rPr>
                <w:rFonts w:ascii="Times New Roman" w:eastAsia="Times New Roman" w:hAnsi="Times New Roman" w:cs="Times New Roman"/>
                <w:color w:val="333333"/>
                <w:sz w:val="27"/>
                <w:szCs w:val="27"/>
              </w:rPr>
              <w:t xml:space="preserve"> </w:t>
            </w:r>
            <w:r w:rsidRPr="00EC596A">
              <w:rPr>
                <w:rFonts w:ascii="Times New Roman" w:eastAsia="Times New Roman" w:hAnsi="Times New Roman" w:cs="Times New Roman"/>
                <w:color w:val="333333"/>
                <w:sz w:val="27"/>
                <w:szCs w:val="27"/>
              </w:rPr>
              <w:t>100% van de in aanmerking komende kosten voor fundamenteel onderzoek;</w:t>
            </w:r>
          </w:p>
          <w:p w14:paraId="7E8FAE2E" w14:textId="15DC88E3"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b) 50% van de in aanmerking komende kosten voor industrieel onderzoek;</w:t>
            </w:r>
          </w:p>
          <w:p w14:paraId="312F9EE4" w14:textId="77777777" w:rsidR="00B66032"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c) 25% van de in aanmerking komende kosten voor experimentele ontwikkeling;</w:t>
            </w:r>
          </w:p>
          <w:p w14:paraId="280BE5D4" w14:textId="1E08C8BC" w:rsidR="00EC596A" w:rsidRPr="00EC596A" w:rsidRDefault="00EC596A" w:rsidP="005E49B6">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d) 50% van de in aanmerking komende kosten voor haalbaarheidsstudies.</w:t>
            </w:r>
            <w:r w:rsidRPr="00EC596A">
              <w:rPr>
                <w:rFonts w:ascii="Times New Roman" w:eastAsia="Times New Roman" w:hAnsi="Times New Roman" w:cs="Times New Roman"/>
                <w:color w:val="333333"/>
                <w:sz w:val="27"/>
                <w:szCs w:val="27"/>
              </w:rPr>
              <w:tab/>
            </w:r>
          </w:p>
          <w:p w14:paraId="6B7CB6E7" w14:textId="02851E75"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6.   De steunintensiteiten voor industrieel onderzoek en experimentele ontwikkeling kunnen als volgt worden verhoogd, tot een maximale steunintensiteit van 80 % van de in aanmerking komende kosten:</w:t>
            </w:r>
          </w:p>
          <w:p w14:paraId="2A81A14C" w14:textId="77777777" w:rsidR="00EC596A" w:rsidRPr="00EC596A" w:rsidRDefault="00EC596A" w:rsidP="00D67E7F">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 met 10 procentpunten voor middelgrote ondernemingen en met 20 procentpunten voor kleine ondernemingen;</w:t>
            </w:r>
            <w:r w:rsidRPr="00EC596A">
              <w:rPr>
                <w:rFonts w:ascii="Times New Roman" w:eastAsia="Times New Roman" w:hAnsi="Times New Roman" w:cs="Times New Roman"/>
                <w:color w:val="333333"/>
                <w:sz w:val="27"/>
                <w:szCs w:val="27"/>
              </w:rPr>
              <w:tab/>
            </w:r>
          </w:p>
          <w:p w14:paraId="3A0FADD3" w14:textId="77777777" w:rsidR="00EB462A" w:rsidRDefault="00EC596A" w:rsidP="00D67E7F">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b) met 15 procentpunten indien één van de volgende voorwaarden is vervuld:</w:t>
            </w:r>
          </w:p>
          <w:p w14:paraId="3D3FEF3A" w14:textId="6D964CDD" w:rsidR="00EC596A" w:rsidRPr="00EC596A" w:rsidRDefault="00EC596A" w:rsidP="00D67E7F">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b/>
              <w:t>i) het project behelst daadwerkelijke samenwerking:</w:t>
            </w:r>
            <w:r w:rsidRPr="00EC596A">
              <w:rPr>
                <w:rFonts w:ascii="Times New Roman" w:eastAsia="Times New Roman" w:hAnsi="Times New Roman" w:cs="Times New Roman"/>
                <w:color w:val="333333"/>
                <w:sz w:val="27"/>
                <w:szCs w:val="27"/>
              </w:rPr>
              <w:tab/>
            </w:r>
          </w:p>
          <w:p w14:paraId="58C96181" w14:textId="50EFB452" w:rsidR="00EC596A" w:rsidRPr="00EC596A" w:rsidRDefault="00EC596A" w:rsidP="00D67E7F">
            <w:pPr>
              <w:spacing w:before="120" w:after="0" w:line="312" w:lineRule="atLeast"/>
              <w:ind w:left="1416"/>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 xml:space="preserve">- tussen ondernemingen waarvan er ten minste één een kmo is, of wordt uitgevoerd in ten minste twee lidstaten of in een lidstaat en in een </w:t>
            </w:r>
            <w:proofErr w:type="spellStart"/>
            <w:r w:rsidRPr="00EC596A">
              <w:rPr>
                <w:rFonts w:ascii="Times New Roman" w:eastAsia="Times New Roman" w:hAnsi="Times New Roman" w:cs="Times New Roman"/>
                <w:color w:val="333333"/>
                <w:sz w:val="27"/>
                <w:szCs w:val="27"/>
              </w:rPr>
              <w:t>overeenkomstsluitende</w:t>
            </w:r>
            <w:proofErr w:type="spellEnd"/>
            <w:r w:rsidRPr="00EC596A">
              <w:rPr>
                <w:rFonts w:ascii="Times New Roman" w:eastAsia="Times New Roman" w:hAnsi="Times New Roman" w:cs="Times New Roman"/>
                <w:color w:val="333333"/>
                <w:sz w:val="27"/>
                <w:szCs w:val="27"/>
              </w:rPr>
              <w:t xml:space="preserve"> partij bij de EER-overeenkomst, en geen van de ondernemingen neemt meer dan 70% van de in aanmerking komende kosten voor haar rekening, of</w:t>
            </w:r>
            <w:r w:rsidRPr="00EC596A">
              <w:rPr>
                <w:rFonts w:ascii="Times New Roman" w:eastAsia="Times New Roman" w:hAnsi="Times New Roman" w:cs="Times New Roman"/>
                <w:color w:val="333333"/>
                <w:sz w:val="27"/>
                <w:szCs w:val="27"/>
              </w:rPr>
              <w:tab/>
            </w:r>
          </w:p>
          <w:p w14:paraId="40AE7F1C" w14:textId="16E58DA0" w:rsidR="00EC596A" w:rsidRPr="00EC596A" w:rsidRDefault="00EC596A" w:rsidP="00D67E7F">
            <w:pPr>
              <w:spacing w:before="120" w:after="0" w:line="312" w:lineRule="atLeast"/>
              <w:ind w:left="1416"/>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 tussen een onderneming en één of meer organisaties voor onderzoek en kennisverspreiding, waarbij deze organisaties ten minste 10% van de in aanmerking komende kosten dragen en het recht hebben hun eigen onderzoeksresultaten te publiceren;</w:t>
            </w:r>
            <w:r w:rsidRPr="00EC596A">
              <w:rPr>
                <w:rFonts w:ascii="Times New Roman" w:eastAsia="Times New Roman" w:hAnsi="Times New Roman" w:cs="Times New Roman"/>
                <w:color w:val="333333"/>
                <w:sz w:val="27"/>
                <w:szCs w:val="27"/>
              </w:rPr>
              <w:tab/>
            </w:r>
          </w:p>
          <w:p w14:paraId="54D422E2" w14:textId="77777777" w:rsidR="00EC596A" w:rsidRPr="00EC596A" w:rsidRDefault="00EC596A" w:rsidP="00D67E7F">
            <w:pPr>
              <w:spacing w:before="120" w:after="0" w:line="312" w:lineRule="atLeast"/>
              <w:ind w:left="1416"/>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ii) de projectresultaten ruim worden verspreid via conferenties, publicaties, open access-</w:t>
            </w:r>
            <w:proofErr w:type="spellStart"/>
            <w:r w:rsidRPr="00EC596A">
              <w:rPr>
                <w:rFonts w:ascii="Times New Roman" w:eastAsia="Times New Roman" w:hAnsi="Times New Roman" w:cs="Times New Roman"/>
                <w:color w:val="333333"/>
                <w:sz w:val="27"/>
                <w:szCs w:val="27"/>
              </w:rPr>
              <w:t>repositories</w:t>
            </w:r>
            <w:proofErr w:type="spellEnd"/>
            <w:r w:rsidRPr="00EC596A">
              <w:rPr>
                <w:rFonts w:ascii="Times New Roman" w:eastAsia="Times New Roman" w:hAnsi="Times New Roman" w:cs="Times New Roman"/>
                <w:color w:val="333333"/>
                <w:sz w:val="27"/>
                <w:szCs w:val="27"/>
              </w:rPr>
              <w:t>, of gratis of opensource-software.</w:t>
            </w:r>
            <w:r w:rsidRPr="00EC596A">
              <w:rPr>
                <w:rFonts w:ascii="Times New Roman" w:eastAsia="Times New Roman" w:hAnsi="Times New Roman" w:cs="Times New Roman"/>
                <w:color w:val="333333"/>
                <w:sz w:val="27"/>
                <w:szCs w:val="27"/>
              </w:rPr>
              <w:tab/>
            </w:r>
          </w:p>
          <w:p w14:paraId="014998B0"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7.   De steunintensiteit voor haalbaarheidsstudies kan worden verhoogd met 10 procentpunten voor middelgrote ondernemingen en met 20 procentpunten voor kleine ondernemingen.</w:t>
            </w:r>
          </w:p>
          <w:p w14:paraId="06F57E1B"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p>
          <w:p w14:paraId="12F37CE5" w14:textId="77777777" w:rsidR="00EC596A" w:rsidRPr="00C90A07" w:rsidRDefault="00EC596A" w:rsidP="00C90A07">
            <w:pPr>
              <w:spacing w:before="120" w:after="0" w:line="312" w:lineRule="atLeast"/>
              <w:jc w:val="center"/>
              <w:rPr>
                <w:rFonts w:ascii="Times New Roman" w:eastAsia="Times New Roman" w:hAnsi="Times New Roman" w:cs="Times New Roman"/>
                <w:i/>
                <w:iCs/>
                <w:color w:val="333333"/>
                <w:sz w:val="27"/>
                <w:szCs w:val="27"/>
              </w:rPr>
            </w:pPr>
            <w:r w:rsidRPr="00C90A07">
              <w:rPr>
                <w:rFonts w:ascii="Times New Roman" w:eastAsia="Times New Roman" w:hAnsi="Times New Roman" w:cs="Times New Roman"/>
                <w:i/>
                <w:iCs/>
                <w:color w:val="333333"/>
                <w:sz w:val="27"/>
                <w:szCs w:val="27"/>
              </w:rPr>
              <w:t>Artikel 28</w:t>
            </w:r>
          </w:p>
          <w:p w14:paraId="220B21AE" w14:textId="77777777" w:rsidR="00EC596A" w:rsidRPr="00C90A07" w:rsidRDefault="00EC596A" w:rsidP="00C90A07">
            <w:pPr>
              <w:spacing w:before="120" w:after="0" w:line="312" w:lineRule="atLeast"/>
              <w:jc w:val="center"/>
              <w:rPr>
                <w:rFonts w:ascii="Times New Roman" w:eastAsia="Times New Roman" w:hAnsi="Times New Roman" w:cs="Times New Roman"/>
                <w:b/>
                <w:bCs/>
                <w:color w:val="333333"/>
                <w:sz w:val="27"/>
                <w:szCs w:val="27"/>
              </w:rPr>
            </w:pPr>
            <w:r w:rsidRPr="00C90A07">
              <w:rPr>
                <w:rFonts w:ascii="Times New Roman" w:eastAsia="Times New Roman" w:hAnsi="Times New Roman" w:cs="Times New Roman"/>
                <w:b/>
                <w:bCs/>
                <w:color w:val="333333"/>
                <w:sz w:val="27"/>
                <w:szCs w:val="27"/>
              </w:rPr>
              <w:t>Innovatiesteun voor kmo's</w:t>
            </w:r>
          </w:p>
          <w:p w14:paraId="2017C470"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1.   Innovatiesteun voor kmo's is verenigbaar met de interne markt in de zin van artikel 107, lid 3, van het Verdrag en is van de aanmeldingsverplichting van artikel 108, lid 3, van het Verdrag vrijgesteld, mits de in dit artikel en in hoofdstuk I vastgestelde voorwaarden zijn vervuld.</w:t>
            </w:r>
          </w:p>
          <w:p w14:paraId="544D96FD" w14:textId="77777777" w:rsidR="00C90A07" w:rsidRDefault="00C90A07" w:rsidP="00EC596A">
            <w:pPr>
              <w:spacing w:before="120" w:after="0" w:line="312" w:lineRule="atLeast"/>
              <w:jc w:val="both"/>
              <w:rPr>
                <w:rFonts w:ascii="Times New Roman" w:eastAsia="Times New Roman" w:hAnsi="Times New Roman" w:cs="Times New Roman"/>
                <w:color w:val="333333"/>
                <w:sz w:val="27"/>
                <w:szCs w:val="27"/>
              </w:rPr>
            </w:pPr>
          </w:p>
          <w:p w14:paraId="4AD7C751" w14:textId="5EA3FDD4"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2.   De in aanmerking komende kosten zijn de volgende:</w:t>
            </w:r>
          </w:p>
          <w:p w14:paraId="530644F8" w14:textId="77777777" w:rsidR="00EC596A" w:rsidRPr="00EC596A" w:rsidRDefault="00EC596A" w:rsidP="00C90A07">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 de kosten verbonden aan de verkrijging, validering en verdediging van octrooien en immateriële activa;</w:t>
            </w:r>
            <w:r w:rsidRPr="00EC596A">
              <w:rPr>
                <w:rFonts w:ascii="Times New Roman" w:eastAsia="Times New Roman" w:hAnsi="Times New Roman" w:cs="Times New Roman"/>
                <w:color w:val="333333"/>
                <w:sz w:val="27"/>
                <w:szCs w:val="27"/>
              </w:rPr>
              <w:tab/>
            </w:r>
          </w:p>
          <w:p w14:paraId="3290B011" w14:textId="77777777" w:rsidR="00EC596A" w:rsidRPr="00EC596A" w:rsidRDefault="00EC596A" w:rsidP="00C90A07">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b) de kosten verbonden aan het detacheren van hooggekwalificeerd personeel van een organisatie voor onderzoek en kennisverspreiding of een grote onderneming naar onderzoeks-, ontwikkelings- en innovatieactiviteiten in een nieuw gecreëerde functie binnen de begunstigde onderneming, zonder dat hierbij andere personeelseden worden vervangen;</w:t>
            </w:r>
            <w:r w:rsidRPr="00EC596A">
              <w:rPr>
                <w:rFonts w:ascii="Times New Roman" w:eastAsia="Times New Roman" w:hAnsi="Times New Roman" w:cs="Times New Roman"/>
                <w:color w:val="333333"/>
                <w:sz w:val="27"/>
                <w:szCs w:val="27"/>
              </w:rPr>
              <w:tab/>
            </w:r>
          </w:p>
          <w:p w14:paraId="73BF4B13" w14:textId="3FA6541B" w:rsidR="00EC596A" w:rsidRDefault="00EC596A" w:rsidP="00C90A07">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c) de kosten verbonden aan innovatieadviesdiensten en diensten inzake innovatieondersteuning.</w:t>
            </w:r>
            <w:r w:rsidRPr="00EC596A">
              <w:rPr>
                <w:rFonts w:ascii="Times New Roman" w:eastAsia="Times New Roman" w:hAnsi="Times New Roman" w:cs="Times New Roman"/>
                <w:color w:val="333333"/>
                <w:sz w:val="27"/>
                <w:szCs w:val="27"/>
              </w:rPr>
              <w:tab/>
            </w:r>
          </w:p>
          <w:p w14:paraId="6AF574BC" w14:textId="77777777" w:rsidR="00C90A07" w:rsidRPr="00EC596A" w:rsidRDefault="00C90A07" w:rsidP="00C90A07">
            <w:pPr>
              <w:spacing w:before="120" w:after="0" w:line="312" w:lineRule="atLeast"/>
              <w:ind w:left="708"/>
              <w:jc w:val="both"/>
              <w:rPr>
                <w:rFonts w:ascii="Times New Roman" w:eastAsia="Times New Roman" w:hAnsi="Times New Roman" w:cs="Times New Roman"/>
                <w:color w:val="333333"/>
                <w:sz w:val="27"/>
                <w:szCs w:val="27"/>
              </w:rPr>
            </w:pPr>
          </w:p>
          <w:p w14:paraId="0CAFFC03" w14:textId="52098C6B" w:rsid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3.   De steunintensiteit bedraagt ten hoogste 50% van de in aanmerking komende kosten.</w:t>
            </w:r>
          </w:p>
          <w:p w14:paraId="6422DEFF" w14:textId="77777777" w:rsidR="00777979" w:rsidRPr="00EC596A" w:rsidRDefault="00777979" w:rsidP="00EC596A">
            <w:pPr>
              <w:spacing w:before="120" w:after="0" w:line="312" w:lineRule="atLeast"/>
              <w:jc w:val="both"/>
              <w:rPr>
                <w:rFonts w:ascii="Times New Roman" w:eastAsia="Times New Roman" w:hAnsi="Times New Roman" w:cs="Times New Roman"/>
                <w:color w:val="333333"/>
                <w:sz w:val="27"/>
                <w:szCs w:val="27"/>
              </w:rPr>
            </w:pPr>
          </w:p>
          <w:p w14:paraId="5663A5FA" w14:textId="4C6A4BE1"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4.   In het specifieke geval van steun voor innovatieadviesdiensten en diensten inzake innovatieondersteuning kan de steunintensiteit worden verhoogd tot 100% van de in aanmerking komende kosten mits het totale bedrag van de steun voor innovatieadviesdiensten en diensten inzake innovatieondersteuning ten hoogste 200</w:t>
            </w:r>
            <w:r w:rsidR="0070673B">
              <w:rPr>
                <w:rFonts w:ascii="Times New Roman" w:eastAsia="Times New Roman" w:hAnsi="Times New Roman" w:cs="Times New Roman"/>
                <w:color w:val="333333"/>
                <w:sz w:val="27"/>
                <w:szCs w:val="27"/>
              </w:rPr>
              <w:t> </w:t>
            </w:r>
            <w:r w:rsidRPr="00EC596A">
              <w:rPr>
                <w:rFonts w:ascii="Times New Roman" w:eastAsia="Times New Roman" w:hAnsi="Times New Roman" w:cs="Times New Roman"/>
                <w:color w:val="333333"/>
                <w:sz w:val="27"/>
                <w:szCs w:val="27"/>
              </w:rPr>
              <w:t>000 EUR bedraagt per onderneming over een periode van drie jaar.</w:t>
            </w:r>
          </w:p>
          <w:p w14:paraId="47E34C13"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p>
          <w:p w14:paraId="75EA5016" w14:textId="77777777" w:rsidR="00EC596A" w:rsidRPr="00777979" w:rsidRDefault="00EC596A" w:rsidP="00777979">
            <w:pPr>
              <w:spacing w:before="120" w:after="0" w:line="312" w:lineRule="atLeast"/>
              <w:jc w:val="center"/>
              <w:rPr>
                <w:rFonts w:ascii="Times New Roman" w:eastAsia="Times New Roman" w:hAnsi="Times New Roman" w:cs="Times New Roman"/>
                <w:i/>
                <w:iCs/>
                <w:color w:val="333333"/>
                <w:sz w:val="27"/>
                <w:szCs w:val="27"/>
              </w:rPr>
            </w:pPr>
            <w:r w:rsidRPr="00777979">
              <w:rPr>
                <w:rFonts w:ascii="Times New Roman" w:eastAsia="Times New Roman" w:hAnsi="Times New Roman" w:cs="Times New Roman"/>
                <w:i/>
                <w:iCs/>
                <w:color w:val="333333"/>
                <w:sz w:val="27"/>
                <w:szCs w:val="27"/>
              </w:rPr>
              <w:t>Artikel 29</w:t>
            </w:r>
          </w:p>
          <w:p w14:paraId="390F5E5E" w14:textId="77777777" w:rsidR="00EC596A" w:rsidRPr="00777979" w:rsidRDefault="00EC596A" w:rsidP="00777979">
            <w:pPr>
              <w:spacing w:before="120" w:after="0" w:line="312" w:lineRule="atLeast"/>
              <w:jc w:val="center"/>
              <w:rPr>
                <w:rFonts w:ascii="Times New Roman" w:eastAsia="Times New Roman" w:hAnsi="Times New Roman" w:cs="Times New Roman"/>
                <w:b/>
                <w:bCs/>
                <w:color w:val="333333"/>
                <w:sz w:val="27"/>
                <w:szCs w:val="27"/>
              </w:rPr>
            </w:pPr>
            <w:r w:rsidRPr="00777979">
              <w:rPr>
                <w:rFonts w:ascii="Times New Roman" w:eastAsia="Times New Roman" w:hAnsi="Times New Roman" w:cs="Times New Roman"/>
                <w:b/>
                <w:bCs/>
                <w:color w:val="333333"/>
                <w:sz w:val="27"/>
                <w:szCs w:val="27"/>
              </w:rPr>
              <w:t>Steun voor proces- en organisatie-innovatie</w:t>
            </w:r>
          </w:p>
          <w:p w14:paraId="1DA41816" w14:textId="77777777"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1.   Steun voor proces- en organisatie-innovatie is verenigbaar met de interne markt in de zin van artikel 107, lid 3, van het Verdrag en is van de aanmeldingsverplichting van artikel 108, lid 3, van het Verdrag vrijgesteld, mits de in dit artikel en in hoofdstuk I vastgestelde voorwaarden zijn vervuld.</w:t>
            </w:r>
          </w:p>
          <w:p w14:paraId="4807F2F1" w14:textId="77777777" w:rsidR="00777979" w:rsidRDefault="00777979" w:rsidP="00EC596A">
            <w:pPr>
              <w:spacing w:before="120" w:after="0" w:line="312" w:lineRule="atLeast"/>
              <w:jc w:val="both"/>
              <w:rPr>
                <w:rFonts w:ascii="Times New Roman" w:eastAsia="Times New Roman" w:hAnsi="Times New Roman" w:cs="Times New Roman"/>
                <w:color w:val="333333"/>
                <w:sz w:val="27"/>
                <w:szCs w:val="27"/>
              </w:rPr>
            </w:pPr>
          </w:p>
          <w:p w14:paraId="3B3CD8F6" w14:textId="24EDDF6A"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lastRenderedPageBreak/>
              <w:t>2.   Steun voor grote ondernemingen is alleen verenigbaar indien zij bij de gesteunde activiteit daadwerkelijk samenwerken met kmo's en de samenwerkende kmo's ten minste 30% van de totale in aanmerking komende kosten dragen.</w:t>
            </w:r>
          </w:p>
          <w:p w14:paraId="3B4581B0" w14:textId="77777777" w:rsidR="00777979" w:rsidRDefault="00777979" w:rsidP="00EC596A">
            <w:pPr>
              <w:spacing w:before="120" w:after="0" w:line="312" w:lineRule="atLeast"/>
              <w:jc w:val="both"/>
              <w:rPr>
                <w:rFonts w:ascii="Times New Roman" w:eastAsia="Times New Roman" w:hAnsi="Times New Roman" w:cs="Times New Roman"/>
                <w:color w:val="333333"/>
                <w:sz w:val="27"/>
                <w:szCs w:val="27"/>
              </w:rPr>
            </w:pPr>
          </w:p>
          <w:p w14:paraId="285C2E75" w14:textId="73FFE6C8" w:rsidR="00EC596A" w:rsidRPr="00EC596A" w:rsidRDefault="00EC596A" w:rsidP="00EC596A">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3.   De in aanmerking komende kosten zijn de volgende:</w:t>
            </w:r>
          </w:p>
          <w:p w14:paraId="736F1737" w14:textId="77777777" w:rsidR="00EC596A" w:rsidRPr="00EC596A" w:rsidRDefault="00EC596A" w:rsidP="00777979">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a) personeelskosten;</w:t>
            </w:r>
            <w:r w:rsidRPr="00EC596A">
              <w:rPr>
                <w:rFonts w:ascii="Times New Roman" w:eastAsia="Times New Roman" w:hAnsi="Times New Roman" w:cs="Times New Roman"/>
                <w:color w:val="333333"/>
                <w:sz w:val="27"/>
                <w:szCs w:val="27"/>
              </w:rPr>
              <w:tab/>
            </w:r>
          </w:p>
          <w:p w14:paraId="07DA9B96" w14:textId="77777777" w:rsidR="00EC596A" w:rsidRPr="00EC596A" w:rsidRDefault="00EC596A" w:rsidP="00777979">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b) kosten van apparatuur en uitrusting, gebouwen en gronden voor zover en zolang zij worden gebruikt voor het project;</w:t>
            </w:r>
            <w:r w:rsidRPr="00EC596A">
              <w:rPr>
                <w:rFonts w:ascii="Times New Roman" w:eastAsia="Times New Roman" w:hAnsi="Times New Roman" w:cs="Times New Roman"/>
                <w:color w:val="333333"/>
                <w:sz w:val="27"/>
                <w:szCs w:val="27"/>
              </w:rPr>
              <w:tab/>
            </w:r>
          </w:p>
          <w:p w14:paraId="688F6DAE" w14:textId="77777777" w:rsidR="00EC596A" w:rsidRPr="00EC596A" w:rsidRDefault="00EC596A" w:rsidP="00777979">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 xml:space="preserve">c) kosten van contractonderzoek, kennis en octrooien die op </w:t>
            </w:r>
            <w:proofErr w:type="spellStart"/>
            <w:r w:rsidRPr="00EC596A">
              <w:rPr>
                <w:rFonts w:ascii="Times New Roman" w:eastAsia="Times New Roman" w:hAnsi="Times New Roman" w:cs="Times New Roman"/>
                <w:color w:val="333333"/>
                <w:sz w:val="27"/>
                <w:szCs w:val="27"/>
              </w:rPr>
              <w:t>arm's</w:t>
            </w:r>
            <w:proofErr w:type="spellEnd"/>
            <w:r w:rsidRPr="00EC596A">
              <w:rPr>
                <w:rFonts w:ascii="Times New Roman" w:eastAsia="Times New Roman" w:hAnsi="Times New Roman" w:cs="Times New Roman"/>
                <w:color w:val="333333"/>
                <w:sz w:val="27"/>
                <w:szCs w:val="27"/>
              </w:rPr>
              <w:t xml:space="preserve"> </w:t>
            </w:r>
            <w:proofErr w:type="spellStart"/>
            <w:r w:rsidRPr="00EC596A">
              <w:rPr>
                <w:rFonts w:ascii="Times New Roman" w:eastAsia="Times New Roman" w:hAnsi="Times New Roman" w:cs="Times New Roman"/>
                <w:color w:val="333333"/>
                <w:sz w:val="27"/>
                <w:szCs w:val="27"/>
              </w:rPr>
              <w:t>length</w:t>
            </w:r>
            <w:proofErr w:type="spellEnd"/>
            <w:r w:rsidRPr="00EC596A">
              <w:rPr>
                <w:rFonts w:ascii="Times New Roman" w:eastAsia="Times New Roman" w:hAnsi="Times New Roman" w:cs="Times New Roman"/>
                <w:color w:val="333333"/>
                <w:sz w:val="27"/>
                <w:szCs w:val="27"/>
              </w:rPr>
              <w:t xml:space="preserve"> worden verworven bij of waarvoor een licentie wordt verkregen van externe bronnen;</w:t>
            </w:r>
            <w:r w:rsidRPr="00EC596A">
              <w:rPr>
                <w:rFonts w:ascii="Times New Roman" w:eastAsia="Times New Roman" w:hAnsi="Times New Roman" w:cs="Times New Roman"/>
                <w:color w:val="333333"/>
                <w:sz w:val="27"/>
                <w:szCs w:val="27"/>
              </w:rPr>
              <w:tab/>
            </w:r>
          </w:p>
          <w:p w14:paraId="616FA225" w14:textId="77777777" w:rsidR="00EC596A" w:rsidRPr="00EC596A" w:rsidRDefault="00EC596A" w:rsidP="00777979">
            <w:pPr>
              <w:spacing w:before="120" w:after="0" w:line="312" w:lineRule="atLeast"/>
              <w:ind w:left="708"/>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d) bijkomende algemene kosten en andere exploitatiekosten, waaronder die voor materiaal, leveranties en dergelijke producten, die rechtstreeks uit het project voortvloeien.</w:t>
            </w:r>
            <w:r w:rsidRPr="00EC596A">
              <w:rPr>
                <w:rFonts w:ascii="Times New Roman" w:eastAsia="Times New Roman" w:hAnsi="Times New Roman" w:cs="Times New Roman"/>
                <w:color w:val="333333"/>
                <w:sz w:val="27"/>
                <w:szCs w:val="27"/>
              </w:rPr>
              <w:tab/>
            </w:r>
          </w:p>
          <w:p w14:paraId="652B10E4" w14:textId="77777777" w:rsidR="00777979" w:rsidRDefault="00777979" w:rsidP="00EC596A">
            <w:pPr>
              <w:spacing w:before="120" w:after="0" w:line="312" w:lineRule="atLeast"/>
              <w:jc w:val="both"/>
              <w:rPr>
                <w:rFonts w:ascii="Times New Roman" w:eastAsia="Times New Roman" w:hAnsi="Times New Roman" w:cs="Times New Roman"/>
                <w:color w:val="333333"/>
                <w:sz w:val="27"/>
                <w:szCs w:val="27"/>
              </w:rPr>
            </w:pPr>
          </w:p>
          <w:p w14:paraId="1F5ADACD" w14:textId="346C7B6E" w:rsidR="00EC596A" w:rsidRPr="00D365AA" w:rsidRDefault="00EC596A" w:rsidP="00777979">
            <w:pPr>
              <w:spacing w:before="120" w:after="0" w:line="312" w:lineRule="atLeast"/>
              <w:jc w:val="both"/>
              <w:rPr>
                <w:rFonts w:ascii="Times New Roman" w:eastAsia="Times New Roman" w:hAnsi="Times New Roman" w:cs="Times New Roman"/>
                <w:color w:val="333333"/>
                <w:sz w:val="27"/>
                <w:szCs w:val="27"/>
              </w:rPr>
            </w:pPr>
            <w:r w:rsidRPr="00EC596A">
              <w:rPr>
                <w:rFonts w:ascii="Times New Roman" w:eastAsia="Times New Roman" w:hAnsi="Times New Roman" w:cs="Times New Roman"/>
                <w:color w:val="333333"/>
                <w:sz w:val="27"/>
                <w:szCs w:val="27"/>
              </w:rPr>
              <w:t>4.   De steunintensiteit bedraagt ten hoogste 15% van de in aanmerking komende kosten voor grote ondernemingen en 50% van de in aanmerking komende kosten voor kmo's.</w:t>
            </w:r>
          </w:p>
        </w:tc>
        <w:tc>
          <w:tcPr>
            <w:tcW w:w="0" w:type="auto"/>
            <w:shd w:val="clear" w:color="auto" w:fill="FFFFFF"/>
            <w:hideMark/>
          </w:tcPr>
          <w:p w14:paraId="7B88A0F1" w14:textId="77777777" w:rsidR="00D365AA" w:rsidRPr="00D365AA" w:rsidRDefault="00D365AA" w:rsidP="00D365AA">
            <w:pPr>
              <w:spacing w:before="120" w:after="0" w:line="312" w:lineRule="atLeast"/>
              <w:jc w:val="both"/>
              <w:rPr>
                <w:rFonts w:ascii="Times New Roman" w:eastAsia="Times New Roman" w:hAnsi="Times New Roman" w:cs="Times New Roman"/>
                <w:color w:val="333333"/>
                <w:sz w:val="27"/>
                <w:szCs w:val="27"/>
              </w:rPr>
            </w:pPr>
          </w:p>
        </w:tc>
      </w:tr>
    </w:tbl>
    <w:p w14:paraId="03028372" w14:textId="77777777" w:rsidR="00D365AA" w:rsidRPr="00D365AA" w:rsidRDefault="00D365AA" w:rsidP="00D365AA">
      <w:pPr>
        <w:spacing w:after="0" w:line="240" w:lineRule="auto"/>
        <w:rPr>
          <w:rFonts w:ascii="Times New Roman" w:eastAsia="Times New Roman" w:hAnsi="Times New Roman" w:cs="Times New Roman"/>
          <w:vanish/>
          <w:sz w:val="24"/>
          <w:szCs w:val="24"/>
          <w:lang w:eastAsia="fr-BE"/>
        </w:rPr>
      </w:pPr>
    </w:p>
    <w:tbl>
      <w:tblPr>
        <w:tblW w:w="5000" w:type="pct"/>
        <w:shd w:val="clear" w:color="auto" w:fill="FFFFFF"/>
        <w:tblCellMar>
          <w:left w:w="0" w:type="dxa"/>
          <w:right w:w="0" w:type="dxa"/>
        </w:tblCellMar>
        <w:tblLook w:val="04A0" w:firstRow="1" w:lastRow="0" w:firstColumn="1" w:lastColumn="0" w:noHBand="0" w:noVBand="1"/>
      </w:tblPr>
      <w:tblGrid>
        <w:gridCol w:w="4513"/>
        <w:gridCol w:w="4513"/>
      </w:tblGrid>
      <w:tr w:rsidR="00D365AA" w:rsidRPr="00D365AA" w14:paraId="7391CEA2" w14:textId="77777777" w:rsidTr="00EC596A">
        <w:tc>
          <w:tcPr>
            <w:tcW w:w="0" w:type="auto"/>
            <w:shd w:val="clear" w:color="auto" w:fill="FFFFFF"/>
          </w:tcPr>
          <w:p w14:paraId="12797134" w14:textId="5564924A" w:rsidR="00D365AA" w:rsidRPr="00D365AA" w:rsidRDefault="00D365AA" w:rsidP="00D365AA">
            <w:pPr>
              <w:spacing w:before="120" w:after="0" w:line="312" w:lineRule="atLeast"/>
              <w:jc w:val="both"/>
              <w:rPr>
                <w:rFonts w:ascii="Times New Roman" w:eastAsia="Times New Roman" w:hAnsi="Times New Roman" w:cs="Times New Roman"/>
                <w:color w:val="333333"/>
                <w:sz w:val="27"/>
                <w:szCs w:val="27"/>
              </w:rPr>
            </w:pPr>
          </w:p>
        </w:tc>
        <w:tc>
          <w:tcPr>
            <w:tcW w:w="0" w:type="auto"/>
            <w:shd w:val="clear" w:color="auto" w:fill="FFFFFF"/>
          </w:tcPr>
          <w:p w14:paraId="57F881A0" w14:textId="1D80B136" w:rsidR="00D365AA" w:rsidRPr="00D365AA" w:rsidRDefault="00D365AA" w:rsidP="00D365AA">
            <w:pPr>
              <w:spacing w:before="120" w:after="0" w:line="312" w:lineRule="atLeast"/>
              <w:jc w:val="both"/>
              <w:rPr>
                <w:rFonts w:ascii="Times New Roman" w:eastAsia="Times New Roman" w:hAnsi="Times New Roman" w:cs="Times New Roman"/>
                <w:color w:val="333333"/>
                <w:sz w:val="27"/>
                <w:szCs w:val="27"/>
                <w:lang w:eastAsia="fr-BE"/>
              </w:rPr>
            </w:pPr>
          </w:p>
        </w:tc>
      </w:tr>
    </w:tbl>
    <w:p w14:paraId="76ABE29F" w14:textId="3BB11231" w:rsidR="00267D0A" w:rsidRDefault="00267D0A"/>
    <w:p w14:paraId="1313A6AA" w14:textId="77777777" w:rsidR="00D365AA" w:rsidRDefault="00D365AA"/>
    <w:sectPr w:rsidR="00D365AA" w:rsidSect="005D222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8D87" w14:textId="77777777" w:rsidR="004903BA" w:rsidRDefault="004903BA" w:rsidP="009A6FAC">
      <w:pPr>
        <w:spacing w:after="0" w:line="240" w:lineRule="auto"/>
      </w:pPr>
      <w:r>
        <w:separator/>
      </w:r>
    </w:p>
  </w:endnote>
  <w:endnote w:type="continuationSeparator" w:id="0">
    <w:p w14:paraId="241F9925" w14:textId="77777777" w:rsidR="004903BA" w:rsidRDefault="004903BA" w:rsidP="009A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DF73" w14:textId="77777777" w:rsidR="004903BA" w:rsidRDefault="004903BA" w:rsidP="009A6FAC">
      <w:pPr>
        <w:spacing w:after="0" w:line="240" w:lineRule="auto"/>
      </w:pPr>
      <w:r>
        <w:separator/>
      </w:r>
    </w:p>
  </w:footnote>
  <w:footnote w:type="continuationSeparator" w:id="0">
    <w:p w14:paraId="476EB153" w14:textId="77777777" w:rsidR="004903BA" w:rsidRDefault="004903BA" w:rsidP="009A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ABEE" w14:textId="0E88133B" w:rsidR="009A6FAC" w:rsidRDefault="009A6FAC">
    <w:pPr>
      <w:pStyle w:val="En-tte"/>
    </w:pPr>
    <w:r>
      <w:rPr>
        <w:noProof/>
      </w:rPr>
      <mc:AlternateContent>
        <mc:Choice Requires="wps">
          <w:drawing>
            <wp:anchor distT="0" distB="0" distL="114300" distR="114300" simplePos="0" relativeHeight="251660288" behindDoc="0" locked="0" layoutInCell="0" allowOverlap="1" wp14:anchorId="1556671F" wp14:editId="2EBEDBF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0972F" w14:textId="75D831D5" w:rsidR="009A6FAC" w:rsidRPr="009A6FAC" w:rsidRDefault="009A6FAC">
                          <w:pPr>
                            <w:spacing w:after="0" w:line="240" w:lineRule="auto"/>
                            <w:jc w:val="right"/>
                            <w:rPr>
                              <w:lang w:val="fr-BE"/>
                            </w:rPr>
                          </w:pPr>
                          <w:r>
                            <w:rPr>
                              <w:lang w:val="fr-BE"/>
                            </w:rPr>
                            <w:t xml:space="preserve">BBBC </w:t>
                          </w:r>
                          <w:proofErr w:type="spellStart"/>
                          <w:r>
                            <w:rPr>
                              <w:lang w:val="fr-BE"/>
                            </w:rPr>
                            <w:t>specifieke</w:t>
                          </w:r>
                          <w:proofErr w:type="spellEnd"/>
                          <w:r>
                            <w:rPr>
                              <w:lang w:val="fr-BE"/>
                            </w:rPr>
                            <w:t xml:space="preserve"> FAQ</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556671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1C0972F" w14:textId="75D831D5" w:rsidR="009A6FAC" w:rsidRPr="009A6FAC" w:rsidRDefault="009A6FAC">
                    <w:pPr>
                      <w:spacing w:after="0" w:line="240" w:lineRule="auto"/>
                      <w:jc w:val="right"/>
                      <w:rPr>
                        <w:lang w:val="fr-BE"/>
                      </w:rPr>
                    </w:pPr>
                    <w:r>
                      <w:rPr>
                        <w:lang w:val="fr-BE"/>
                      </w:rPr>
                      <w:t xml:space="preserve">BBBC </w:t>
                    </w:r>
                    <w:proofErr w:type="spellStart"/>
                    <w:r>
                      <w:rPr>
                        <w:lang w:val="fr-BE"/>
                      </w:rPr>
                      <w:t>specifieke</w:t>
                    </w:r>
                    <w:proofErr w:type="spellEnd"/>
                    <w:r>
                      <w:rPr>
                        <w:lang w:val="fr-BE"/>
                      </w:rPr>
                      <w:t xml:space="preserve"> FAQ</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B08718F" wp14:editId="3DF95FF4">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BBCFF28" w14:textId="77777777" w:rsidR="009A6FAC" w:rsidRDefault="009A6FAC">
                          <w:pPr>
                            <w:spacing w:after="0" w:line="240" w:lineRule="auto"/>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B08718F"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5BBCFF28" w14:textId="77777777" w:rsidR="009A6FAC" w:rsidRDefault="009A6FAC">
                    <w:pPr>
                      <w:spacing w:after="0" w:line="240" w:lineRule="auto"/>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335"/>
    <w:multiLevelType w:val="hybridMultilevel"/>
    <w:tmpl w:val="709A2EC6"/>
    <w:lvl w:ilvl="0" w:tplc="FA9277C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2F52FE"/>
    <w:multiLevelType w:val="hybridMultilevel"/>
    <w:tmpl w:val="7B0864E0"/>
    <w:lvl w:ilvl="0" w:tplc="FA9277C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B55FF4"/>
    <w:multiLevelType w:val="hybridMultilevel"/>
    <w:tmpl w:val="C164C0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E7B75"/>
    <w:multiLevelType w:val="hybridMultilevel"/>
    <w:tmpl w:val="C164C0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FD2A7E"/>
    <w:multiLevelType w:val="hybridMultilevel"/>
    <w:tmpl w:val="52143E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25283A"/>
    <w:multiLevelType w:val="hybridMultilevel"/>
    <w:tmpl w:val="F336FFD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F0A74AF"/>
    <w:multiLevelType w:val="hybridMultilevel"/>
    <w:tmpl w:val="4CEEC672"/>
    <w:lvl w:ilvl="0" w:tplc="FA9277C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133C70"/>
    <w:multiLevelType w:val="hybridMultilevel"/>
    <w:tmpl w:val="35A08BD2"/>
    <w:lvl w:ilvl="0" w:tplc="0886709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AA"/>
    <w:rsid w:val="00071287"/>
    <w:rsid w:val="000B3021"/>
    <w:rsid w:val="000F4E45"/>
    <w:rsid w:val="0013241C"/>
    <w:rsid w:val="00142810"/>
    <w:rsid w:val="001970EE"/>
    <w:rsid w:val="001A17D6"/>
    <w:rsid w:val="001C7B98"/>
    <w:rsid w:val="00201306"/>
    <w:rsid w:val="00215CC0"/>
    <w:rsid w:val="002207C6"/>
    <w:rsid w:val="002459EB"/>
    <w:rsid w:val="002517D0"/>
    <w:rsid w:val="00267D0A"/>
    <w:rsid w:val="002830E4"/>
    <w:rsid w:val="00291A2F"/>
    <w:rsid w:val="002A0C10"/>
    <w:rsid w:val="002D34E0"/>
    <w:rsid w:val="0031570D"/>
    <w:rsid w:val="003A0954"/>
    <w:rsid w:val="0041555C"/>
    <w:rsid w:val="00436606"/>
    <w:rsid w:val="004903BA"/>
    <w:rsid w:val="00492031"/>
    <w:rsid w:val="004B286E"/>
    <w:rsid w:val="005210F6"/>
    <w:rsid w:val="005D0E96"/>
    <w:rsid w:val="005D2221"/>
    <w:rsid w:val="005E49B6"/>
    <w:rsid w:val="00627F74"/>
    <w:rsid w:val="006B2D94"/>
    <w:rsid w:val="006C11FE"/>
    <w:rsid w:val="0070673B"/>
    <w:rsid w:val="0076399A"/>
    <w:rsid w:val="00777979"/>
    <w:rsid w:val="007920FA"/>
    <w:rsid w:val="007E37BD"/>
    <w:rsid w:val="007F1D4E"/>
    <w:rsid w:val="00856A6B"/>
    <w:rsid w:val="00865530"/>
    <w:rsid w:val="008877E2"/>
    <w:rsid w:val="008E7D2A"/>
    <w:rsid w:val="00935403"/>
    <w:rsid w:val="0094213E"/>
    <w:rsid w:val="00977EAC"/>
    <w:rsid w:val="009A6FAC"/>
    <w:rsid w:val="009D107A"/>
    <w:rsid w:val="00A17ECD"/>
    <w:rsid w:val="00A60E3C"/>
    <w:rsid w:val="00A646DC"/>
    <w:rsid w:val="00AC256F"/>
    <w:rsid w:val="00B66032"/>
    <w:rsid w:val="00BD7440"/>
    <w:rsid w:val="00BE51B1"/>
    <w:rsid w:val="00BE6F5F"/>
    <w:rsid w:val="00BF6C69"/>
    <w:rsid w:val="00C001AA"/>
    <w:rsid w:val="00C5475A"/>
    <w:rsid w:val="00C90A07"/>
    <w:rsid w:val="00D17AA3"/>
    <w:rsid w:val="00D365AA"/>
    <w:rsid w:val="00D67E7F"/>
    <w:rsid w:val="00DE3DA1"/>
    <w:rsid w:val="00DF7AF8"/>
    <w:rsid w:val="00EB462A"/>
    <w:rsid w:val="00EC1A48"/>
    <w:rsid w:val="00EC2C56"/>
    <w:rsid w:val="00EC596A"/>
    <w:rsid w:val="00F02558"/>
    <w:rsid w:val="00F6499A"/>
    <w:rsid w:val="00F81538"/>
    <w:rsid w:val="00FB018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A0C5"/>
  <w15:chartTrackingRefBased/>
  <w15:docId w15:val="{5AE0729C-7B61-4536-820B-BEE9315E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art">
    <w:name w:val="ti-art"/>
    <w:basedOn w:val="Normal"/>
    <w:rsid w:val="00D365A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i-art">
    <w:name w:val="sti-art"/>
    <w:basedOn w:val="Normal"/>
    <w:rsid w:val="00D365A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Normal1">
    <w:name w:val="Normal1"/>
    <w:basedOn w:val="Normal"/>
    <w:rsid w:val="00D365A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C001AA"/>
    <w:rPr>
      <w:color w:val="0000FF"/>
      <w:u w:val="single"/>
    </w:rPr>
  </w:style>
  <w:style w:type="character" w:styleId="Mentionnonrsolue">
    <w:name w:val="Unresolved Mention"/>
    <w:basedOn w:val="Policepardfaut"/>
    <w:uiPriority w:val="99"/>
    <w:semiHidden/>
    <w:unhideWhenUsed/>
    <w:rsid w:val="006B2D94"/>
    <w:rPr>
      <w:color w:val="605E5C"/>
      <w:shd w:val="clear" w:color="auto" w:fill="E1DFDD"/>
    </w:rPr>
  </w:style>
  <w:style w:type="character" w:styleId="Marquedecommentaire">
    <w:name w:val="annotation reference"/>
    <w:basedOn w:val="Policepardfaut"/>
    <w:uiPriority w:val="99"/>
    <w:semiHidden/>
    <w:unhideWhenUsed/>
    <w:rsid w:val="00BE51B1"/>
    <w:rPr>
      <w:sz w:val="16"/>
      <w:szCs w:val="16"/>
    </w:rPr>
  </w:style>
  <w:style w:type="paragraph" w:styleId="Commentaire">
    <w:name w:val="annotation text"/>
    <w:basedOn w:val="Normal"/>
    <w:link w:val="CommentaireCar"/>
    <w:uiPriority w:val="99"/>
    <w:semiHidden/>
    <w:unhideWhenUsed/>
    <w:rsid w:val="00BE51B1"/>
    <w:pPr>
      <w:spacing w:line="240" w:lineRule="auto"/>
    </w:pPr>
    <w:rPr>
      <w:sz w:val="20"/>
      <w:szCs w:val="20"/>
    </w:rPr>
  </w:style>
  <w:style w:type="character" w:customStyle="1" w:styleId="CommentaireCar">
    <w:name w:val="Commentaire Car"/>
    <w:basedOn w:val="Policepardfaut"/>
    <w:link w:val="Commentaire"/>
    <w:uiPriority w:val="99"/>
    <w:semiHidden/>
    <w:rsid w:val="00BE51B1"/>
    <w:rPr>
      <w:sz w:val="20"/>
      <w:szCs w:val="20"/>
    </w:rPr>
  </w:style>
  <w:style w:type="paragraph" w:styleId="Objetducommentaire">
    <w:name w:val="annotation subject"/>
    <w:basedOn w:val="Commentaire"/>
    <w:next w:val="Commentaire"/>
    <w:link w:val="ObjetducommentaireCar"/>
    <w:uiPriority w:val="99"/>
    <w:semiHidden/>
    <w:unhideWhenUsed/>
    <w:rsid w:val="00BE51B1"/>
    <w:rPr>
      <w:b/>
      <w:bCs/>
    </w:rPr>
  </w:style>
  <w:style w:type="character" w:customStyle="1" w:styleId="ObjetducommentaireCar">
    <w:name w:val="Objet du commentaire Car"/>
    <w:basedOn w:val="CommentaireCar"/>
    <w:link w:val="Objetducommentaire"/>
    <w:uiPriority w:val="99"/>
    <w:semiHidden/>
    <w:rsid w:val="00BE51B1"/>
    <w:rPr>
      <w:b/>
      <w:bCs/>
      <w:sz w:val="20"/>
      <w:szCs w:val="20"/>
    </w:rPr>
  </w:style>
  <w:style w:type="paragraph" w:styleId="Paragraphedeliste">
    <w:name w:val="List Paragraph"/>
    <w:basedOn w:val="Normal"/>
    <w:uiPriority w:val="34"/>
    <w:qFormat/>
    <w:rsid w:val="00777979"/>
    <w:pPr>
      <w:ind w:left="720"/>
      <w:contextualSpacing/>
    </w:pPr>
  </w:style>
  <w:style w:type="paragraph" w:styleId="En-tte">
    <w:name w:val="header"/>
    <w:basedOn w:val="Normal"/>
    <w:link w:val="En-tteCar"/>
    <w:uiPriority w:val="99"/>
    <w:unhideWhenUsed/>
    <w:rsid w:val="009A6FAC"/>
    <w:pPr>
      <w:tabs>
        <w:tab w:val="center" w:pos="4680"/>
        <w:tab w:val="right" w:pos="9360"/>
      </w:tabs>
      <w:spacing w:after="0" w:line="240" w:lineRule="auto"/>
    </w:pPr>
  </w:style>
  <w:style w:type="character" w:customStyle="1" w:styleId="En-tteCar">
    <w:name w:val="En-tête Car"/>
    <w:basedOn w:val="Policepardfaut"/>
    <w:link w:val="En-tte"/>
    <w:uiPriority w:val="99"/>
    <w:rsid w:val="009A6FAC"/>
  </w:style>
  <w:style w:type="paragraph" w:styleId="Pieddepage">
    <w:name w:val="footer"/>
    <w:basedOn w:val="Normal"/>
    <w:link w:val="PieddepageCar"/>
    <w:uiPriority w:val="99"/>
    <w:unhideWhenUsed/>
    <w:rsid w:val="009A6FA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A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9013">
      <w:bodyDiv w:val="1"/>
      <w:marLeft w:val="0"/>
      <w:marRight w:val="0"/>
      <w:marTop w:val="0"/>
      <w:marBottom w:val="0"/>
      <w:divBdr>
        <w:top w:val="none" w:sz="0" w:space="0" w:color="auto"/>
        <w:left w:val="none" w:sz="0" w:space="0" w:color="auto"/>
        <w:bottom w:val="none" w:sz="0" w:space="0" w:color="auto"/>
        <w:right w:val="none" w:sz="0" w:space="0" w:color="auto"/>
      </w:divBdr>
    </w:div>
    <w:div w:id="450979625">
      <w:bodyDiv w:val="1"/>
      <w:marLeft w:val="0"/>
      <w:marRight w:val="0"/>
      <w:marTop w:val="0"/>
      <w:marBottom w:val="0"/>
      <w:divBdr>
        <w:top w:val="none" w:sz="0" w:space="0" w:color="auto"/>
        <w:left w:val="none" w:sz="0" w:space="0" w:color="auto"/>
        <w:bottom w:val="none" w:sz="0" w:space="0" w:color="auto"/>
        <w:right w:val="none" w:sz="0" w:space="0" w:color="auto"/>
      </w:divBdr>
    </w:div>
    <w:div w:id="458426318">
      <w:bodyDiv w:val="1"/>
      <w:marLeft w:val="0"/>
      <w:marRight w:val="0"/>
      <w:marTop w:val="0"/>
      <w:marBottom w:val="0"/>
      <w:divBdr>
        <w:top w:val="none" w:sz="0" w:space="0" w:color="auto"/>
        <w:left w:val="none" w:sz="0" w:space="0" w:color="auto"/>
        <w:bottom w:val="none" w:sz="0" w:space="0" w:color="auto"/>
        <w:right w:val="none" w:sz="0" w:space="0" w:color="auto"/>
      </w:divBdr>
    </w:div>
    <w:div w:id="496923420">
      <w:bodyDiv w:val="1"/>
      <w:marLeft w:val="0"/>
      <w:marRight w:val="0"/>
      <w:marTop w:val="0"/>
      <w:marBottom w:val="0"/>
      <w:divBdr>
        <w:top w:val="none" w:sz="0" w:space="0" w:color="auto"/>
        <w:left w:val="none" w:sz="0" w:space="0" w:color="auto"/>
        <w:bottom w:val="none" w:sz="0" w:space="0" w:color="auto"/>
        <w:right w:val="none" w:sz="0" w:space="0" w:color="auto"/>
      </w:divBdr>
    </w:div>
    <w:div w:id="605385179">
      <w:bodyDiv w:val="1"/>
      <w:marLeft w:val="0"/>
      <w:marRight w:val="0"/>
      <w:marTop w:val="0"/>
      <w:marBottom w:val="0"/>
      <w:divBdr>
        <w:top w:val="none" w:sz="0" w:space="0" w:color="auto"/>
        <w:left w:val="none" w:sz="0" w:space="0" w:color="auto"/>
        <w:bottom w:val="none" w:sz="0" w:space="0" w:color="auto"/>
        <w:right w:val="none" w:sz="0" w:space="0" w:color="auto"/>
      </w:divBdr>
    </w:div>
    <w:div w:id="889608355">
      <w:bodyDiv w:val="1"/>
      <w:marLeft w:val="0"/>
      <w:marRight w:val="0"/>
      <w:marTop w:val="0"/>
      <w:marBottom w:val="0"/>
      <w:divBdr>
        <w:top w:val="none" w:sz="0" w:space="0" w:color="auto"/>
        <w:left w:val="none" w:sz="0" w:space="0" w:color="auto"/>
        <w:bottom w:val="none" w:sz="0" w:space="0" w:color="auto"/>
        <w:right w:val="none" w:sz="0" w:space="0" w:color="auto"/>
      </w:divBdr>
    </w:div>
    <w:div w:id="936135085">
      <w:bodyDiv w:val="1"/>
      <w:marLeft w:val="0"/>
      <w:marRight w:val="0"/>
      <w:marTop w:val="0"/>
      <w:marBottom w:val="0"/>
      <w:divBdr>
        <w:top w:val="none" w:sz="0" w:space="0" w:color="auto"/>
        <w:left w:val="none" w:sz="0" w:space="0" w:color="auto"/>
        <w:bottom w:val="none" w:sz="0" w:space="0" w:color="auto"/>
        <w:right w:val="none" w:sz="0" w:space="0" w:color="auto"/>
      </w:divBdr>
    </w:div>
    <w:div w:id="1364936957">
      <w:bodyDiv w:val="1"/>
      <w:marLeft w:val="0"/>
      <w:marRight w:val="0"/>
      <w:marTop w:val="0"/>
      <w:marBottom w:val="0"/>
      <w:divBdr>
        <w:top w:val="none" w:sz="0" w:space="0" w:color="auto"/>
        <w:left w:val="none" w:sz="0" w:space="0" w:color="auto"/>
        <w:bottom w:val="none" w:sz="0" w:space="0" w:color="auto"/>
        <w:right w:val="none" w:sz="0" w:space="0" w:color="auto"/>
      </w:divBdr>
    </w:div>
    <w:div w:id="1546675743">
      <w:bodyDiv w:val="1"/>
      <w:marLeft w:val="0"/>
      <w:marRight w:val="0"/>
      <w:marTop w:val="0"/>
      <w:marBottom w:val="0"/>
      <w:divBdr>
        <w:top w:val="none" w:sz="0" w:space="0" w:color="auto"/>
        <w:left w:val="none" w:sz="0" w:space="0" w:color="auto"/>
        <w:bottom w:val="none" w:sz="0" w:space="0" w:color="auto"/>
        <w:right w:val="none" w:sz="0" w:space="0" w:color="auto"/>
      </w:divBdr>
    </w:div>
    <w:div w:id="1884557387">
      <w:bodyDiv w:val="1"/>
      <w:marLeft w:val="0"/>
      <w:marRight w:val="0"/>
      <w:marTop w:val="0"/>
      <w:marBottom w:val="0"/>
      <w:divBdr>
        <w:top w:val="none" w:sz="0" w:space="0" w:color="auto"/>
        <w:left w:val="none" w:sz="0" w:space="0" w:color="auto"/>
        <w:bottom w:val="none" w:sz="0" w:space="0" w:color="auto"/>
        <w:right w:val="none" w:sz="0" w:space="0" w:color="auto"/>
      </w:divBdr>
    </w:div>
    <w:div w:id="2069915384">
      <w:bodyDiv w:val="1"/>
      <w:marLeft w:val="0"/>
      <w:marRight w:val="0"/>
      <w:marTop w:val="0"/>
      <w:marBottom w:val="0"/>
      <w:divBdr>
        <w:top w:val="none" w:sz="0" w:space="0" w:color="auto"/>
        <w:left w:val="none" w:sz="0" w:space="0" w:color="auto"/>
        <w:bottom w:val="none" w:sz="0" w:space="0" w:color="auto"/>
        <w:right w:val="none" w:sz="0" w:space="0" w:color="auto"/>
      </w:divBdr>
      <w:divsChild>
        <w:div w:id="1122193813">
          <w:marLeft w:val="0"/>
          <w:marRight w:val="0"/>
          <w:marTop w:val="0"/>
          <w:marBottom w:val="0"/>
          <w:divBdr>
            <w:top w:val="none" w:sz="0" w:space="0" w:color="auto"/>
            <w:left w:val="none" w:sz="0" w:space="0" w:color="auto"/>
            <w:bottom w:val="none" w:sz="0" w:space="0" w:color="auto"/>
            <w:right w:val="none" w:sz="0" w:space="0" w:color="auto"/>
          </w:divBdr>
        </w:div>
        <w:div w:id="185611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lex.europa.eu/legal-content/NL/TXT/?uri=celex%3A32014R06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belgium.be/nl/bbbc-formulier-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lex.europa.eu/legal-content/NL/TXT/?uri=celex%3A32014R06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0F638F7CAFA408AEB5902C4759182" ma:contentTypeVersion="6" ma:contentTypeDescription="Create a new document." ma:contentTypeScope="" ma:versionID="f17a16bf2ca0806b8476ae9406d994de">
  <xsd:schema xmlns:xsd="http://www.w3.org/2001/XMLSchema" xmlns:xs="http://www.w3.org/2001/XMLSchema" xmlns:p="http://schemas.microsoft.com/office/2006/metadata/properties" xmlns:ns2="ca1e7bc8-7e3a-4ba5-a5f0-4b2c9da814b9" xmlns:ns3="ca39d687-71af-4730-8a70-e66798ca3dc2" targetNamespace="http://schemas.microsoft.com/office/2006/metadata/properties" ma:root="true" ma:fieldsID="5d2eadf37c8b2c925fd34de938c4d512" ns2:_="" ns3:_="">
    <xsd:import namespace="ca1e7bc8-7e3a-4ba5-a5f0-4b2c9da814b9"/>
    <xsd:import namespace="ca39d687-71af-4730-8a70-e66798ca3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7bc8-7e3a-4ba5-a5f0-4b2c9da8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9d687-71af-4730-8a70-e66798ca3d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2A0F6-3C2F-464C-8A23-7B57DEF1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7bc8-7e3a-4ba5-a5f0-4b2c9da814b9"/>
    <ds:schemaRef ds:uri="ca39d687-71af-4730-8a70-e66798ca3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AC8D0-ADF1-4906-901F-CC9A229DABE9}">
  <ds:schemaRefs>
    <ds:schemaRef ds:uri="http://schemas.microsoft.com/sharepoint/v3/contenttype/forms"/>
  </ds:schemaRefs>
</ds:datastoreItem>
</file>

<file path=customXml/itemProps3.xml><?xml version="1.0" encoding="utf-8"?>
<ds:datastoreItem xmlns:ds="http://schemas.openxmlformats.org/officeDocument/2006/customXml" ds:itemID="{BA884017-075F-443F-A001-B0588C335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2510</Words>
  <Characters>13809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Chavanne (SPF Santé Publique - FOD Volksgezondheid)</dc:creator>
  <cp:keywords/>
  <dc:description/>
  <cp:lastModifiedBy>Alma Titoric (SPF Santé Publique - FOD Volksgezondheid)</cp:lastModifiedBy>
  <cp:revision>20</cp:revision>
  <dcterms:created xsi:type="dcterms:W3CDTF">2022-07-19T08:03:00Z</dcterms:created>
  <dcterms:modified xsi:type="dcterms:W3CDTF">2022-10-20T14:47:00Z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0x0101007D50F638F7CAFA408AEB5902C4759182</vt:lpwstr>
  </property>
</Properties>
</file>