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1C605" w14:textId="77777777" w:rsidR="00DB55E5" w:rsidRPr="00BD15C9" w:rsidRDefault="00DB55E5" w:rsidP="00DB55E5">
      <w:pPr>
        <w:pStyle w:val="Titre"/>
        <w:jc w:val="center"/>
        <w:rPr>
          <w:b/>
          <w:lang w:val="fr-FR"/>
        </w:rPr>
      </w:pPr>
    </w:p>
    <w:p w14:paraId="05169E70" w14:textId="77777777" w:rsidR="00DB55E5" w:rsidRPr="00BD15C9" w:rsidRDefault="00DB55E5" w:rsidP="00DB55E5">
      <w:pPr>
        <w:pStyle w:val="Titre"/>
        <w:jc w:val="center"/>
        <w:rPr>
          <w:b/>
          <w:lang w:val="fr-FR"/>
        </w:rPr>
      </w:pPr>
      <w:r w:rsidRPr="00BD15C9">
        <w:rPr>
          <w:b/>
          <w:lang w:val="fr-FR"/>
        </w:rPr>
        <w:t>L'enregistrement des substances</w:t>
      </w:r>
    </w:p>
    <w:p w14:paraId="4FC8E263" w14:textId="77777777" w:rsidR="00DB55E5" w:rsidRPr="00BD15C9" w:rsidRDefault="00DB55E5" w:rsidP="00DB55E5">
      <w:pPr>
        <w:pStyle w:val="Titre"/>
        <w:jc w:val="center"/>
        <w:rPr>
          <w:b/>
          <w:lang w:val="fr-FR"/>
        </w:rPr>
      </w:pPr>
      <w:r w:rsidRPr="00BD15C9">
        <w:rPr>
          <w:b/>
          <w:lang w:val="fr-FR"/>
        </w:rPr>
        <w:t>manufacturées à l'état nanoparticulaire</w:t>
      </w:r>
    </w:p>
    <w:p w14:paraId="68A1D68A" w14:textId="77777777" w:rsidR="00DB55E5" w:rsidRPr="00BD15C9" w:rsidRDefault="00DB55E5" w:rsidP="00DB55E5">
      <w:pPr>
        <w:rPr>
          <w:b/>
          <w:lang w:val="fr-FR"/>
        </w:rPr>
      </w:pPr>
    </w:p>
    <w:p w14:paraId="23B05F86" w14:textId="69203E71" w:rsidR="00DB55E5" w:rsidRPr="00BD15C9" w:rsidRDefault="00DB55E5" w:rsidP="00DB55E5">
      <w:pPr>
        <w:pStyle w:val="Titre"/>
        <w:jc w:val="center"/>
        <w:rPr>
          <w:b/>
          <w:lang w:val="fr-FR"/>
        </w:rPr>
      </w:pPr>
      <w:r w:rsidRPr="00BD15C9">
        <w:rPr>
          <w:b/>
          <w:lang w:val="fr-FR"/>
        </w:rPr>
        <w:t>AR 27 mai 2014</w:t>
      </w:r>
      <w:r w:rsidR="00822007">
        <w:rPr>
          <w:b/>
          <w:lang w:val="fr-FR"/>
        </w:rPr>
        <w:t xml:space="preserve"> / 22 </w:t>
      </w:r>
      <w:r w:rsidR="00C9360A">
        <w:rPr>
          <w:b/>
          <w:lang w:val="fr-FR"/>
        </w:rPr>
        <w:t>décembre</w:t>
      </w:r>
      <w:r w:rsidR="00822007">
        <w:rPr>
          <w:b/>
          <w:lang w:val="fr-FR"/>
        </w:rPr>
        <w:t xml:space="preserve"> 2017</w:t>
      </w:r>
    </w:p>
    <w:p w14:paraId="404D6707" w14:textId="77777777" w:rsidR="00DB55E5" w:rsidRPr="00BD15C9" w:rsidRDefault="00DB55E5">
      <w:pPr>
        <w:rPr>
          <w:lang w:val="fr-FR"/>
        </w:rPr>
      </w:pPr>
    </w:p>
    <w:p w14:paraId="7C2AF69A" w14:textId="567EE502" w:rsidR="00DB55E5" w:rsidRPr="00BD15C9" w:rsidRDefault="00402350" w:rsidP="00DB55E5">
      <w:pPr>
        <w:rPr>
          <w:lang w:val="fr-FR"/>
        </w:rPr>
      </w:pPr>
      <w:r w:rsidRPr="00BD15C9">
        <w:rPr>
          <w:noProof/>
          <w:lang w:val="en-GB" w:eastAsia="en-GB"/>
        </w:rPr>
        <w:drawing>
          <wp:inline distT="0" distB="0" distL="0" distR="0" wp14:anchorId="5D246ECB" wp14:editId="239FEF9E">
            <wp:extent cx="5943600" cy="1447165"/>
            <wp:effectExtent l="0" t="0" r="0" b="63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447165"/>
                    </a:xfrm>
                    <a:prstGeom prst="rect">
                      <a:avLst/>
                    </a:prstGeom>
                  </pic:spPr>
                </pic:pic>
              </a:graphicData>
            </a:graphic>
          </wp:inline>
        </w:drawing>
      </w:r>
    </w:p>
    <w:p w14:paraId="01066C3F" w14:textId="77777777" w:rsidR="00402350" w:rsidRPr="00BD15C9" w:rsidRDefault="00402350" w:rsidP="00DB55E5">
      <w:pPr>
        <w:rPr>
          <w:lang w:val="fr-FR"/>
        </w:rPr>
      </w:pPr>
    </w:p>
    <w:p w14:paraId="17437EE3" w14:textId="77777777" w:rsidR="00806AFE" w:rsidRPr="00BD15C9" w:rsidRDefault="00806AFE" w:rsidP="00806AFE">
      <w:pPr>
        <w:pStyle w:val="Titre"/>
        <w:jc w:val="center"/>
        <w:rPr>
          <w:lang w:val="fr-FR"/>
        </w:rPr>
      </w:pPr>
      <w:r w:rsidRPr="00BD15C9">
        <w:rPr>
          <w:lang w:val="fr-FR"/>
        </w:rPr>
        <w:t>RAPPORT ANNUEL</w:t>
      </w:r>
    </w:p>
    <w:p w14:paraId="13679792" w14:textId="77777777" w:rsidR="00806AFE" w:rsidRPr="00BD15C9" w:rsidRDefault="00806AFE" w:rsidP="00806AFE">
      <w:pPr>
        <w:rPr>
          <w:lang w:val="fr-FR"/>
        </w:rPr>
      </w:pPr>
    </w:p>
    <w:p w14:paraId="082E6BFF" w14:textId="4403D5C4" w:rsidR="00806AFE" w:rsidRPr="00BD15C9" w:rsidRDefault="00806AFE" w:rsidP="00806AFE">
      <w:pPr>
        <w:pStyle w:val="Titre"/>
        <w:jc w:val="center"/>
        <w:rPr>
          <w:lang w:val="fr-FR"/>
        </w:rPr>
      </w:pPr>
      <w:r w:rsidRPr="00BD15C9">
        <w:rPr>
          <w:lang w:val="fr-FR"/>
        </w:rPr>
        <w:t>Année de commerce 20</w:t>
      </w:r>
      <w:r w:rsidR="00DE69AE">
        <w:rPr>
          <w:lang w:val="fr-FR"/>
        </w:rPr>
        <w:t>20</w:t>
      </w:r>
    </w:p>
    <w:p w14:paraId="77F1D2B3" w14:textId="77777777" w:rsidR="00DB55E5" w:rsidRPr="00BD15C9" w:rsidRDefault="00DB55E5" w:rsidP="00DB55E5">
      <w:pPr>
        <w:rPr>
          <w:lang w:val="fr-FR"/>
        </w:rPr>
      </w:pPr>
    </w:p>
    <w:p w14:paraId="132D1EA8" w14:textId="77777777" w:rsidR="00DB55E5" w:rsidRPr="00BD15C9" w:rsidRDefault="00DB55E5" w:rsidP="00DB55E5">
      <w:pPr>
        <w:ind w:left="2410" w:firstLine="720"/>
        <w:rPr>
          <w:lang w:val="fr-FR"/>
        </w:rPr>
      </w:pPr>
      <w:r w:rsidRPr="00BD15C9">
        <w:rPr>
          <w:rFonts w:ascii="Lato" w:hAnsi="Lato"/>
          <w:noProof/>
          <w:color w:val="000000"/>
          <w:lang w:val="en-GB" w:eastAsia="en-GB"/>
        </w:rPr>
        <w:drawing>
          <wp:inline distT="0" distB="0" distL="0" distR="0" wp14:anchorId="2C888E0D" wp14:editId="0DBE5B26">
            <wp:extent cx="2099310" cy="946150"/>
            <wp:effectExtent l="0" t="0" r="0" b="6350"/>
            <wp:docPr id="27" name="Afbeelding 27" descr="https://www.health.belgium.be/sites/default/files/nanoregistry_button.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health.belgium.be/sites/default/files/nanoregistry_button.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9310" cy="946150"/>
                    </a:xfrm>
                    <a:prstGeom prst="rect">
                      <a:avLst/>
                    </a:prstGeom>
                    <a:noFill/>
                    <a:ln>
                      <a:noFill/>
                    </a:ln>
                  </pic:spPr>
                </pic:pic>
              </a:graphicData>
            </a:graphic>
          </wp:inline>
        </w:drawing>
      </w:r>
    </w:p>
    <w:p w14:paraId="44FDCFCC" w14:textId="77777777" w:rsidR="00DB55E5" w:rsidRPr="00BD15C9" w:rsidRDefault="00DB55E5" w:rsidP="00DB55E5">
      <w:pPr>
        <w:rPr>
          <w:lang w:val="fr-FR"/>
        </w:rPr>
      </w:pPr>
      <w:r w:rsidRPr="00BD15C9">
        <w:rPr>
          <w:lang w:val="fr-FR"/>
        </w:rPr>
        <w:br w:type="page"/>
      </w:r>
    </w:p>
    <w:p w14:paraId="5819AADC" w14:textId="77777777" w:rsidR="00DB55E5" w:rsidRPr="00BD15C9" w:rsidRDefault="00DB55E5" w:rsidP="00DB55E5">
      <w:pPr>
        <w:ind w:left="2410" w:firstLine="720"/>
        <w:rPr>
          <w:lang w:val="fr-FR"/>
        </w:rPr>
      </w:pPr>
    </w:p>
    <w:bookmarkStart w:id="0" w:name="_Toc76034141" w:displacedByCustomXml="next"/>
    <w:sdt>
      <w:sdtPr>
        <w:rPr>
          <w:rFonts w:asciiTheme="minorHAnsi" w:eastAsiaTheme="minorHAnsi" w:hAnsiTheme="minorHAnsi" w:cstheme="minorBidi"/>
          <w:color w:val="auto"/>
          <w:sz w:val="22"/>
          <w:szCs w:val="22"/>
          <w:lang w:val="fr-FR"/>
        </w:rPr>
        <w:id w:val="-1276095005"/>
        <w:docPartObj>
          <w:docPartGallery w:val="Table of Contents"/>
          <w:docPartUnique/>
        </w:docPartObj>
      </w:sdtPr>
      <w:sdtEndPr>
        <w:rPr>
          <w:b/>
          <w:bCs/>
        </w:rPr>
      </w:sdtEndPr>
      <w:sdtContent>
        <w:p w14:paraId="40548548" w14:textId="77777777" w:rsidR="00144030" w:rsidRPr="00BD15C9" w:rsidRDefault="00144030" w:rsidP="002D7BBB">
          <w:pPr>
            <w:pStyle w:val="Titre1"/>
            <w:numPr>
              <w:ilvl w:val="0"/>
              <w:numId w:val="0"/>
            </w:numPr>
            <w:ind w:left="360" w:hanging="360"/>
            <w:rPr>
              <w:lang w:val="fr-FR"/>
            </w:rPr>
          </w:pPr>
          <w:r w:rsidRPr="00BD15C9">
            <w:rPr>
              <w:lang w:val="fr-FR"/>
            </w:rPr>
            <w:t>Tables des matières</w:t>
          </w:r>
          <w:bookmarkEnd w:id="0"/>
        </w:p>
        <w:p w14:paraId="099AB550" w14:textId="4261C7FE" w:rsidR="007F1FE2" w:rsidRDefault="00144030">
          <w:pPr>
            <w:pStyle w:val="TM1"/>
            <w:tabs>
              <w:tab w:val="right" w:leader="dot" w:pos="9350"/>
            </w:tabs>
            <w:rPr>
              <w:rFonts w:cstheme="minorBidi"/>
              <w:noProof/>
              <w:lang w:val="fr-BE" w:eastAsia="fr-BE"/>
            </w:rPr>
          </w:pPr>
          <w:r w:rsidRPr="00BD15C9">
            <w:rPr>
              <w:lang w:val="fr-FR"/>
            </w:rPr>
            <w:fldChar w:fldCharType="begin"/>
          </w:r>
          <w:r w:rsidRPr="00BD15C9">
            <w:rPr>
              <w:lang w:val="fr-FR"/>
            </w:rPr>
            <w:instrText xml:space="preserve"> TOC \o "1-3" \h \z \u </w:instrText>
          </w:r>
          <w:r w:rsidRPr="00BD15C9">
            <w:rPr>
              <w:lang w:val="fr-FR"/>
            </w:rPr>
            <w:fldChar w:fldCharType="separate"/>
          </w:r>
          <w:hyperlink w:anchor="_Toc76034141" w:history="1">
            <w:r w:rsidR="007F1FE2" w:rsidRPr="00C753FD">
              <w:rPr>
                <w:rStyle w:val="Lienhypertexte"/>
                <w:noProof/>
                <w:lang w:val="fr-FR"/>
              </w:rPr>
              <w:t>Tables des matières</w:t>
            </w:r>
            <w:r w:rsidR="007F1FE2">
              <w:rPr>
                <w:noProof/>
                <w:webHidden/>
              </w:rPr>
              <w:tab/>
            </w:r>
            <w:r w:rsidR="007F1FE2">
              <w:rPr>
                <w:noProof/>
                <w:webHidden/>
              </w:rPr>
              <w:fldChar w:fldCharType="begin"/>
            </w:r>
            <w:r w:rsidR="007F1FE2">
              <w:rPr>
                <w:noProof/>
                <w:webHidden/>
              </w:rPr>
              <w:instrText xml:space="preserve"> PAGEREF _Toc76034141 \h </w:instrText>
            </w:r>
            <w:r w:rsidR="007F1FE2">
              <w:rPr>
                <w:noProof/>
                <w:webHidden/>
              </w:rPr>
            </w:r>
            <w:r w:rsidR="007F1FE2">
              <w:rPr>
                <w:noProof/>
                <w:webHidden/>
              </w:rPr>
              <w:fldChar w:fldCharType="separate"/>
            </w:r>
            <w:r w:rsidR="007F1FE2">
              <w:rPr>
                <w:noProof/>
                <w:webHidden/>
              </w:rPr>
              <w:t>2</w:t>
            </w:r>
            <w:r w:rsidR="007F1FE2">
              <w:rPr>
                <w:noProof/>
                <w:webHidden/>
              </w:rPr>
              <w:fldChar w:fldCharType="end"/>
            </w:r>
          </w:hyperlink>
        </w:p>
        <w:p w14:paraId="0F2A6A33" w14:textId="06C3CBCA" w:rsidR="007F1FE2" w:rsidRDefault="007F1FE2">
          <w:pPr>
            <w:pStyle w:val="TM1"/>
            <w:tabs>
              <w:tab w:val="left" w:pos="440"/>
              <w:tab w:val="right" w:leader="dot" w:pos="9350"/>
            </w:tabs>
            <w:rPr>
              <w:rFonts w:cstheme="minorBidi"/>
              <w:noProof/>
              <w:lang w:val="fr-BE" w:eastAsia="fr-BE"/>
            </w:rPr>
          </w:pPr>
          <w:hyperlink w:anchor="_Toc76034142" w:history="1">
            <w:r w:rsidRPr="00C753FD">
              <w:rPr>
                <w:rStyle w:val="Lienhypertexte"/>
                <w:noProof/>
                <w:lang w:val="en-GB"/>
              </w:rPr>
              <w:t>1.</w:t>
            </w:r>
            <w:r>
              <w:rPr>
                <w:rFonts w:cstheme="minorBidi"/>
                <w:noProof/>
                <w:lang w:val="fr-BE" w:eastAsia="fr-BE"/>
              </w:rPr>
              <w:tab/>
            </w:r>
            <w:r w:rsidRPr="00C753FD">
              <w:rPr>
                <w:rStyle w:val="Lienhypertexte"/>
                <w:noProof/>
                <w:lang w:val="en-GB"/>
              </w:rPr>
              <w:t>Executive summary</w:t>
            </w:r>
            <w:r>
              <w:rPr>
                <w:noProof/>
                <w:webHidden/>
              </w:rPr>
              <w:tab/>
            </w:r>
            <w:r>
              <w:rPr>
                <w:noProof/>
                <w:webHidden/>
              </w:rPr>
              <w:fldChar w:fldCharType="begin"/>
            </w:r>
            <w:r>
              <w:rPr>
                <w:noProof/>
                <w:webHidden/>
              </w:rPr>
              <w:instrText xml:space="preserve"> PAGEREF _Toc76034142 \h </w:instrText>
            </w:r>
            <w:r>
              <w:rPr>
                <w:noProof/>
                <w:webHidden/>
              </w:rPr>
            </w:r>
            <w:r>
              <w:rPr>
                <w:noProof/>
                <w:webHidden/>
              </w:rPr>
              <w:fldChar w:fldCharType="separate"/>
            </w:r>
            <w:r>
              <w:rPr>
                <w:noProof/>
                <w:webHidden/>
              </w:rPr>
              <w:t>4</w:t>
            </w:r>
            <w:r>
              <w:rPr>
                <w:noProof/>
                <w:webHidden/>
              </w:rPr>
              <w:fldChar w:fldCharType="end"/>
            </w:r>
          </w:hyperlink>
        </w:p>
        <w:p w14:paraId="6938D97A" w14:textId="1B2976EA" w:rsidR="007F1FE2" w:rsidRDefault="007F1FE2">
          <w:pPr>
            <w:pStyle w:val="TM1"/>
            <w:tabs>
              <w:tab w:val="left" w:pos="440"/>
              <w:tab w:val="right" w:leader="dot" w:pos="9350"/>
            </w:tabs>
            <w:rPr>
              <w:rFonts w:cstheme="minorBidi"/>
              <w:noProof/>
              <w:lang w:val="fr-BE" w:eastAsia="fr-BE"/>
            </w:rPr>
          </w:pPr>
          <w:hyperlink w:anchor="_Toc76034143" w:history="1">
            <w:r w:rsidRPr="00C753FD">
              <w:rPr>
                <w:rStyle w:val="Lienhypertexte"/>
                <w:noProof/>
                <w:lang w:val="fr-FR"/>
              </w:rPr>
              <w:t>2.</w:t>
            </w:r>
            <w:r>
              <w:rPr>
                <w:rFonts w:cstheme="minorBidi"/>
                <w:noProof/>
                <w:lang w:val="fr-BE" w:eastAsia="fr-BE"/>
              </w:rPr>
              <w:tab/>
            </w:r>
            <w:r w:rsidRPr="00C753FD">
              <w:rPr>
                <w:rStyle w:val="Lienhypertexte"/>
                <w:noProof/>
              </w:rPr>
              <w:t>Nanomatériaux</w:t>
            </w:r>
            <w:r>
              <w:rPr>
                <w:noProof/>
                <w:webHidden/>
              </w:rPr>
              <w:tab/>
            </w:r>
            <w:r>
              <w:rPr>
                <w:noProof/>
                <w:webHidden/>
              </w:rPr>
              <w:fldChar w:fldCharType="begin"/>
            </w:r>
            <w:r>
              <w:rPr>
                <w:noProof/>
                <w:webHidden/>
              </w:rPr>
              <w:instrText xml:space="preserve"> PAGEREF _Toc76034143 \h </w:instrText>
            </w:r>
            <w:r>
              <w:rPr>
                <w:noProof/>
                <w:webHidden/>
              </w:rPr>
            </w:r>
            <w:r>
              <w:rPr>
                <w:noProof/>
                <w:webHidden/>
              </w:rPr>
              <w:fldChar w:fldCharType="separate"/>
            </w:r>
            <w:r>
              <w:rPr>
                <w:noProof/>
                <w:webHidden/>
              </w:rPr>
              <w:t>6</w:t>
            </w:r>
            <w:r>
              <w:rPr>
                <w:noProof/>
                <w:webHidden/>
              </w:rPr>
              <w:fldChar w:fldCharType="end"/>
            </w:r>
          </w:hyperlink>
        </w:p>
        <w:p w14:paraId="44FC0AF1" w14:textId="0C644F98" w:rsidR="007F1FE2" w:rsidRDefault="007F1FE2">
          <w:pPr>
            <w:pStyle w:val="TM2"/>
            <w:tabs>
              <w:tab w:val="left" w:pos="880"/>
              <w:tab w:val="right" w:leader="dot" w:pos="9350"/>
            </w:tabs>
            <w:rPr>
              <w:rFonts w:cstheme="minorBidi"/>
              <w:noProof/>
              <w:lang w:val="fr-BE" w:eastAsia="fr-BE"/>
            </w:rPr>
          </w:pPr>
          <w:hyperlink w:anchor="_Toc76034144" w:history="1">
            <w:r w:rsidRPr="00C753FD">
              <w:rPr>
                <w:rStyle w:val="Lienhypertexte"/>
                <w:noProof/>
              </w:rPr>
              <w:t>2.1.</w:t>
            </w:r>
            <w:r>
              <w:rPr>
                <w:rFonts w:cstheme="minorBidi"/>
                <w:noProof/>
                <w:lang w:val="fr-BE" w:eastAsia="fr-BE"/>
              </w:rPr>
              <w:tab/>
            </w:r>
            <w:r w:rsidRPr="00C753FD">
              <w:rPr>
                <w:rStyle w:val="Lienhypertexte"/>
                <w:noProof/>
              </w:rPr>
              <w:t>Qu'est-ce qu'un nanomatériau ?</w:t>
            </w:r>
            <w:r>
              <w:rPr>
                <w:noProof/>
                <w:webHidden/>
              </w:rPr>
              <w:tab/>
            </w:r>
            <w:r>
              <w:rPr>
                <w:noProof/>
                <w:webHidden/>
              </w:rPr>
              <w:fldChar w:fldCharType="begin"/>
            </w:r>
            <w:r>
              <w:rPr>
                <w:noProof/>
                <w:webHidden/>
              </w:rPr>
              <w:instrText xml:space="preserve"> PAGEREF _Toc76034144 \h </w:instrText>
            </w:r>
            <w:r>
              <w:rPr>
                <w:noProof/>
                <w:webHidden/>
              </w:rPr>
            </w:r>
            <w:r>
              <w:rPr>
                <w:noProof/>
                <w:webHidden/>
              </w:rPr>
              <w:fldChar w:fldCharType="separate"/>
            </w:r>
            <w:r>
              <w:rPr>
                <w:noProof/>
                <w:webHidden/>
              </w:rPr>
              <w:t>6</w:t>
            </w:r>
            <w:r>
              <w:rPr>
                <w:noProof/>
                <w:webHidden/>
              </w:rPr>
              <w:fldChar w:fldCharType="end"/>
            </w:r>
          </w:hyperlink>
        </w:p>
        <w:p w14:paraId="143C8F6D" w14:textId="11A77489" w:rsidR="007F1FE2" w:rsidRDefault="007F1FE2">
          <w:pPr>
            <w:pStyle w:val="TM2"/>
            <w:tabs>
              <w:tab w:val="left" w:pos="880"/>
              <w:tab w:val="right" w:leader="dot" w:pos="9350"/>
            </w:tabs>
            <w:rPr>
              <w:rFonts w:cstheme="minorBidi"/>
              <w:noProof/>
              <w:lang w:val="fr-BE" w:eastAsia="fr-BE"/>
            </w:rPr>
          </w:pPr>
          <w:hyperlink w:anchor="_Toc76034145" w:history="1">
            <w:r w:rsidRPr="00C753FD">
              <w:rPr>
                <w:rStyle w:val="Lienhypertexte"/>
                <w:noProof/>
              </w:rPr>
              <w:t>2.2.</w:t>
            </w:r>
            <w:r>
              <w:rPr>
                <w:rFonts w:cstheme="minorBidi"/>
                <w:noProof/>
                <w:lang w:val="fr-BE" w:eastAsia="fr-BE"/>
              </w:rPr>
              <w:tab/>
            </w:r>
            <w:r w:rsidRPr="00C753FD">
              <w:rPr>
                <w:rStyle w:val="Lienhypertexte"/>
                <w:noProof/>
              </w:rPr>
              <w:t>Qu'est-ce qui rend les nanomatériaux si particuliers ?</w:t>
            </w:r>
            <w:r>
              <w:rPr>
                <w:noProof/>
                <w:webHidden/>
              </w:rPr>
              <w:tab/>
            </w:r>
            <w:r>
              <w:rPr>
                <w:noProof/>
                <w:webHidden/>
              </w:rPr>
              <w:fldChar w:fldCharType="begin"/>
            </w:r>
            <w:r>
              <w:rPr>
                <w:noProof/>
                <w:webHidden/>
              </w:rPr>
              <w:instrText xml:space="preserve"> PAGEREF _Toc76034145 \h </w:instrText>
            </w:r>
            <w:r>
              <w:rPr>
                <w:noProof/>
                <w:webHidden/>
              </w:rPr>
            </w:r>
            <w:r>
              <w:rPr>
                <w:noProof/>
                <w:webHidden/>
              </w:rPr>
              <w:fldChar w:fldCharType="separate"/>
            </w:r>
            <w:r>
              <w:rPr>
                <w:noProof/>
                <w:webHidden/>
              </w:rPr>
              <w:t>6</w:t>
            </w:r>
            <w:r>
              <w:rPr>
                <w:noProof/>
                <w:webHidden/>
              </w:rPr>
              <w:fldChar w:fldCharType="end"/>
            </w:r>
          </w:hyperlink>
        </w:p>
        <w:p w14:paraId="72571433" w14:textId="4A4561F0" w:rsidR="007F1FE2" w:rsidRDefault="007F1FE2">
          <w:pPr>
            <w:pStyle w:val="TM2"/>
            <w:tabs>
              <w:tab w:val="left" w:pos="880"/>
              <w:tab w:val="right" w:leader="dot" w:pos="9350"/>
            </w:tabs>
            <w:rPr>
              <w:rFonts w:cstheme="minorBidi"/>
              <w:noProof/>
              <w:lang w:val="fr-BE" w:eastAsia="fr-BE"/>
            </w:rPr>
          </w:pPr>
          <w:hyperlink w:anchor="_Toc76034146" w:history="1">
            <w:r w:rsidRPr="00C753FD">
              <w:rPr>
                <w:rStyle w:val="Lienhypertexte"/>
                <w:noProof/>
              </w:rPr>
              <w:t>2.3.</w:t>
            </w:r>
            <w:r>
              <w:rPr>
                <w:rFonts w:cstheme="minorBidi"/>
                <w:noProof/>
                <w:lang w:val="fr-BE" w:eastAsia="fr-BE"/>
              </w:rPr>
              <w:tab/>
            </w:r>
            <w:r w:rsidRPr="00C753FD">
              <w:rPr>
                <w:rStyle w:val="Lienhypertexte"/>
                <w:noProof/>
              </w:rPr>
              <w:t>Mais il est important, aussi, d’assurer que l'utilisation de cette technologie n'aboutisse pas à des dégâts environnementaux et humains. Quel est donc l’impact potentiel des nanomatériaux ?</w:t>
            </w:r>
            <w:r>
              <w:rPr>
                <w:noProof/>
                <w:webHidden/>
              </w:rPr>
              <w:tab/>
            </w:r>
            <w:r>
              <w:rPr>
                <w:noProof/>
                <w:webHidden/>
              </w:rPr>
              <w:fldChar w:fldCharType="begin"/>
            </w:r>
            <w:r>
              <w:rPr>
                <w:noProof/>
                <w:webHidden/>
              </w:rPr>
              <w:instrText xml:space="preserve"> PAGEREF _Toc76034146 \h </w:instrText>
            </w:r>
            <w:r>
              <w:rPr>
                <w:noProof/>
                <w:webHidden/>
              </w:rPr>
            </w:r>
            <w:r>
              <w:rPr>
                <w:noProof/>
                <w:webHidden/>
              </w:rPr>
              <w:fldChar w:fldCharType="separate"/>
            </w:r>
            <w:r>
              <w:rPr>
                <w:noProof/>
                <w:webHidden/>
              </w:rPr>
              <w:t>7</w:t>
            </w:r>
            <w:r>
              <w:rPr>
                <w:noProof/>
                <w:webHidden/>
              </w:rPr>
              <w:fldChar w:fldCharType="end"/>
            </w:r>
          </w:hyperlink>
        </w:p>
        <w:p w14:paraId="11AECCEF" w14:textId="4BBA9F22" w:rsidR="007F1FE2" w:rsidRDefault="007F1FE2">
          <w:pPr>
            <w:pStyle w:val="TM2"/>
            <w:tabs>
              <w:tab w:val="left" w:pos="880"/>
              <w:tab w:val="right" w:leader="dot" w:pos="9350"/>
            </w:tabs>
            <w:rPr>
              <w:rFonts w:cstheme="minorBidi"/>
              <w:noProof/>
              <w:lang w:val="fr-BE" w:eastAsia="fr-BE"/>
            </w:rPr>
          </w:pPr>
          <w:hyperlink w:anchor="_Toc76034147" w:history="1">
            <w:r w:rsidRPr="00C753FD">
              <w:rPr>
                <w:rStyle w:val="Lienhypertexte"/>
                <w:noProof/>
              </w:rPr>
              <w:t>2.4.</w:t>
            </w:r>
            <w:r>
              <w:rPr>
                <w:rFonts w:cstheme="minorBidi"/>
                <w:noProof/>
                <w:lang w:val="fr-BE" w:eastAsia="fr-BE"/>
              </w:rPr>
              <w:tab/>
            </w:r>
            <w:r w:rsidRPr="00C753FD">
              <w:rPr>
                <w:rStyle w:val="Lienhypertexte"/>
                <w:noProof/>
              </w:rPr>
              <w:t>Que fait le législateur ?</w:t>
            </w:r>
            <w:r>
              <w:rPr>
                <w:noProof/>
                <w:webHidden/>
              </w:rPr>
              <w:tab/>
            </w:r>
            <w:r>
              <w:rPr>
                <w:noProof/>
                <w:webHidden/>
              </w:rPr>
              <w:fldChar w:fldCharType="begin"/>
            </w:r>
            <w:r>
              <w:rPr>
                <w:noProof/>
                <w:webHidden/>
              </w:rPr>
              <w:instrText xml:space="preserve"> PAGEREF _Toc76034147 \h </w:instrText>
            </w:r>
            <w:r>
              <w:rPr>
                <w:noProof/>
                <w:webHidden/>
              </w:rPr>
            </w:r>
            <w:r>
              <w:rPr>
                <w:noProof/>
                <w:webHidden/>
              </w:rPr>
              <w:fldChar w:fldCharType="separate"/>
            </w:r>
            <w:r>
              <w:rPr>
                <w:noProof/>
                <w:webHidden/>
              </w:rPr>
              <w:t>8</w:t>
            </w:r>
            <w:r>
              <w:rPr>
                <w:noProof/>
                <w:webHidden/>
              </w:rPr>
              <w:fldChar w:fldCharType="end"/>
            </w:r>
          </w:hyperlink>
        </w:p>
        <w:p w14:paraId="79F8AF95" w14:textId="5B1D7D0B" w:rsidR="007F1FE2" w:rsidRDefault="007F1FE2">
          <w:pPr>
            <w:pStyle w:val="TM2"/>
            <w:tabs>
              <w:tab w:val="left" w:pos="880"/>
              <w:tab w:val="right" w:leader="dot" w:pos="9350"/>
            </w:tabs>
            <w:rPr>
              <w:rFonts w:cstheme="minorBidi"/>
              <w:noProof/>
              <w:lang w:val="fr-BE" w:eastAsia="fr-BE"/>
            </w:rPr>
          </w:pPr>
          <w:hyperlink w:anchor="_Toc76034148" w:history="1">
            <w:r w:rsidRPr="00C753FD">
              <w:rPr>
                <w:rStyle w:val="Lienhypertexte"/>
                <w:noProof/>
              </w:rPr>
              <w:t>2.5.</w:t>
            </w:r>
            <w:r>
              <w:rPr>
                <w:rFonts w:cstheme="minorBidi"/>
                <w:noProof/>
                <w:lang w:val="fr-BE" w:eastAsia="fr-BE"/>
              </w:rPr>
              <w:tab/>
            </w:r>
            <w:r w:rsidRPr="00C753FD">
              <w:rPr>
                <w:rStyle w:val="Lienhypertexte"/>
                <w:noProof/>
              </w:rPr>
              <w:t>Registres nationaux</w:t>
            </w:r>
            <w:r>
              <w:rPr>
                <w:noProof/>
                <w:webHidden/>
              </w:rPr>
              <w:tab/>
            </w:r>
            <w:r>
              <w:rPr>
                <w:noProof/>
                <w:webHidden/>
              </w:rPr>
              <w:fldChar w:fldCharType="begin"/>
            </w:r>
            <w:r>
              <w:rPr>
                <w:noProof/>
                <w:webHidden/>
              </w:rPr>
              <w:instrText xml:space="preserve"> PAGEREF _Toc76034148 \h </w:instrText>
            </w:r>
            <w:r>
              <w:rPr>
                <w:noProof/>
                <w:webHidden/>
              </w:rPr>
            </w:r>
            <w:r>
              <w:rPr>
                <w:noProof/>
                <w:webHidden/>
              </w:rPr>
              <w:fldChar w:fldCharType="separate"/>
            </w:r>
            <w:r>
              <w:rPr>
                <w:noProof/>
                <w:webHidden/>
              </w:rPr>
              <w:t>9</w:t>
            </w:r>
            <w:r>
              <w:rPr>
                <w:noProof/>
                <w:webHidden/>
              </w:rPr>
              <w:fldChar w:fldCharType="end"/>
            </w:r>
          </w:hyperlink>
        </w:p>
        <w:p w14:paraId="5474E143" w14:textId="355C6FF2" w:rsidR="007F1FE2" w:rsidRDefault="007F1FE2">
          <w:pPr>
            <w:pStyle w:val="TM1"/>
            <w:tabs>
              <w:tab w:val="left" w:pos="440"/>
              <w:tab w:val="right" w:leader="dot" w:pos="9350"/>
            </w:tabs>
            <w:rPr>
              <w:rFonts w:cstheme="minorBidi"/>
              <w:noProof/>
              <w:lang w:val="fr-BE" w:eastAsia="fr-BE"/>
            </w:rPr>
          </w:pPr>
          <w:hyperlink w:anchor="_Toc76034149" w:history="1">
            <w:r w:rsidRPr="00C753FD">
              <w:rPr>
                <w:rStyle w:val="Lienhypertexte"/>
                <w:noProof/>
                <w:lang w:val="fr-FR"/>
              </w:rPr>
              <w:t>3.</w:t>
            </w:r>
            <w:r>
              <w:rPr>
                <w:rFonts w:cstheme="minorBidi"/>
                <w:noProof/>
                <w:lang w:val="fr-BE" w:eastAsia="fr-BE"/>
              </w:rPr>
              <w:tab/>
            </w:r>
            <w:r w:rsidRPr="00C753FD">
              <w:rPr>
                <w:rStyle w:val="Lienhypertexte"/>
                <w:noProof/>
                <w:lang w:val="fr-FR"/>
              </w:rPr>
              <w:t>Le registre belge des nanomatériaux</w:t>
            </w:r>
            <w:r>
              <w:rPr>
                <w:noProof/>
                <w:webHidden/>
              </w:rPr>
              <w:tab/>
            </w:r>
            <w:r>
              <w:rPr>
                <w:noProof/>
                <w:webHidden/>
              </w:rPr>
              <w:fldChar w:fldCharType="begin"/>
            </w:r>
            <w:r>
              <w:rPr>
                <w:noProof/>
                <w:webHidden/>
              </w:rPr>
              <w:instrText xml:space="preserve"> PAGEREF _Toc76034149 \h </w:instrText>
            </w:r>
            <w:r>
              <w:rPr>
                <w:noProof/>
                <w:webHidden/>
              </w:rPr>
            </w:r>
            <w:r>
              <w:rPr>
                <w:noProof/>
                <w:webHidden/>
              </w:rPr>
              <w:fldChar w:fldCharType="separate"/>
            </w:r>
            <w:r>
              <w:rPr>
                <w:noProof/>
                <w:webHidden/>
              </w:rPr>
              <w:t>10</w:t>
            </w:r>
            <w:r>
              <w:rPr>
                <w:noProof/>
                <w:webHidden/>
              </w:rPr>
              <w:fldChar w:fldCharType="end"/>
            </w:r>
          </w:hyperlink>
        </w:p>
        <w:p w14:paraId="22F2A42E" w14:textId="64FA6D33" w:rsidR="007F1FE2" w:rsidRDefault="007F1FE2">
          <w:pPr>
            <w:pStyle w:val="TM2"/>
            <w:tabs>
              <w:tab w:val="left" w:pos="880"/>
              <w:tab w:val="right" w:leader="dot" w:pos="9350"/>
            </w:tabs>
            <w:rPr>
              <w:rFonts w:cstheme="minorBidi"/>
              <w:noProof/>
              <w:lang w:val="fr-BE" w:eastAsia="fr-BE"/>
            </w:rPr>
          </w:pPr>
          <w:hyperlink w:anchor="_Toc76034150" w:history="1">
            <w:r w:rsidRPr="00C753FD">
              <w:rPr>
                <w:rStyle w:val="Lienhypertexte"/>
                <w:noProof/>
              </w:rPr>
              <w:t>3.1.</w:t>
            </w:r>
            <w:r>
              <w:rPr>
                <w:rFonts w:cstheme="minorBidi"/>
                <w:noProof/>
                <w:lang w:val="fr-BE" w:eastAsia="fr-BE"/>
              </w:rPr>
              <w:tab/>
            </w:r>
            <w:r w:rsidRPr="00C753FD">
              <w:rPr>
                <w:rStyle w:val="Lienhypertexte"/>
                <w:noProof/>
              </w:rPr>
              <w:t>Objectifs</w:t>
            </w:r>
            <w:r>
              <w:rPr>
                <w:noProof/>
                <w:webHidden/>
              </w:rPr>
              <w:tab/>
            </w:r>
            <w:r>
              <w:rPr>
                <w:noProof/>
                <w:webHidden/>
              </w:rPr>
              <w:fldChar w:fldCharType="begin"/>
            </w:r>
            <w:r>
              <w:rPr>
                <w:noProof/>
                <w:webHidden/>
              </w:rPr>
              <w:instrText xml:space="preserve"> PAGEREF _Toc76034150 \h </w:instrText>
            </w:r>
            <w:r>
              <w:rPr>
                <w:noProof/>
                <w:webHidden/>
              </w:rPr>
            </w:r>
            <w:r>
              <w:rPr>
                <w:noProof/>
                <w:webHidden/>
              </w:rPr>
              <w:fldChar w:fldCharType="separate"/>
            </w:r>
            <w:r>
              <w:rPr>
                <w:noProof/>
                <w:webHidden/>
              </w:rPr>
              <w:t>10</w:t>
            </w:r>
            <w:r>
              <w:rPr>
                <w:noProof/>
                <w:webHidden/>
              </w:rPr>
              <w:fldChar w:fldCharType="end"/>
            </w:r>
          </w:hyperlink>
        </w:p>
        <w:p w14:paraId="51912E36" w14:textId="4E52FD45" w:rsidR="007F1FE2" w:rsidRDefault="007F1FE2">
          <w:pPr>
            <w:pStyle w:val="TM2"/>
            <w:tabs>
              <w:tab w:val="left" w:pos="880"/>
              <w:tab w:val="right" w:leader="dot" w:pos="9350"/>
            </w:tabs>
            <w:rPr>
              <w:rFonts w:cstheme="minorBidi"/>
              <w:noProof/>
              <w:lang w:val="fr-BE" w:eastAsia="fr-BE"/>
            </w:rPr>
          </w:pPr>
          <w:hyperlink w:anchor="_Toc76034151" w:history="1">
            <w:r w:rsidRPr="00C753FD">
              <w:rPr>
                <w:rStyle w:val="Lienhypertexte"/>
                <w:noProof/>
              </w:rPr>
              <w:t>3.2.</w:t>
            </w:r>
            <w:r>
              <w:rPr>
                <w:rFonts w:cstheme="minorBidi"/>
                <w:noProof/>
                <w:lang w:val="fr-BE" w:eastAsia="fr-BE"/>
              </w:rPr>
              <w:tab/>
            </w:r>
            <w:r w:rsidRPr="00C753FD">
              <w:rPr>
                <w:rStyle w:val="Lienhypertexte"/>
                <w:noProof/>
              </w:rPr>
              <w:t>Notions clés et définitions</w:t>
            </w:r>
            <w:r>
              <w:rPr>
                <w:noProof/>
                <w:webHidden/>
              </w:rPr>
              <w:tab/>
            </w:r>
            <w:r>
              <w:rPr>
                <w:noProof/>
                <w:webHidden/>
              </w:rPr>
              <w:fldChar w:fldCharType="begin"/>
            </w:r>
            <w:r>
              <w:rPr>
                <w:noProof/>
                <w:webHidden/>
              </w:rPr>
              <w:instrText xml:space="preserve"> PAGEREF _Toc76034151 \h </w:instrText>
            </w:r>
            <w:r>
              <w:rPr>
                <w:noProof/>
                <w:webHidden/>
              </w:rPr>
            </w:r>
            <w:r>
              <w:rPr>
                <w:noProof/>
                <w:webHidden/>
              </w:rPr>
              <w:fldChar w:fldCharType="separate"/>
            </w:r>
            <w:r>
              <w:rPr>
                <w:noProof/>
                <w:webHidden/>
              </w:rPr>
              <w:t>11</w:t>
            </w:r>
            <w:r>
              <w:rPr>
                <w:noProof/>
                <w:webHidden/>
              </w:rPr>
              <w:fldChar w:fldCharType="end"/>
            </w:r>
          </w:hyperlink>
        </w:p>
        <w:p w14:paraId="49A69B9E" w14:textId="6EFA401C" w:rsidR="007F1FE2" w:rsidRDefault="007F1FE2">
          <w:pPr>
            <w:pStyle w:val="TM3"/>
            <w:tabs>
              <w:tab w:val="left" w:pos="1320"/>
              <w:tab w:val="right" w:leader="dot" w:pos="9350"/>
            </w:tabs>
            <w:rPr>
              <w:rFonts w:cstheme="minorBidi"/>
              <w:noProof/>
              <w:lang w:val="fr-BE" w:eastAsia="fr-BE"/>
            </w:rPr>
          </w:pPr>
          <w:hyperlink w:anchor="_Toc76034152" w:history="1">
            <w:r w:rsidRPr="00C753FD">
              <w:rPr>
                <w:rStyle w:val="Lienhypertexte"/>
                <w:noProof/>
              </w:rPr>
              <w:t>3.2.1.</w:t>
            </w:r>
            <w:r>
              <w:rPr>
                <w:rFonts w:cstheme="minorBidi"/>
                <w:noProof/>
                <w:lang w:val="fr-BE" w:eastAsia="fr-BE"/>
              </w:rPr>
              <w:tab/>
            </w:r>
            <w:r w:rsidRPr="00C753FD">
              <w:rPr>
                <w:rStyle w:val="Lienhypertexte"/>
                <w:noProof/>
              </w:rPr>
              <w:t>Définition d'une substance à l'état nanoparticulaire</w:t>
            </w:r>
            <w:r>
              <w:rPr>
                <w:noProof/>
                <w:webHidden/>
              </w:rPr>
              <w:tab/>
            </w:r>
            <w:r>
              <w:rPr>
                <w:noProof/>
                <w:webHidden/>
              </w:rPr>
              <w:fldChar w:fldCharType="begin"/>
            </w:r>
            <w:r>
              <w:rPr>
                <w:noProof/>
                <w:webHidden/>
              </w:rPr>
              <w:instrText xml:space="preserve"> PAGEREF _Toc76034152 \h </w:instrText>
            </w:r>
            <w:r>
              <w:rPr>
                <w:noProof/>
                <w:webHidden/>
              </w:rPr>
            </w:r>
            <w:r>
              <w:rPr>
                <w:noProof/>
                <w:webHidden/>
              </w:rPr>
              <w:fldChar w:fldCharType="separate"/>
            </w:r>
            <w:r>
              <w:rPr>
                <w:noProof/>
                <w:webHidden/>
              </w:rPr>
              <w:t>11</w:t>
            </w:r>
            <w:r>
              <w:rPr>
                <w:noProof/>
                <w:webHidden/>
              </w:rPr>
              <w:fldChar w:fldCharType="end"/>
            </w:r>
          </w:hyperlink>
        </w:p>
        <w:p w14:paraId="17ACD99D" w14:textId="41B7848E" w:rsidR="007F1FE2" w:rsidRDefault="007F1FE2">
          <w:pPr>
            <w:pStyle w:val="TM3"/>
            <w:tabs>
              <w:tab w:val="left" w:pos="1320"/>
              <w:tab w:val="right" w:leader="dot" w:pos="9350"/>
            </w:tabs>
            <w:rPr>
              <w:rFonts w:cstheme="minorBidi"/>
              <w:noProof/>
              <w:lang w:val="fr-BE" w:eastAsia="fr-BE"/>
            </w:rPr>
          </w:pPr>
          <w:hyperlink w:anchor="_Toc76034153" w:history="1">
            <w:r w:rsidRPr="00C753FD">
              <w:rPr>
                <w:rStyle w:val="Lienhypertexte"/>
                <w:noProof/>
              </w:rPr>
              <w:t>3.2.2.</w:t>
            </w:r>
            <w:r>
              <w:rPr>
                <w:rFonts w:cstheme="minorBidi"/>
                <w:noProof/>
                <w:lang w:val="fr-BE" w:eastAsia="fr-BE"/>
              </w:rPr>
              <w:tab/>
            </w:r>
            <w:r w:rsidRPr="00C753FD">
              <w:rPr>
                <w:rStyle w:val="Lienhypertexte"/>
                <w:noProof/>
              </w:rPr>
              <w:t>Exemptions d'enregistrement</w:t>
            </w:r>
            <w:r>
              <w:rPr>
                <w:noProof/>
                <w:webHidden/>
              </w:rPr>
              <w:tab/>
            </w:r>
            <w:r>
              <w:rPr>
                <w:noProof/>
                <w:webHidden/>
              </w:rPr>
              <w:fldChar w:fldCharType="begin"/>
            </w:r>
            <w:r>
              <w:rPr>
                <w:noProof/>
                <w:webHidden/>
              </w:rPr>
              <w:instrText xml:space="preserve"> PAGEREF _Toc76034153 \h </w:instrText>
            </w:r>
            <w:r>
              <w:rPr>
                <w:noProof/>
                <w:webHidden/>
              </w:rPr>
            </w:r>
            <w:r>
              <w:rPr>
                <w:noProof/>
                <w:webHidden/>
              </w:rPr>
              <w:fldChar w:fldCharType="separate"/>
            </w:r>
            <w:r>
              <w:rPr>
                <w:noProof/>
                <w:webHidden/>
              </w:rPr>
              <w:t>11</w:t>
            </w:r>
            <w:r>
              <w:rPr>
                <w:noProof/>
                <w:webHidden/>
              </w:rPr>
              <w:fldChar w:fldCharType="end"/>
            </w:r>
          </w:hyperlink>
        </w:p>
        <w:p w14:paraId="5D250E03" w14:textId="27A062A4" w:rsidR="007F1FE2" w:rsidRDefault="007F1FE2">
          <w:pPr>
            <w:pStyle w:val="TM3"/>
            <w:tabs>
              <w:tab w:val="left" w:pos="1320"/>
              <w:tab w:val="right" w:leader="dot" w:pos="9350"/>
            </w:tabs>
            <w:rPr>
              <w:rFonts w:cstheme="minorBidi"/>
              <w:noProof/>
              <w:lang w:val="fr-BE" w:eastAsia="fr-BE"/>
            </w:rPr>
          </w:pPr>
          <w:hyperlink w:anchor="_Toc76034154" w:history="1">
            <w:r w:rsidRPr="00C753FD">
              <w:rPr>
                <w:rStyle w:val="Lienhypertexte"/>
                <w:noProof/>
              </w:rPr>
              <w:t>3.2.3.</w:t>
            </w:r>
            <w:r>
              <w:rPr>
                <w:rFonts w:cstheme="minorBidi"/>
                <w:noProof/>
                <w:lang w:val="fr-BE" w:eastAsia="fr-BE"/>
              </w:rPr>
              <w:tab/>
            </w:r>
            <w:r w:rsidRPr="00C753FD">
              <w:rPr>
                <w:rStyle w:val="Lienhypertexte"/>
                <w:noProof/>
              </w:rPr>
              <w:t>Types de comptes</w:t>
            </w:r>
            <w:r>
              <w:rPr>
                <w:noProof/>
                <w:webHidden/>
              </w:rPr>
              <w:tab/>
            </w:r>
            <w:r>
              <w:rPr>
                <w:noProof/>
                <w:webHidden/>
              </w:rPr>
              <w:fldChar w:fldCharType="begin"/>
            </w:r>
            <w:r>
              <w:rPr>
                <w:noProof/>
                <w:webHidden/>
              </w:rPr>
              <w:instrText xml:space="preserve"> PAGEREF _Toc76034154 \h </w:instrText>
            </w:r>
            <w:r>
              <w:rPr>
                <w:noProof/>
                <w:webHidden/>
              </w:rPr>
            </w:r>
            <w:r>
              <w:rPr>
                <w:noProof/>
                <w:webHidden/>
              </w:rPr>
              <w:fldChar w:fldCharType="separate"/>
            </w:r>
            <w:r>
              <w:rPr>
                <w:noProof/>
                <w:webHidden/>
              </w:rPr>
              <w:t>12</w:t>
            </w:r>
            <w:r>
              <w:rPr>
                <w:noProof/>
                <w:webHidden/>
              </w:rPr>
              <w:fldChar w:fldCharType="end"/>
            </w:r>
          </w:hyperlink>
        </w:p>
        <w:p w14:paraId="719768D8" w14:textId="1D7FE6B4" w:rsidR="007F1FE2" w:rsidRDefault="007F1FE2">
          <w:pPr>
            <w:pStyle w:val="TM3"/>
            <w:tabs>
              <w:tab w:val="left" w:pos="1320"/>
              <w:tab w:val="right" w:leader="dot" w:pos="9350"/>
            </w:tabs>
            <w:rPr>
              <w:rFonts w:cstheme="minorBidi"/>
              <w:noProof/>
              <w:lang w:val="fr-BE" w:eastAsia="fr-BE"/>
            </w:rPr>
          </w:pPr>
          <w:hyperlink w:anchor="_Toc76034155" w:history="1">
            <w:r w:rsidRPr="00C753FD">
              <w:rPr>
                <w:rStyle w:val="Lienhypertexte"/>
                <w:noProof/>
              </w:rPr>
              <w:t>3.2.4.</w:t>
            </w:r>
            <w:r>
              <w:rPr>
                <w:rFonts w:cstheme="minorBidi"/>
                <w:noProof/>
                <w:lang w:val="fr-BE" w:eastAsia="fr-BE"/>
              </w:rPr>
              <w:tab/>
            </w:r>
            <w:r w:rsidRPr="00C753FD">
              <w:rPr>
                <w:rStyle w:val="Lienhypertexte"/>
                <w:noProof/>
              </w:rPr>
              <w:t>Types d'enregistrement</w:t>
            </w:r>
            <w:r>
              <w:rPr>
                <w:noProof/>
                <w:webHidden/>
              </w:rPr>
              <w:tab/>
            </w:r>
            <w:r>
              <w:rPr>
                <w:noProof/>
                <w:webHidden/>
              </w:rPr>
              <w:fldChar w:fldCharType="begin"/>
            </w:r>
            <w:r>
              <w:rPr>
                <w:noProof/>
                <w:webHidden/>
              </w:rPr>
              <w:instrText xml:space="preserve"> PAGEREF _Toc76034155 \h </w:instrText>
            </w:r>
            <w:r>
              <w:rPr>
                <w:noProof/>
                <w:webHidden/>
              </w:rPr>
            </w:r>
            <w:r>
              <w:rPr>
                <w:noProof/>
                <w:webHidden/>
              </w:rPr>
              <w:fldChar w:fldCharType="separate"/>
            </w:r>
            <w:r>
              <w:rPr>
                <w:noProof/>
                <w:webHidden/>
              </w:rPr>
              <w:t>13</w:t>
            </w:r>
            <w:r>
              <w:rPr>
                <w:noProof/>
                <w:webHidden/>
              </w:rPr>
              <w:fldChar w:fldCharType="end"/>
            </w:r>
          </w:hyperlink>
        </w:p>
        <w:p w14:paraId="589E2BEA" w14:textId="38AB4FDC" w:rsidR="007F1FE2" w:rsidRDefault="007F1FE2">
          <w:pPr>
            <w:pStyle w:val="TM3"/>
            <w:tabs>
              <w:tab w:val="left" w:pos="1320"/>
              <w:tab w:val="right" w:leader="dot" w:pos="9350"/>
            </w:tabs>
            <w:rPr>
              <w:rFonts w:cstheme="minorBidi"/>
              <w:noProof/>
              <w:lang w:val="fr-BE" w:eastAsia="fr-BE"/>
            </w:rPr>
          </w:pPr>
          <w:hyperlink w:anchor="_Toc76034156" w:history="1">
            <w:r w:rsidRPr="00C753FD">
              <w:rPr>
                <w:rStyle w:val="Lienhypertexte"/>
                <w:noProof/>
              </w:rPr>
              <w:t>3.2.5.</w:t>
            </w:r>
            <w:r>
              <w:rPr>
                <w:rFonts w:cstheme="minorBidi"/>
                <w:noProof/>
                <w:lang w:val="fr-BE" w:eastAsia="fr-BE"/>
              </w:rPr>
              <w:tab/>
            </w:r>
            <w:r w:rsidRPr="00C753FD">
              <w:rPr>
                <w:rStyle w:val="Lienhypertexte"/>
                <w:noProof/>
              </w:rPr>
              <w:t>Définition des rôles de la chaîne d'approvisionnement</w:t>
            </w:r>
            <w:r>
              <w:rPr>
                <w:noProof/>
                <w:webHidden/>
              </w:rPr>
              <w:tab/>
            </w:r>
            <w:r>
              <w:rPr>
                <w:noProof/>
                <w:webHidden/>
              </w:rPr>
              <w:fldChar w:fldCharType="begin"/>
            </w:r>
            <w:r>
              <w:rPr>
                <w:noProof/>
                <w:webHidden/>
              </w:rPr>
              <w:instrText xml:space="preserve"> PAGEREF _Toc76034156 \h </w:instrText>
            </w:r>
            <w:r>
              <w:rPr>
                <w:noProof/>
                <w:webHidden/>
              </w:rPr>
            </w:r>
            <w:r>
              <w:rPr>
                <w:noProof/>
                <w:webHidden/>
              </w:rPr>
              <w:fldChar w:fldCharType="separate"/>
            </w:r>
            <w:r>
              <w:rPr>
                <w:noProof/>
                <w:webHidden/>
              </w:rPr>
              <w:t>13</w:t>
            </w:r>
            <w:r>
              <w:rPr>
                <w:noProof/>
                <w:webHidden/>
              </w:rPr>
              <w:fldChar w:fldCharType="end"/>
            </w:r>
          </w:hyperlink>
        </w:p>
        <w:p w14:paraId="47079D2E" w14:textId="5C14FDC5" w:rsidR="007F1FE2" w:rsidRDefault="007F1FE2">
          <w:pPr>
            <w:pStyle w:val="TM1"/>
            <w:tabs>
              <w:tab w:val="left" w:pos="440"/>
              <w:tab w:val="right" w:leader="dot" w:pos="9350"/>
            </w:tabs>
            <w:rPr>
              <w:rFonts w:cstheme="minorBidi"/>
              <w:noProof/>
              <w:lang w:val="fr-BE" w:eastAsia="fr-BE"/>
            </w:rPr>
          </w:pPr>
          <w:hyperlink w:anchor="_Toc76034157" w:history="1">
            <w:r w:rsidRPr="00C753FD">
              <w:rPr>
                <w:rStyle w:val="Lienhypertexte"/>
                <w:noProof/>
                <w:lang w:val="fr-FR"/>
              </w:rPr>
              <w:t>4.</w:t>
            </w:r>
            <w:r>
              <w:rPr>
                <w:rFonts w:cstheme="minorBidi"/>
                <w:noProof/>
                <w:lang w:val="fr-BE" w:eastAsia="fr-BE"/>
              </w:rPr>
              <w:tab/>
            </w:r>
            <w:r w:rsidRPr="00C753FD">
              <w:rPr>
                <w:rStyle w:val="Lienhypertexte"/>
                <w:noProof/>
                <w:lang w:val="fr-FR"/>
              </w:rPr>
              <w:t>Étendue du présent rapport</w:t>
            </w:r>
            <w:r>
              <w:rPr>
                <w:noProof/>
                <w:webHidden/>
              </w:rPr>
              <w:tab/>
            </w:r>
            <w:r>
              <w:rPr>
                <w:noProof/>
                <w:webHidden/>
              </w:rPr>
              <w:fldChar w:fldCharType="begin"/>
            </w:r>
            <w:r>
              <w:rPr>
                <w:noProof/>
                <w:webHidden/>
              </w:rPr>
              <w:instrText xml:space="preserve"> PAGEREF _Toc76034157 \h </w:instrText>
            </w:r>
            <w:r>
              <w:rPr>
                <w:noProof/>
                <w:webHidden/>
              </w:rPr>
            </w:r>
            <w:r>
              <w:rPr>
                <w:noProof/>
                <w:webHidden/>
              </w:rPr>
              <w:fldChar w:fldCharType="separate"/>
            </w:r>
            <w:r>
              <w:rPr>
                <w:noProof/>
                <w:webHidden/>
              </w:rPr>
              <w:t>14</w:t>
            </w:r>
            <w:r>
              <w:rPr>
                <w:noProof/>
                <w:webHidden/>
              </w:rPr>
              <w:fldChar w:fldCharType="end"/>
            </w:r>
          </w:hyperlink>
        </w:p>
        <w:p w14:paraId="0A25BA24" w14:textId="28981877" w:rsidR="007F1FE2" w:rsidRDefault="007F1FE2">
          <w:pPr>
            <w:pStyle w:val="TM1"/>
            <w:tabs>
              <w:tab w:val="left" w:pos="440"/>
              <w:tab w:val="right" w:leader="dot" w:pos="9350"/>
            </w:tabs>
            <w:rPr>
              <w:rFonts w:cstheme="minorBidi"/>
              <w:noProof/>
              <w:lang w:val="fr-BE" w:eastAsia="fr-BE"/>
            </w:rPr>
          </w:pPr>
          <w:hyperlink w:anchor="_Toc76034158" w:history="1">
            <w:r w:rsidRPr="00C753FD">
              <w:rPr>
                <w:rStyle w:val="Lienhypertexte"/>
                <w:noProof/>
                <w:lang w:val="fr-FR"/>
              </w:rPr>
              <w:t>5.</w:t>
            </w:r>
            <w:r>
              <w:rPr>
                <w:rFonts w:cstheme="minorBidi"/>
                <w:noProof/>
                <w:lang w:val="fr-BE" w:eastAsia="fr-BE"/>
              </w:rPr>
              <w:tab/>
            </w:r>
            <w:r w:rsidRPr="00C753FD">
              <w:rPr>
                <w:rStyle w:val="Lienhypertexte"/>
                <w:noProof/>
                <w:lang w:val="fr-FR"/>
              </w:rPr>
              <w:t>Informations relatives aux déclarants</w:t>
            </w:r>
            <w:r>
              <w:rPr>
                <w:noProof/>
                <w:webHidden/>
              </w:rPr>
              <w:tab/>
            </w:r>
            <w:r>
              <w:rPr>
                <w:noProof/>
                <w:webHidden/>
              </w:rPr>
              <w:fldChar w:fldCharType="begin"/>
            </w:r>
            <w:r>
              <w:rPr>
                <w:noProof/>
                <w:webHidden/>
              </w:rPr>
              <w:instrText xml:space="preserve"> PAGEREF _Toc76034158 \h </w:instrText>
            </w:r>
            <w:r>
              <w:rPr>
                <w:noProof/>
                <w:webHidden/>
              </w:rPr>
            </w:r>
            <w:r>
              <w:rPr>
                <w:noProof/>
                <w:webHidden/>
              </w:rPr>
              <w:fldChar w:fldCharType="separate"/>
            </w:r>
            <w:r>
              <w:rPr>
                <w:noProof/>
                <w:webHidden/>
              </w:rPr>
              <w:t>14</w:t>
            </w:r>
            <w:r>
              <w:rPr>
                <w:noProof/>
                <w:webHidden/>
              </w:rPr>
              <w:fldChar w:fldCharType="end"/>
            </w:r>
          </w:hyperlink>
        </w:p>
        <w:p w14:paraId="6462B50B" w14:textId="00ADBE91" w:rsidR="007F1FE2" w:rsidRDefault="007F1FE2">
          <w:pPr>
            <w:pStyle w:val="TM1"/>
            <w:tabs>
              <w:tab w:val="left" w:pos="440"/>
              <w:tab w:val="right" w:leader="dot" w:pos="9350"/>
            </w:tabs>
            <w:rPr>
              <w:rFonts w:cstheme="minorBidi"/>
              <w:noProof/>
              <w:lang w:val="fr-BE" w:eastAsia="fr-BE"/>
            </w:rPr>
          </w:pPr>
          <w:hyperlink w:anchor="_Toc76034159" w:history="1">
            <w:r w:rsidRPr="00C753FD">
              <w:rPr>
                <w:rStyle w:val="Lienhypertexte"/>
                <w:noProof/>
                <w:lang w:val="fr-BE"/>
              </w:rPr>
              <w:t>6.</w:t>
            </w:r>
            <w:r>
              <w:rPr>
                <w:rFonts w:cstheme="minorBidi"/>
                <w:noProof/>
                <w:lang w:val="fr-BE" w:eastAsia="fr-BE"/>
              </w:rPr>
              <w:tab/>
            </w:r>
            <w:r w:rsidRPr="00C753FD">
              <w:rPr>
                <w:rStyle w:val="Lienhypertexte"/>
                <w:noProof/>
                <w:lang w:val="fr-BE"/>
              </w:rPr>
              <w:t>Informations relatives aux enregistrements</w:t>
            </w:r>
            <w:r>
              <w:rPr>
                <w:noProof/>
                <w:webHidden/>
              </w:rPr>
              <w:tab/>
            </w:r>
            <w:r>
              <w:rPr>
                <w:noProof/>
                <w:webHidden/>
              </w:rPr>
              <w:fldChar w:fldCharType="begin"/>
            </w:r>
            <w:r>
              <w:rPr>
                <w:noProof/>
                <w:webHidden/>
              </w:rPr>
              <w:instrText xml:space="preserve"> PAGEREF _Toc76034159 \h </w:instrText>
            </w:r>
            <w:r>
              <w:rPr>
                <w:noProof/>
                <w:webHidden/>
              </w:rPr>
            </w:r>
            <w:r>
              <w:rPr>
                <w:noProof/>
                <w:webHidden/>
              </w:rPr>
              <w:fldChar w:fldCharType="separate"/>
            </w:r>
            <w:r>
              <w:rPr>
                <w:noProof/>
                <w:webHidden/>
              </w:rPr>
              <w:t>15</w:t>
            </w:r>
            <w:r>
              <w:rPr>
                <w:noProof/>
                <w:webHidden/>
              </w:rPr>
              <w:fldChar w:fldCharType="end"/>
            </w:r>
          </w:hyperlink>
        </w:p>
        <w:p w14:paraId="39C84927" w14:textId="4CDED715" w:rsidR="007F1FE2" w:rsidRDefault="007F1FE2">
          <w:pPr>
            <w:pStyle w:val="TM2"/>
            <w:tabs>
              <w:tab w:val="left" w:pos="880"/>
              <w:tab w:val="right" w:leader="dot" w:pos="9350"/>
            </w:tabs>
            <w:rPr>
              <w:rFonts w:cstheme="minorBidi"/>
              <w:noProof/>
              <w:lang w:val="fr-BE" w:eastAsia="fr-BE"/>
            </w:rPr>
          </w:pPr>
          <w:hyperlink w:anchor="_Toc76034160" w:history="1">
            <w:r w:rsidRPr="00C753FD">
              <w:rPr>
                <w:rStyle w:val="Lienhypertexte"/>
                <w:noProof/>
              </w:rPr>
              <w:t>6.1.</w:t>
            </w:r>
            <w:r>
              <w:rPr>
                <w:rFonts w:cstheme="minorBidi"/>
                <w:noProof/>
                <w:lang w:val="fr-BE" w:eastAsia="fr-BE"/>
              </w:rPr>
              <w:tab/>
            </w:r>
            <w:r w:rsidRPr="00C753FD">
              <w:rPr>
                <w:rStyle w:val="Lienhypertexte"/>
                <w:noProof/>
              </w:rPr>
              <w:t>Nombre d'enregistrements</w:t>
            </w:r>
            <w:r>
              <w:rPr>
                <w:noProof/>
                <w:webHidden/>
              </w:rPr>
              <w:tab/>
            </w:r>
            <w:r>
              <w:rPr>
                <w:noProof/>
                <w:webHidden/>
              </w:rPr>
              <w:fldChar w:fldCharType="begin"/>
            </w:r>
            <w:r>
              <w:rPr>
                <w:noProof/>
                <w:webHidden/>
              </w:rPr>
              <w:instrText xml:space="preserve"> PAGEREF _Toc76034160 \h </w:instrText>
            </w:r>
            <w:r>
              <w:rPr>
                <w:noProof/>
                <w:webHidden/>
              </w:rPr>
            </w:r>
            <w:r>
              <w:rPr>
                <w:noProof/>
                <w:webHidden/>
              </w:rPr>
              <w:fldChar w:fldCharType="separate"/>
            </w:r>
            <w:r>
              <w:rPr>
                <w:noProof/>
                <w:webHidden/>
              </w:rPr>
              <w:t>15</w:t>
            </w:r>
            <w:r>
              <w:rPr>
                <w:noProof/>
                <w:webHidden/>
              </w:rPr>
              <w:fldChar w:fldCharType="end"/>
            </w:r>
          </w:hyperlink>
        </w:p>
        <w:p w14:paraId="53AB350F" w14:textId="79DFB188" w:rsidR="007F1FE2" w:rsidRDefault="007F1FE2">
          <w:pPr>
            <w:pStyle w:val="TM3"/>
            <w:tabs>
              <w:tab w:val="left" w:pos="1320"/>
              <w:tab w:val="right" w:leader="dot" w:pos="9350"/>
            </w:tabs>
            <w:rPr>
              <w:rFonts w:cstheme="minorBidi"/>
              <w:noProof/>
              <w:lang w:val="fr-BE" w:eastAsia="fr-BE"/>
            </w:rPr>
          </w:pPr>
          <w:hyperlink w:anchor="_Toc76034161" w:history="1">
            <w:r w:rsidRPr="00C753FD">
              <w:rPr>
                <w:rStyle w:val="Lienhypertexte"/>
                <w:noProof/>
              </w:rPr>
              <w:t>6.1.1.</w:t>
            </w:r>
            <w:r>
              <w:rPr>
                <w:rFonts w:cstheme="minorBidi"/>
                <w:noProof/>
                <w:lang w:val="fr-BE" w:eastAsia="fr-BE"/>
              </w:rPr>
              <w:tab/>
            </w:r>
            <w:r w:rsidRPr="00C753FD">
              <w:rPr>
                <w:rStyle w:val="Lienhypertexte"/>
                <w:noProof/>
              </w:rPr>
              <w:t>Substances</w:t>
            </w:r>
            <w:r>
              <w:rPr>
                <w:noProof/>
                <w:webHidden/>
              </w:rPr>
              <w:tab/>
            </w:r>
            <w:r>
              <w:rPr>
                <w:noProof/>
                <w:webHidden/>
              </w:rPr>
              <w:fldChar w:fldCharType="begin"/>
            </w:r>
            <w:r>
              <w:rPr>
                <w:noProof/>
                <w:webHidden/>
              </w:rPr>
              <w:instrText xml:space="preserve"> PAGEREF _Toc76034161 \h </w:instrText>
            </w:r>
            <w:r>
              <w:rPr>
                <w:noProof/>
                <w:webHidden/>
              </w:rPr>
            </w:r>
            <w:r>
              <w:rPr>
                <w:noProof/>
                <w:webHidden/>
              </w:rPr>
              <w:fldChar w:fldCharType="separate"/>
            </w:r>
            <w:r>
              <w:rPr>
                <w:noProof/>
                <w:webHidden/>
              </w:rPr>
              <w:t>15</w:t>
            </w:r>
            <w:r>
              <w:rPr>
                <w:noProof/>
                <w:webHidden/>
              </w:rPr>
              <w:fldChar w:fldCharType="end"/>
            </w:r>
          </w:hyperlink>
        </w:p>
        <w:p w14:paraId="6A1F5CC2" w14:textId="1DBA369E" w:rsidR="007F1FE2" w:rsidRDefault="007F1FE2">
          <w:pPr>
            <w:pStyle w:val="TM3"/>
            <w:tabs>
              <w:tab w:val="left" w:pos="1320"/>
              <w:tab w:val="right" w:leader="dot" w:pos="9350"/>
            </w:tabs>
            <w:rPr>
              <w:rFonts w:cstheme="minorBidi"/>
              <w:noProof/>
              <w:lang w:val="fr-BE" w:eastAsia="fr-BE"/>
            </w:rPr>
          </w:pPr>
          <w:hyperlink w:anchor="_Toc76034162" w:history="1">
            <w:r w:rsidRPr="00C753FD">
              <w:rPr>
                <w:rStyle w:val="Lienhypertexte"/>
                <w:noProof/>
              </w:rPr>
              <w:t>6.1.2.</w:t>
            </w:r>
            <w:r>
              <w:rPr>
                <w:rFonts w:cstheme="minorBidi"/>
                <w:noProof/>
                <w:lang w:val="fr-BE" w:eastAsia="fr-BE"/>
              </w:rPr>
              <w:tab/>
            </w:r>
            <w:r w:rsidRPr="00C753FD">
              <w:rPr>
                <w:rStyle w:val="Lienhypertexte"/>
                <w:noProof/>
              </w:rPr>
              <w:t>Mélanges</w:t>
            </w:r>
            <w:r>
              <w:rPr>
                <w:noProof/>
                <w:webHidden/>
              </w:rPr>
              <w:tab/>
            </w:r>
            <w:r>
              <w:rPr>
                <w:noProof/>
                <w:webHidden/>
              </w:rPr>
              <w:fldChar w:fldCharType="begin"/>
            </w:r>
            <w:r>
              <w:rPr>
                <w:noProof/>
                <w:webHidden/>
              </w:rPr>
              <w:instrText xml:space="preserve"> PAGEREF _Toc76034162 \h </w:instrText>
            </w:r>
            <w:r>
              <w:rPr>
                <w:noProof/>
                <w:webHidden/>
              </w:rPr>
            </w:r>
            <w:r>
              <w:rPr>
                <w:noProof/>
                <w:webHidden/>
              </w:rPr>
              <w:fldChar w:fldCharType="separate"/>
            </w:r>
            <w:r>
              <w:rPr>
                <w:noProof/>
                <w:webHidden/>
              </w:rPr>
              <w:t>16</w:t>
            </w:r>
            <w:r>
              <w:rPr>
                <w:noProof/>
                <w:webHidden/>
              </w:rPr>
              <w:fldChar w:fldCharType="end"/>
            </w:r>
          </w:hyperlink>
        </w:p>
        <w:p w14:paraId="50367649" w14:textId="1AD3913D" w:rsidR="007F1FE2" w:rsidRDefault="007F1FE2">
          <w:pPr>
            <w:pStyle w:val="TM2"/>
            <w:tabs>
              <w:tab w:val="left" w:pos="880"/>
              <w:tab w:val="right" w:leader="dot" w:pos="9350"/>
            </w:tabs>
            <w:rPr>
              <w:rFonts w:cstheme="minorBidi"/>
              <w:noProof/>
              <w:lang w:val="fr-BE" w:eastAsia="fr-BE"/>
            </w:rPr>
          </w:pPr>
          <w:hyperlink w:anchor="_Toc76034163" w:history="1">
            <w:r w:rsidRPr="00C753FD">
              <w:rPr>
                <w:rStyle w:val="Lienhypertexte"/>
                <w:noProof/>
              </w:rPr>
              <w:t>6.2.</w:t>
            </w:r>
            <w:r>
              <w:rPr>
                <w:rFonts w:cstheme="minorBidi"/>
                <w:noProof/>
                <w:lang w:val="fr-BE" w:eastAsia="fr-BE"/>
              </w:rPr>
              <w:tab/>
            </w:r>
            <w:r w:rsidRPr="00C753FD">
              <w:rPr>
                <w:rStyle w:val="Lienhypertexte"/>
                <w:noProof/>
              </w:rPr>
              <w:t>Nombre d’inscriptions soumises par compte</w:t>
            </w:r>
            <w:r>
              <w:rPr>
                <w:noProof/>
                <w:webHidden/>
              </w:rPr>
              <w:tab/>
            </w:r>
            <w:r>
              <w:rPr>
                <w:noProof/>
                <w:webHidden/>
              </w:rPr>
              <w:fldChar w:fldCharType="begin"/>
            </w:r>
            <w:r>
              <w:rPr>
                <w:noProof/>
                <w:webHidden/>
              </w:rPr>
              <w:instrText xml:space="preserve"> PAGEREF _Toc76034163 \h </w:instrText>
            </w:r>
            <w:r>
              <w:rPr>
                <w:noProof/>
                <w:webHidden/>
              </w:rPr>
            </w:r>
            <w:r>
              <w:rPr>
                <w:noProof/>
                <w:webHidden/>
              </w:rPr>
              <w:fldChar w:fldCharType="separate"/>
            </w:r>
            <w:r>
              <w:rPr>
                <w:noProof/>
                <w:webHidden/>
              </w:rPr>
              <w:t>17</w:t>
            </w:r>
            <w:r>
              <w:rPr>
                <w:noProof/>
                <w:webHidden/>
              </w:rPr>
              <w:fldChar w:fldCharType="end"/>
            </w:r>
          </w:hyperlink>
        </w:p>
        <w:p w14:paraId="5464B95E" w14:textId="77FC8B3B" w:rsidR="007F1FE2" w:rsidRDefault="007F1FE2">
          <w:pPr>
            <w:pStyle w:val="TM2"/>
            <w:tabs>
              <w:tab w:val="left" w:pos="880"/>
              <w:tab w:val="right" w:leader="dot" w:pos="9350"/>
            </w:tabs>
            <w:rPr>
              <w:rFonts w:cstheme="minorBidi"/>
              <w:noProof/>
              <w:lang w:val="fr-BE" w:eastAsia="fr-BE"/>
            </w:rPr>
          </w:pPr>
          <w:hyperlink w:anchor="_Toc76034164" w:history="1">
            <w:r w:rsidRPr="00C753FD">
              <w:rPr>
                <w:rStyle w:val="Lienhypertexte"/>
                <w:noProof/>
              </w:rPr>
              <w:t>6.3.</w:t>
            </w:r>
            <w:r>
              <w:rPr>
                <w:rFonts w:cstheme="minorBidi"/>
                <w:noProof/>
                <w:lang w:val="fr-BE" w:eastAsia="fr-BE"/>
              </w:rPr>
              <w:tab/>
            </w:r>
            <w:r w:rsidRPr="00C753FD">
              <w:rPr>
                <w:rStyle w:val="Lienhypertexte"/>
                <w:noProof/>
              </w:rPr>
              <w:t>Mise à jour annuelle</w:t>
            </w:r>
            <w:r>
              <w:rPr>
                <w:noProof/>
                <w:webHidden/>
              </w:rPr>
              <w:tab/>
            </w:r>
            <w:r>
              <w:rPr>
                <w:noProof/>
                <w:webHidden/>
              </w:rPr>
              <w:fldChar w:fldCharType="begin"/>
            </w:r>
            <w:r>
              <w:rPr>
                <w:noProof/>
                <w:webHidden/>
              </w:rPr>
              <w:instrText xml:space="preserve"> PAGEREF _Toc76034164 \h </w:instrText>
            </w:r>
            <w:r>
              <w:rPr>
                <w:noProof/>
                <w:webHidden/>
              </w:rPr>
            </w:r>
            <w:r>
              <w:rPr>
                <w:noProof/>
                <w:webHidden/>
              </w:rPr>
              <w:fldChar w:fldCharType="separate"/>
            </w:r>
            <w:r>
              <w:rPr>
                <w:noProof/>
                <w:webHidden/>
              </w:rPr>
              <w:t>18</w:t>
            </w:r>
            <w:r>
              <w:rPr>
                <w:noProof/>
                <w:webHidden/>
              </w:rPr>
              <w:fldChar w:fldCharType="end"/>
            </w:r>
          </w:hyperlink>
        </w:p>
        <w:p w14:paraId="372825BD" w14:textId="76E0FA60" w:rsidR="007F1FE2" w:rsidRDefault="007F1FE2">
          <w:pPr>
            <w:pStyle w:val="TM2"/>
            <w:tabs>
              <w:tab w:val="left" w:pos="880"/>
              <w:tab w:val="right" w:leader="dot" w:pos="9350"/>
            </w:tabs>
            <w:rPr>
              <w:rFonts w:cstheme="minorBidi"/>
              <w:noProof/>
              <w:lang w:val="fr-BE" w:eastAsia="fr-BE"/>
            </w:rPr>
          </w:pPr>
          <w:hyperlink w:anchor="_Toc76034165" w:history="1">
            <w:r w:rsidRPr="00C753FD">
              <w:rPr>
                <w:rStyle w:val="Lienhypertexte"/>
                <w:noProof/>
              </w:rPr>
              <w:t>6.4.</w:t>
            </w:r>
            <w:r>
              <w:rPr>
                <w:rFonts w:cstheme="minorBidi"/>
                <w:noProof/>
                <w:lang w:val="fr-BE" w:eastAsia="fr-BE"/>
              </w:rPr>
              <w:tab/>
            </w:r>
            <w:r w:rsidRPr="00C753FD">
              <w:rPr>
                <w:rStyle w:val="Lienhypertexte"/>
                <w:noProof/>
              </w:rPr>
              <w:t>Utilisation d'un autre numéro d'enregistrement (enregistrement réduit)</w:t>
            </w:r>
            <w:r>
              <w:rPr>
                <w:noProof/>
                <w:webHidden/>
              </w:rPr>
              <w:tab/>
            </w:r>
            <w:r>
              <w:rPr>
                <w:noProof/>
                <w:webHidden/>
              </w:rPr>
              <w:fldChar w:fldCharType="begin"/>
            </w:r>
            <w:r>
              <w:rPr>
                <w:noProof/>
                <w:webHidden/>
              </w:rPr>
              <w:instrText xml:space="preserve"> PAGEREF _Toc76034165 \h </w:instrText>
            </w:r>
            <w:r>
              <w:rPr>
                <w:noProof/>
                <w:webHidden/>
              </w:rPr>
            </w:r>
            <w:r>
              <w:rPr>
                <w:noProof/>
                <w:webHidden/>
              </w:rPr>
              <w:fldChar w:fldCharType="separate"/>
            </w:r>
            <w:r>
              <w:rPr>
                <w:noProof/>
                <w:webHidden/>
              </w:rPr>
              <w:t>19</w:t>
            </w:r>
            <w:r>
              <w:rPr>
                <w:noProof/>
                <w:webHidden/>
              </w:rPr>
              <w:fldChar w:fldCharType="end"/>
            </w:r>
          </w:hyperlink>
        </w:p>
        <w:p w14:paraId="1A3C8E4B" w14:textId="4599FB8F" w:rsidR="007F1FE2" w:rsidRDefault="007F1FE2">
          <w:pPr>
            <w:pStyle w:val="TM1"/>
            <w:tabs>
              <w:tab w:val="left" w:pos="440"/>
              <w:tab w:val="right" w:leader="dot" w:pos="9350"/>
            </w:tabs>
            <w:rPr>
              <w:rFonts w:cstheme="minorBidi"/>
              <w:noProof/>
              <w:lang w:val="fr-BE" w:eastAsia="fr-BE"/>
            </w:rPr>
          </w:pPr>
          <w:hyperlink w:anchor="_Toc76034166" w:history="1">
            <w:r w:rsidRPr="00C753FD">
              <w:rPr>
                <w:rStyle w:val="Lienhypertexte"/>
                <w:noProof/>
                <w:lang w:val="fr-FR"/>
              </w:rPr>
              <w:t>7.</w:t>
            </w:r>
            <w:r>
              <w:rPr>
                <w:rFonts w:cstheme="minorBidi"/>
                <w:noProof/>
                <w:lang w:val="fr-BE" w:eastAsia="fr-BE"/>
              </w:rPr>
              <w:tab/>
            </w:r>
            <w:r w:rsidRPr="00C753FD">
              <w:rPr>
                <w:rStyle w:val="Lienhypertexte"/>
                <w:noProof/>
                <w:lang w:val="fr-FR"/>
              </w:rPr>
              <w:t>Rôles dans la chaîne d'approvisionnement</w:t>
            </w:r>
            <w:r>
              <w:rPr>
                <w:noProof/>
                <w:webHidden/>
              </w:rPr>
              <w:tab/>
            </w:r>
            <w:r>
              <w:rPr>
                <w:noProof/>
                <w:webHidden/>
              </w:rPr>
              <w:fldChar w:fldCharType="begin"/>
            </w:r>
            <w:r>
              <w:rPr>
                <w:noProof/>
                <w:webHidden/>
              </w:rPr>
              <w:instrText xml:space="preserve"> PAGEREF _Toc76034166 \h </w:instrText>
            </w:r>
            <w:r>
              <w:rPr>
                <w:noProof/>
                <w:webHidden/>
              </w:rPr>
            </w:r>
            <w:r>
              <w:rPr>
                <w:noProof/>
                <w:webHidden/>
              </w:rPr>
              <w:fldChar w:fldCharType="separate"/>
            </w:r>
            <w:r>
              <w:rPr>
                <w:noProof/>
                <w:webHidden/>
              </w:rPr>
              <w:t>21</w:t>
            </w:r>
            <w:r>
              <w:rPr>
                <w:noProof/>
                <w:webHidden/>
              </w:rPr>
              <w:fldChar w:fldCharType="end"/>
            </w:r>
          </w:hyperlink>
        </w:p>
        <w:p w14:paraId="202B836D" w14:textId="417E901B" w:rsidR="007F1FE2" w:rsidRDefault="007F1FE2">
          <w:pPr>
            <w:pStyle w:val="TM2"/>
            <w:tabs>
              <w:tab w:val="left" w:pos="880"/>
              <w:tab w:val="right" w:leader="dot" w:pos="9350"/>
            </w:tabs>
            <w:rPr>
              <w:rFonts w:cstheme="minorBidi"/>
              <w:noProof/>
              <w:lang w:val="fr-BE" w:eastAsia="fr-BE"/>
            </w:rPr>
          </w:pPr>
          <w:hyperlink w:anchor="_Toc76034167" w:history="1">
            <w:r w:rsidRPr="00C753FD">
              <w:rPr>
                <w:rStyle w:val="Lienhypertexte"/>
                <w:noProof/>
              </w:rPr>
              <w:t>7.1.</w:t>
            </w:r>
            <w:r>
              <w:rPr>
                <w:rFonts w:cstheme="minorBidi"/>
                <w:noProof/>
                <w:lang w:val="fr-BE" w:eastAsia="fr-BE"/>
              </w:rPr>
              <w:tab/>
            </w:r>
            <w:r w:rsidRPr="00C753FD">
              <w:rPr>
                <w:rStyle w:val="Lienhypertexte"/>
                <w:noProof/>
              </w:rPr>
              <w:t>Répartition du nombre des entreprises par rôle</w:t>
            </w:r>
            <w:r>
              <w:rPr>
                <w:noProof/>
                <w:webHidden/>
              </w:rPr>
              <w:tab/>
            </w:r>
            <w:r>
              <w:rPr>
                <w:noProof/>
                <w:webHidden/>
              </w:rPr>
              <w:fldChar w:fldCharType="begin"/>
            </w:r>
            <w:r>
              <w:rPr>
                <w:noProof/>
                <w:webHidden/>
              </w:rPr>
              <w:instrText xml:space="preserve"> PAGEREF _Toc76034167 \h </w:instrText>
            </w:r>
            <w:r>
              <w:rPr>
                <w:noProof/>
                <w:webHidden/>
              </w:rPr>
            </w:r>
            <w:r>
              <w:rPr>
                <w:noProof/>
                <w:webHidden/>
              </w:rPr>
              <w:fldChar w:fldCharType="separate"/>
            </w:r>
            <w:r>
              <w:rPr>
                <w:noProof/>
                <w:webHidden/>
              </w:rPr>
              <w:t>21</w:t>
            </w:r>
            <w:r>
              <w:rPr>
                <w:noProof/>
                <w:webHidden/>
              </w:rPr>
              <w:fldChar w:fldCharType="end"/>
            </w:r>
          </w:hyperlink>
        </w:p>
        <w:p w14:paraId="405DBE92" w14:textId="1340E937" w:rsidR="007F1FE2" w:rsidRDefault="007F1FE2">
          <w:pPr>
            <w:pStyle w:val="TM2"/>
            <w:tabs>
              <w:tab w:val="left" w:pos="880"/>
              <w:tab w:val="right" w:leader="dot" w:pos="9350"/>
            </w:tabs>
            <w:rPr>
              <w:rFonts w:cstheme="minorBidi"/>
              <w:noProof/>
              <w:lang w:val="fr-BE" w:eastAsia="fr-BE"/>
            </w:rPr>
          </w:pPr>
          <w:hyperlink w:anchor="_Toc76034168" w:history="1">
            <w:r w:rsidRPr="00C753FD">
              <w:rPr>
                <w:rStyle w:val="Lienhypertexte"/>
                <w:noProof/>
              </w:rPr>
              <w:t>7.2.</w:t>
            </w:r>
            <w:r>
              <w:rPr>
                <w:rFonts w:cstheme="minorBidi"/>
                <w:noProof/>
                <w:lang w:val="fr-BE" w:eastAsia="fr-BE"/>
              </w:rPr>
              <w:tab/>
            </w:r>
            <w:r w:rsidRPr="00C753FD">
              <w:rPr>
                <w:rStyle w:val="Lienhypertexte"/>
                <w:noProof/>
              </w:rPr>
              <w:t>Répartition du nombre des enregistrements par rôle</w:t>
            </w:r>
            <w:r>
              <w:rPr>
                <w:noProof/>
                <w:webHidden/>
              </w:rPr>
              <w:tab/>
            </w:r>
            <w:r>
              <w:rPr>
                <w:noProof/>
                <w:webHidden/>
              </w:rPr>
              <w:fldChar w:fldCharType="begin"/>
            </w:r>
            <w:r>
              <w:rPr>
                <w:noProof/>
                <w:webHidden/>
              </w:rPr>
              <w:instrText xml:space="preserve"> PAGEREF _Toc76034168 \h </w:instrText>
            </w:r>
            <w:r>
              <w:rPr>
                <w:noProof/>
                <w:webHidden/>
              </w:rPr>
            </w:r>
            <w:r>
              <w:rPr>
                <w:noProof/>
                <w:webHidden/>
              </w:rPr>
              <w:fldChar w:fldCharType="separate"/>
            </w:r>
            <w:r>
              <w:rPr>
                <w:noProof/>
                <w:webHidden/>
              </w:rPr>
              <w:t>23</w:t>
            </w:r>
            <w:r>
              <w:rPr>
                <w:noProof/>
                <w:webHidden/>
              </w:rPr>
              <w:fldChar w:fldCharType="end"/>
            </w:r>
          </w:hyperlink>
        </w:p>
        <w:p w14:paraId="6764B5F0" w14:textId="54A6C991" w:rsidR="007F1FE2" w:rsidRDefault="007F1FE2">
          <w:pPr>
            <w:pStyle w:val="TM1"/>
            <w:tabs>
              <w:tab w:val="left" w:pos="440"/>
              <w:tab w:val="right" w:leader="dot" w:pos="9350"/>
            </w:tabs>
            <w:rPr>
              <w:rFonts w:cstheme="minorBidi"/>
              <w:noProof/>
              <w:lang w:val="fr-BE" w:eastAsia="fr-BE"/>
            </w:rPr>
          </w:pPr>
          <w:hyperlink w:anchor="_Toc76034169" w:history="1">
            <w:r w:rsidRPr="00C753FD">
              <w:rPr>
                <w:rStyle w:val="Lienhypertexte"/>
                <w:noProof/>
                <w:lang w:val="fr-FR"/>
              </w:rPr>
              <w:t>8.</w:t>
            </w:r>
            <w:r>
              <w:rPr>
                <w:rFonts w:cstheme="minorBidi"/>
                <w:noProof/>
                <w:lang w:val="fr-BE" w:eastAsia="fr-BE"/>
              </w:rPr>
              <w:tab/>
            </w:r>
            <w:r w:rsidRPr="00C753FD">
              <w:rPr>
                <w:rStyle w:val="Lienhypertexte"/>
                <w:noProof/>
                <w:lang w:val="fr-FR"/>
              </w:rPr>
              <w:t>Activités économiques</w:t>
            </w:r>
            <w:r>
              <w:rPr>
                <w:noProof/>
                <w:webHidden/>
              </w:rPr>
              <w:tab/>
            </w:r>
            <w:r>
              <w:rPr>
                <w:noProof/>
                <w:webHidden/>
              </w:rPr>
              <w:fldChar w:fldCharType="begin"/>
            </w:r>
            <w:r>
              <w:rPr>
                <w:noProof/>
                <w:webHidden/>
              </w:rPr>
              <w:instrText xml:space="preserve"> PAGEREF _Toc76034169 \h </w:instrText>
            </w:r>
            <w:r>
              <w:rPr>
                <w:noProof/>
                <w:webHidden/>
              </w:rPr>
            </w:r>
            <w:r>
              <w:rPr>
                <w:noProof/>
                <w:webHidden/>
              </w:rPr>
              <w:fldChar w:fldCharType="separate"/>
            </w:r>
            <w:r>
              <w:rPr>
                <w:noProof/>
                <w:webHidden/>
              </w:rPr>
              <w:t>24</w:t>
            </w:r>
            <w:r>
              <w:rPr>
                <w:noProof/>
                <w:webHidden/>
              </w:rPr>
              <w:fldChar w:fldCharType="end"/>
            </w:r>
          </w:hyperlink>
        </w:p>
        <w:p w14:paraId="1DA49C4B" w14:textId="7CAC1DEC" w:rsidR="007F1FE2" w:rsidRDefault="007F1FE2">
          <w:pPr>
            <w:pStyle w:val="TM2"/>
            <w:tabs>
              <w:tab w:val="left" w:pos="880"/>
              <w:tab w:val="right" w:leader="dot" w:pos="9350"/>
            </w:tabs>
            <w:rPr>
              <w:rFonts w:cstheme="minorBidi"/>
              <w:noProof/>
              <w:lang w:val="fr-BE" w:eastAsia="fr-BE"/>
            </w:rPr>
          </w:pPr>
          <w:hyperlink w:anchor="_Toc76034170" w:history="1">
            <w:r w:rsidRPr="00C753FD">
              <w:rPr>
                <w:rStyle w:val="Lienhypertexte"/>
                <w:noProof/>
              </w:rPr>
              <w:t>8.1.</w:t>
            </w:r>
            <w:r>
              <w:rPr>
                <w:rFonts w:cstheme="minorBidi"/>
                <w:noProof/>
                <w:lang w:val="fr-BE" w:eastAsia="fr-BE"/>
              </w:rPr>
              <w:tab/>
            </w:r>
            <w:r w:rsidRPr="00C753FD">
              <w:rPr>
                <w:rStyle w:val="Lienhypertexte"/>
                <w:noProof/>
              </w:rPr>
              <w:t>Codes NACE(BEL)</w:t>
            </w:r>
            <w:r>
              <w:rPr>
                <w:noProof/>
                <w:webHidden/>
              </w:rPr>
              <w:tab/>
            </w:r>
            <w:r>
              <w:rPr>
                <w:noProof/>
                <w:webHidden/>
              </w:rPr>
              <w:fldChar w:fldCharType="begin"/>
            </w:r>
            <w:r>
              <w:rPr>
                <w:noProof/>
                <w:webHidden/>
              </w:rPr>
              <w:instrText xml:space="preserve"> PAGEREF _Toc76034170 \h </w:instrText>
            </w:r>
            <w:r>
              <w:rPr>
                <w:noProof/>
                <w:webHidden/>
              </w:rPr>
            </w:r>
            <w:r>
              <w:rPr>
                <w:noProof/>
                <w:webHidden/>
              </w:rPr>
              <w:fldChar w:fldCharType="separate"/>
            </w:r>
            <w:r>
              <w:rPr>
                <w:noProof/>
                <w:webHidden/>
              </w:rPr>
              <w:t>24</w:t>
            </w:r>
            <w:r>
              <w:rPr>
                <w:noProof/>
                <w:webHidden/>
              </w:rPr>
              <w:fldChar w:fldCharType="end"/>
            </w:r>
          </w:hyperlink>
        </w:p>
        <w:p w14:paraId="4F0CB67F" w14:textId="50BA2E21" w:rsidR="007F1FE2" w:rsidRDefault="007F1FE2">
          <w:pPr>
            <w:pStyle w:val="TM2"/>
            <w:tabs>
              <w:tab w:val="left" w:pos="880"/>
              <w:tab w:val="right" w:leader="dot" w:pos="9350"/>
            </w:tabs>
            <w:rPr>
              <w:rFonts w:cstheme="minorBidi"/>
              <w:noProof/>
              <w:lang w:val="fr-BE" w:eastAsia="fr-BE"/>
            </w:rPr>
          </w:pPr>
          <w:hyperlink w:anchor="_Toc76034171" w:history="1">
            <w:r w:rsidRPr="00C753FD">
              <w:rPr>
                <w:rStyle w:val="Lienhypertexte"/>
                <w:noProof/>
              </w:rPr>
              <w:t>8.2.</w:t>
            </w:r>
            <w:r>
              <w:rPr>
                <w:rFonts w:cstheme="minorBidi"/>
                <w:noProof/>
                <w:lang w:val="fr-BE" w:eastAsia="fr-BE"/>
              </w:rPr>
              <w:tab/>
            </w:r>
            <w:r w:rsidRPr="00C753FD">
              <w:rPr>
                <w:rStyle w:val="Lienhypertexte"/>
                <w:noProof/>
              </w:rPr>
              <w:t>Activités économiques des déclarants</w:t>
            </w:r>
            <w:r>
              <w:rPr>
                <w:noProof/>
                <w:webHidden/>
              </w:rPr>
              <w:tab/>
            </w:r>
            <w:r>
              <w:rPr>
                <w:noProof/>
                <w:webHidden/>
              </w:rPr>
              <w:fldChar w:fldCharType="begin"/>
            </w:r>
            <w:r>
              <w:rPr>
                <w:noProof/>
                <w:webHidden/>
              </w:rPr>
              <w:instrText xml:space="preserve"> PAGEREF _Toc76034171 \h </w:instrText>
            </w:r>
            <w:r>
              <w:rPr>
                <w:noProof/>
                <w:webHidden/>
              </w:rPr>
            </w:r>
            <w:r>
              <w:rPr>
                <w:noProof/>
                <w:webHidden/>
              </w:rPr>
              <w:fldChar w:fldCharType="separate"/>
            </w:r>
            <w:r>
              <w:rPr>
                <w:noProof/>
                <w:webHidden/>
              </w:rPr>
              <w:t>25</w:t>
            </w:r>
            <w:r>
              <w:rPr>
                <w:noProof/>
                <w:webHidden/>
              </w:rPr>
              <w:fldChar w:fldCharType="end"/>
            </w:r>
          </w:hyperlink>
        </w:p>
        <w:p w14:paraId="35C20A64" w14:textId="41B0C623" w:rsidR="007F1FE2" w:rsidRDefault="007F1FE2">
          <w:pPr>
            <w:pStyle w:val="TM2"/>
            <w:tabs>
              <w:tab w:val="left" w:pos="880"/>
              <w:tab w:val="right" w:leader="dot" w:pos="9350"/>
            </w:tabs>
            <w:rPr>
              <w:rFonts w:cstheme="minorBidi"/>
              <w:noProof/>
              <w:lang w:val="fr-BE" w:eastAsia="fr-BE"/>
            </w:rPr>
          </w:pPr>
          <w:hyperlink w:anchor="_Toc76034172" w:history="1">
            <w:r w:rsidRPr="00C753FD">
              <w:rPr>
                <w:rStyle w:val="Lienhypertexte"/>
                <w:noProof/>
                <w:lang w:val="fr-BE"/>
              </w:rPr>
              <w:t>8.3.</w:t>
            </w:r>
            <w:r>
              <w:rPr>
                <w:rFonts w:cstheme="minorBidi"/>
                <w:noProof/>
                <w:lang w:val="fr-BE" w:eastAsia="fr-BE"/>
              </w:rPr>
              <w:tab/>
            </w:r>
            <w:r w:rsidRPr="00C753FD">
              <w:rPr>
                <w:rStyle w:val="Lienhypertexte"/>
                <w:noProof/>
              </w:rPr>
              <w:t>Activités économiques mentionnées dans les enregistrements</w:t>
            </w:r>
            <w:r>
              <w:rPr>
                <w:noProof/>
                <w:webHidden/>
              </w:rPr>
              <w:tab/>
            </w:r>
            <w:r>
              <w:rPr>
                <w:noProof/>
                <w:webHidden/>
              </w:rPr>
              <w:fldChar w:fldCharType="begin"/>
            </w:r>
            <w:r>
              <w:rPr>
                <w:noProof/>
                <w:webHidden/>
              </w:rPr>
              <w:instrText xml:space="preserve"> PAGEREF _Toc76034172 \h </w:instrText>
            </w:r>
            <w:r>
              <w:rPr>
                <w:noProof/>
                <w:webHidden/>
              </w:rPr>
            </w:r>
            <w:r>
              <w:rPr>
                <w:noProof/>
                <w:webHidden/>
              </w:rPr>
              <w:fldChar w:fldCharType="separate"/>
            </w:r>
            <w:r>
              <w:rPr>
                <w:noProof/>
                <w:webHidden/>
              </w:rPr>
              <w:t>29</w:t>
            </w:r>
            <w:r>
              <w:rPr>
                <w:noProof/>
                <w:webHidden/>
              </w:rPr>
              <w:fldChar w:fldCharType="end"/>
            </w:r>
          </w:hyperlink>
        </w:p>
        <w:p w14:paraId="70157983" w14:textId="1E147569" w:rsidR="007F1FE2" w:rsidRDefault="007F1FE2">
          <w:pPr>
            <w:pStyle w:val="TM2"/>
            <w:tabs>
              <w:tab w:val="left" w:pos="880"/>
              <w:tab w:val="right" w:leader="dot" w:pos="9350"/>
            </w:tabs>
            <w:rPr>
              <w:rFonts w:cstheme="minorBidi"/>
              <w:noProof/>
              <w:lang w:val="fr-BE" w:eastAsia="fr-BE"/>
            </w:rPr>
          </w:pPr>
          <w:hyperlink w:anchor="_Toc76034173" w:history="1">
            <w:r w:rsidRPr="00C753FD">
              <w:rPr>
                <w:rStyle w:val="Lienhypertexte"/>
                <w:noProof/>
              </w:rPr>
              <w:t>8.4.</w:t>
            </w:r>
            <w:r>
              <w:rPr>
                <w:rFonts w:cstheme="minorBidi"/>
                <w:noProof/>
                <w:lang w:val="fr-BE" w:eastAsia="fr-BE"/>
              </w:rPr>
              <w:tab/>
            </w:r>
            <w:r w:rsidRPr="00C753FD">
              <w:rPr>
                <w:rStyle w:val="Lienhypertexte"/>
                <w:noProof/>
              </w:rPr>
              <w:t>Activités économiques des producteurs</w:t>
            </w:r>
            <w:r>
              <w:rPr>
                <w:noProof/>
                <w:webHidden/>
              </w:rPr>
              <w:tab/>
            </w:r>
            <w:r>
              <w:rPr>
                <w:noProof/>
                <w:webHidden/>
              </w:rPr>
              <w:fldChar w:fldCharType="begin"/>
            </w:r>
            <w:r>
              <w:rPr>
                <w:noProof/>
                <w:webHidden/>
              </w:rPr>
              <w:instrText xml:space="preserve"> PAGEREF _Toc76034173 \h </w:instrText>
            </w:r>
            <w:r>
              <w:rPr>
                <w:noProof/>
                <w:webHidden/>
              </w:rPr>
            </w:r>
            <w:r>
              <w:rPr>
                <w:noProof/>
                <w:webHidden/>
              </w:rPr>
              <w:fldChar w:fldCharType="separate"/>
            </w:r>
            <w:r>
              <w:rPr>
                <w:noProof/>
                <w:webHidden/>
              </w:rPr>
              <w:t>31</w:t>
            </w:r>
            <w:r>
              <w:rPr>
                <w:noProof/>
                <w:webHidden/>
              </w:rPr>
              <w:fldChar w:fldCharType="end"/>
            </w:r>
          </w:hyperlink>
        </w:p>
        <w:p w14:paraId="02E398F8" w14:textId="7D4847D6" w:rsidR="007F1FE2" w:rsidRDefault="007F1FE2">
          <w:pPr>
            <w:pStyle w:val="TM2"/>
            <w:tabs>
              <w:tab w:val="left" w:pos="880"/>
              <w:tab w:val="right" w:leader="dot" w:pos="9350"/>
            </w:tabs>
            <w:rPr>
              <w:rFonts w:cstheme="minorBidi"/>
              <w:noProof/>
              <w:lang w:val="fr-BE" w:eastAsia="fr-BE"/>
            </w:rPr>
          </w:pPr>
          <w:hyperlink w:anchor="_Toc76034174" w:history="1">
            <w:r w:rsidRPr="00C753FD">
              <w:rPr>
                <w:rStyle w:val="Lienhypertexte"/>
                <w:noProof/>
              </w:rPr>
              <w:t>8.5.</w:t>
            </w:r>
            <w:r>
              <w:rPr>
                <w:rFonts w:cstheme="minorBidi"/>
                <w:noProof/>
                <w:lang w:val="fr-BE" w:eastAsia="fr-BE"/>
              </w:rPr>
              <w:tab/>
            </w:r>
            <w:r w:rsidRPr="00C753FD">
              <w:rPr>
                <w:rStyle w:val="Lienhypertexte"/>
                <w:noProof/>
              </w:rPr>
              <w:t>Activités économiques des importateurs</w:t>
            </w:r>
            <w:r>
              <w:rPr>
                <w:noProof/>
                <w:webHidden/>
              </w:rPr>
              <w:tab/>
            </w:r>
            <w:r>
              <w:rPr>
                <w:noProof/>
                <w:webHidden/>
              </w:rPr>
              <w:fldChar w:fldCharType="begin"/>
            </w:r>
            <w:r>
              <w:rPr>
                <w:noProof/>
                <w:webHidden/>
              </w:rPr>
              <w:instrText xml:space="preserve"> PAGEREF _Toc76034174 \h </w:instrText>
            </w:r>
            <w:r>
              <w:rPr>
                <w:noProof/>
                <w:webHidden/>
              </w:rPr>
            </w:r>
            <w:r>
              <w:rPr>
                <w:noProof/>
                <w:webHidden/>
              </w:rPr>
              <w:fldChar w:fldCharType="separate"/>
            </w:r>
            <w:r>
              <w:rPr>
                <w:noProof/>
                <w:webHidden/>
              </w:rPr>
              <w:t>33</w:t>
            </w:r>
            <w:r>
              <w:rPr>
                <w:noProof/>
                <w:webHidden/>
              </w:rPr>
              <w:fldChar w:fldCharType="end"/>
            </w:r>
          </w:hyperlink>
        </w:p>
        <w:p w14:paraId="707017AA" w14:textId="63723807" w:rsidR="007F1FE2" w:rsidRDefault="007F1FE2">
          <w:pPr>
            <w:pStyle w:val="TM1"/>
            <w:tabs>
              <w:tab w:val="left" w:pos="440"/>
              <w:tab w:val="right" w:leader="dot" w:pos="9350"/>
            </w:tabs>
            <w:rPr>
              <w:rFonts w:cstheme="minorBidi"/>
              <w:noProof/>
              <w:lang w:val="fr-BE" w:eastAsia="fr-BE"/>
            </w:rPr>
          </w:pPr>
          <w:hyperlink w:anchor="_Toc76034175" w:history="1">
            <w:r w:rsidRPr="00C753FD">
              <w:rPr>
                <w:rStyle w:val="Lienhypertexte"/>
                <w:noProof/>
                <w:lang w:val="fr-FR"/>
              </w:rPr>
              <w:t>9.</w:t>
            </w:r>
            <w:r>
              <w:rPr>
                <w:rFonts w:cstheme="minorBidi"/>
                <w:noProof/>
                <w:lang w:val="fr-BE" w:eastAsia="fr-BE"/>
              </w:rPr>
              <w:tab/>
            </w:r>
            <w:r w:rsidRPr="00C753FD">
              <w:rPr>
                <w:rStyle w:val="Lienhypertexte"/>
                <w:noProof/>
                <w:lang w:val="fr-FR"/>
              </w:rPr>
              <w:t>Utilisation des substances enregistrées</w:t>
            </w:r>
            <w:r>
              <w:rPr>
                <w:noProof/>
                <w:webHidden/>
              </w:rPr>
              <w:tab/>
            </w:r>
            <w:r>
              <w:rPr>
                <w:noProof/>
                <w:webHidden/>
              </w:rPr>
              <w:fldChar w:fldCharType="begin"/>
            </w:r>
            <w:r>
              <w:rPr>
                <w:noProof/>
                <w:webHidden/>
              </w:rPr>
              <w:instrText xml:space="preserve"> PAGEREF _Toc76034175 \h </w:instrText>
            </w:r>
            <w:r>
              <w:rPr>
                <w:noProof/>
                <w:webHidden/>
              </w:rPr>
            </w:r>
            <w:r>
              <w:rPr>
                <w:noProof/>
                <w:webHidden/>
              </w:rPr>
              <w:fldChar w:fldCharType="separate"/>
            </w:r>
            <w:r>
              <w:rPr>
                <w:noProof/>
                <w:webHidden/>
              </w:rPr>
              <w:t>34</w:t>
            </w:r>
            <w:r>
              <w:rPr>
                <w:noProof/>
                <w:webHidden/>
              </w:rPr>
              <w:fldChar w:fldCharType="end"/>
            </w:r>
          </w:hyperlink>
        </w:p>
        <w:p w14:paraId="1748D018" w14:textId="726EF4F9" w:rsidR="007F1FE2" w:rsidRDefault="007F1FE2">
          <w:pPr>
            <w:pStyle w:val="TM2"/>
            <w:tabs>
              <w:tab w:val="left" w:pos="880"/>
              <w:tab w:val="right" w:leader="dot" w:pos="9350"/>
            </w:tabs>
            <w:rPr>
              <w:rFonts w:cstheme="minorBidi"/>
              <w:noProof/>
              <w:lang w:val="fr-BE" w:eastAsia="fr-BE"/>
            </w:rPr>
          </w:pPr>
          <w:hyperlink w:anchor="_Toc76034176" w:history="1">
            <w:r w:rsidRPr="00C753FD">
              <w:rPr>
                <w:rStyle w:val="Lienhypertexte"/>
                <w:noProof/>
              </w:rPr>
              <w:t>9.1.</w:t>
            </w:r>
            <w:r>
              <w:rPr>
                <w:rFonts w:cstheme="minorBidi"/>
                <w:noProof/>
                <w:lang w:val="fr-BE" w:eastAsia="fr-BE"/>
              </w:rPr>
              <w:tab/>
            </w:r>
            <w:r w:rsidRPr="00C753FD">
              <w:rPr>
                <w:rStyle w:val="Lienhypertexte"/>
                <w:noProof/>
              </w:rPr>
              <w:t>Description des utilisations</w:t>
            </w:r>
            <w:r>
              <w:rPr>
                <w:noProof/>
                <w:webHidden/>
              </w:rPr>
              <w:tab/>
            </w:r>
            <w:r>
              <w:rPr>
                <w:noProof/>
                <w:webHidden/>
              </w:rPr>
              <w:fldChar w:fldCharType="begin"/>
            </w:r>
            <w:r>
              <w:rPr>
                <w:noProof/>
                <w:webHidden/>
              </w:rPr>
              <w:instrText xml:space="preserve"> PAGEREF _Toc76034176 \h </w:instrText>
            </w:r>
            <w:r>
              <w:rPr>
                <w:noProof/>
                <w:webHidden/>
              </w:rPr>
            </w:r>
            <w:r>
              <w:rPr>
                <w:noProof/>
                <w:webHidden/>
              </w:rPr>
              <w:fldChar w:fldCharType="separate"/>
            </w:r>
            <w:r>
              <w:rPr>
                <w:noProof/>
                <w:webHidden/>
              </w:rPr>
              <w:t>34</w:t>
            </w:r>
            <w:r>
              <w:rPr>
                <w:noProof/>
                <w:webHidden/>
              </w:rPr>
              <w:fldChar w:fldCharType="end"/>
            </w:r>
          </w:hyperlink>
        </w:p>
        <w:p w14:paraId="5F63F286" w14:textId="7947A3D9" w:rsidR="007F1FE2" w:rsidRDefault="007F1FE2">
          <w:pPr>
            <w:pStyle w:val="TM2"/>
            <w:tabs>
              <w:tab w:val="left" w:pos="880"/>
              <w:tab w:val="right" w:leader="dot" w:pos="9350"/>
            </w:tabs>
            <w:rPr>
              <w:rFonts w:cstheme="minorBidi"/>
              <w:noProof/>
              <w:lang w:val="fr-BE" w:eastAsia="fr-BE"/>
            </w:rPr>
          </w:pPr>
          <w:hyperlink w:anchor="_Toc76034177" w:history="1">
            <w:r w:rsidRPr="00C753FD">
              <w:rPr>
                <w:rStyle w:val="Lienhypertexte"/>
                <w:noProof/>
              </w:rPr>
              <w:t>9.2.</w:t>
            </w:r>
            <w:r>
              <w:rPr>
                <w:rFonts w:cstheme="minorBidi"/>
                <w:noProof/>
                <w:lang w:val="fr-BE" w:eastAsia="fr-BE"/>
              </w:rPr>
              <w:tab/>
            </w:r>
            <w:r w:rsidRPr="00C753FD">
              <w:rPr>
                <w:rStyle w:val="Lienhypertexte"/>
                <w:noProof/>
              </w:rPr>
              <w:t>Secteurs d’utilisation (SU)</w:t>
            </w:r>
            <w:r>
              <w:rPr>
                <w:noProof/>
                <w:webHidden/>
              </w:rPr>
              <w:tab/>
            </w:r>
            <w:r>
              <w:rPr>
                <w:noProof/>
                <w:webHidden/>
              </w:rPr>
              <w:fldChar w:fldCharType="begin"/>
            </w:r>
            <w:r>
              <w:rPr>
                <w:noProof/>
                <w:webHidden/>
              </w:rPr>
              <w:instrText xml:space="preserve"> PAGEREF _Toc76034177 \h </w:instrText>
            </w:r>
            <w:r>
              <w:rPr>
                <w:noProof/>
                <w:webHidden/>
              </w:rPr>
            </w:r>
            <w:r>
              <w:rPr>
                <w:noProof/>
                <w:webHidden/>
              </w:rPr>
              <w:fldChar w:fldCharType="separate"/>
            </w:r>
            <w:r>
              <w:rPr>
                <w:noProof/>
                <w:webHidden/>
              </w:rPr>
              <w:t>35</w:t>
            </w:r>
            <w:r>
              <w:rPr>
                <w:noProof/>
                <w:webHidden/>
              </w:rPr>
              <w:fldChar w:fldCharType="end"/>
            </w:r>
          </w:hyperlink>
        </w:p>
        <w:p w14:paraId="185BD54D" w14:textId="414A06DA" w:rsidR="007F1FE2" w:rsidRDefault="007F1FE2">
          <w:pPr>
            <w:pStyle w:val="TM2"/>
            <w:tabs>
              <w:tab w:val="left" w:pos="880"/>
              <w:tab w:val="right" w:leader="dot" w:pos="9350"/>
            </w:tabs>
            <w:rPr>
              <w:rFonts w:cstheme="minorBidi"/>
              <w:noProof/>
              <w:lang w:val="fr-BE" w:eastAsia="fr-BE"/>
            </w:rPr>
          </w:pPr>
          <w:hyperlink w:anchor="_Toc76034178" w:history="1">
            <w:r w:rsidRPr="00C753FD">
              <w:rPr>
                <w:rStyle w:val="Lienhypertexte"/>
                <w:noProof/>
              </w:rPr>
              <w:t>9.3.</w:t>
            </w:r>
            <w:r>
              <w:rPr>
                <w:rFonts w:cstheme="minorBidi"/>
                <w:noProof/>
                <w:lang w:val="fr-BE" w:eastAsia="fr-BE"/>
              </w:rPr>
              <w:tab/>
            </w:r>
            <w:r w:rsidRPr="00C753FD">
              <w:rPr>
                <w:rStyle w:val="Lienhypertexte"/>
                <w:noProof/>
              </w:rPr>
              <w:t>Catégories de processus (PROC)</w:t>
            </w:r>
            <w:r>
              <w:rPr>
                <w:noProof/>
                <w:webHidden/>
              </w:rPr>
              <w:tab/>
            </w:r>
            <w:r>
              <w:rPr>
                <w:noProof/>
                <w:webHidden/>
              </w:rPr>
              <w:fldChar w:fldCharType="begin"/>
            </w:r>
            <w:r>
              <w:rPr>
                <w:noProof/>
                <w:webHidden/>
              </w:rPr>
              <w:instrText xml:space="preserve"> PAGEREF _Toc76034178 \h </w:instrText>
            </w:r>
            <w:r>
              <w:rPr>
                <w:noProof/>
                <w:webHidden/>
              </w:rPr>
            </w:r>
            <w:r>
              <w:rPr>
                <w:noProof/>
                <w:webHidden/>
              </w:rPr>
              <w:fldChar w:fldCharType="separate"/>
            </w:r>
            <w:r>
              <w:rPr>
                <w:noProof/>
                <w:webHidden/>
              </w:rPr>
              <w:t>37</w:t>
            </w:r>
            <w:r>
              <w:rPr>
                <w:noProof/>
                <w:webHidden/>
              </w:rPr>
              <w:fldChar w:fldCharType="end"/>
            </w:r>
          </w:hyperlink>
        </w:p>
        <w:p w14:paraId="16129D8D" w14:textId="2695F6A8" w:rsidR="007F1FE2" w:rsidRDefault="007F1FE2">
          <w:pPr>
            <w:pStyle w:val="TM2"/>
            <w:tabs>
              <w:tab w:val="left" w:pos="880"/>
              <w:tab w:val="right" w:leader="dot" w:pos="9350"/>
            </w:tabs>
            <w:rPr>
              <w:rFonts w:cstheme="minorBidi"/>
              <w:noProof/>
              <w:lang w:val="fr-BE" w:eastAsia="fr-BE"/>
            </w:rPr>
          </w:pPr>
          <w:hyperlink w:anchor="_Toc76034179" w:history="1">
            <w:r w:rsidRPr="00C753FD">
              <w:rPr>
                <w:rStyle w:val="Lienhypertexte"/>
                <w:noProof/>
              </w:rPr>
              <w:t>9.4.</w:t>
            </w:r>
            <w:r>
              <w:rPr>
                <w:rFonts w:cstheme="minorBidi"/>
                <w:noProof/>
                <w:lang w:val="fr-BE" w:eastAsia="fr-BE"/>
              </w:rPr>
              <w:tab/>
            </w:r>
            <w:r w:rsidRPr="00C753FD">
              <w:rPr>
                <w:rStyle w:val="Lienhypertexte"/>
                <w:noProof/>
              </w:rPr>
              <w:t>Catégorie de produits chimiques (PC)</w:t>
            </w:r>
            <w:r>
              <w:rPr>
                <w:noProof/>
                <w:webHidden/>
              </w:rPr>
              <w:tab/>
            </w:r>
            <w:r>
              <w:rPr>
                <w:noProof/>
                <w:webHidden/>
              </w:rPr>
              <w:fldChar w:fldCharType="begin"/>
            </w:r>
            <w:r>
              <w:rPr>
                <w:noProof/>
                <w:webHidden/>
              </w:rPr>
              <w:instrText xml:space="preserve"> PAGEREF _Toc76034179 \h </w:instrText>
            </w:r>
            <w:r>
              <w:rPr>
                <w:noProof/>
                <w:webHidden/>
              </w:rPr>
            </w:r>
            <w:r>
              <w:rPr>
                <w:noProof/>
                <w:webHidden/>
              </w:rPr>
              <w:fldChar w:fldCharType="separate"/>
            </w:r>
            <w:r>
              <w:rPr>
                <w:noProof/>
                <w:webHidden/>
              </w:rPr>
              <w:t>38</w:t>
            </w:r>
            <w:r>
              <w:rPr>
                <w:noProof/>
                <w:webHidden/>
              </w:rPr>
              <w:fldChar w:fldCharType="end"/>
            </w:r>
          </w:hyperlink>
        </w:p>
        <w:p w14:paraId="6332F500" w14:textId="731D6BFE" w:rsidR="007F1FE2" w:rsidRDefault="007F1FE2">
          <w:pPr>
            <w:pStyle w:val="TM2"/>
            <w:tabs>
              <w:tab w:val="left" w:pos="880"/>
              <w:tab w:val="right" w:leader="dot" w:pos="9350"/>
            </w:tabs>
            <w:rPr>
              <w:rFonts w:cstheme="minorBidi"/>
              <w:noProof/>
              <w:lang w:val="fr-BE" w:eastAsia="fr-BE"/>
            </w:rPr>
          </w:pPr>
          <w:hyperlink w:anchor="_Toc76034180" w:history="1">
            <w:r w:rsidRPr="00C753FD">
              <w:rPr>
                <w:rStyle w:val="Lienhypertexte"/>
                <w:noProof/>
              </w:rPr>
              <w:t>9.5.</w:t>
            </w:r>
            <w:r>
              <w:rPr>
                <w:rFonts w:cstheme="minorBidi"/>
                <w:noProof/>
                <w:lang w:val="fr-BE" w:eastAsia="fr-BE"/>
              </w:rPr>
              <w:tab/>
            </w:r>
            <w:r w:rsidRPr="00C753FD">
              <w:rPr>
                <w:rStyle w:val="Lienhypertexte"/>
                <w:noProof/>
              </w:rPr>
              <w:t>Catégorie de rejet dans l’environnement (ERC)</w:t>
            </w:r>
            <w:r>
              <w:rPr>
                <w:noProof/>
                <w:webHidden/>
              </w:rPr>
              <w:tab/>
            </w:r>
            <w:r>
              <w:rPr>
                <w:noProof/>
                <w:webHidden/>
              </w:rPr>
              <w:fldChar w:fldCharType="begin"/>
            </w:r>
            <w:r>
              <w:rPr>
                <w:noProof/>
                <w:webHidden/>
              </w:rPr>
              <w:instrText xml:space="preserve"> PAGEREF _Toc76034180 \h </w:instrText>
            </w:r>
            <w:r>
              <w:rPr>
                <w:noProof/>
                <w:webHidden/>
              </w:rPr>
            </w:r>
            <w:r>
              <w:rPr>
                <w:noProof/>
                <w:webHidden/>
              </w:rPr>
              <w:fldChar w:fldCharType="separate"/>
            </w:r>
            <w:r>
              <w:rPr>
                <w:noProof/>
                <w:webHidden/>
              </w:rPr>
              <w:t>40</w:t>
            </w:r>
            <w:r>
              <w:rPr>
                <w:noProof/>
                <w:webHidden/>
              </w:rPr>
              <w:fldChar w:fldCharType="end"/>
            </w:r>
          </w:hyperlink>
        </w:p>
        <w:p w14:paraId="34EDE57B" w14:textId="18094446" w:rsidR="007F1FE2" w:rsidRDefault="007F1FE2">
          <w:pPr>
            <w:pStyle w:val="TM2"/>
            <w:tabs>
              <w:tab w:val="left" w:pos="880"/>
              <w:tab w:val="right" w:leader="dot" w:pos="9350"/>
            </w:tabs>
            <w:rPr>
              <w:rFonts w:cstheme="minorBidi"/>
              <w:noProof/>
              <w:lang w:val="fr-BE" w:eastAsia="fr-BE"/>
            </w:rPr>
          </w:pPr>
          <w:hyperlink w:anchor="_Toc76034181" w:history="1">
            <w:r w:rsidRPr="00C753FD">
              <w:rPr>
                <w:rStyle w:val="Lienhypertexte"/>
                <w:noProof/>
              </w:rPr>
              <w:t>9.6.</w:t>
            </w:r>
            <w:r>
              <w:rPr>
                <w:rFonts w:cstheme="minorBidi"/>
                <w:noProof/>
                <w:lang w:val="fr-BE" w:eastAsia="fr-BE"/>
              </w:rPr>
              <w:tab/>
            </w:r>
            <w:r w:rsidRPr="00C753FD">
              <w:rPr>
                <w:rStyle w:val="Lienhypertexte"/>
                <w:noProof/>
              </w:rPr>
              <w:t>Catégorie d’articles (AC)</w:t>
            </w:r>
            <w:r>
              <w:rPr>
                <w:noProof/>
                <w:webHidden/>
              </w:rPr>
              <w:tab/>
            </w:r>
            <w:r>
              <w:rPr>
                <w:noProof/>
                <w:webHidden/>
              </w:rPr>
              <w:fldChar w:fldCharType="begin"/>
            </w:r>
            <w:r>
              <w:rPr>
                <w:noProof/>
                <w:webHidden/>
              </w:rPr>
              <w:instrText xml:space="preserve"> PAGEREF _Toc76034181 \h </w:instrText>
            </w:r>
            <w:r>
              <w:rPr>
                <w:noProof/>
                <w:webHidden/>
              </w:rPr>
            </w:r>
            <w:r>
              <w:rPr>
                <w:noProof/>
                <w:webHidden/>
              </w:rPr>
              <w:fldChar w:fldCharType="separate"/>
            </w:r>
            <w:r>
              <w:rPr>
                <w:noProof/>
                <w:webHidden/>
              </w:rPr>
              <w:t>42</w:t>
            </w:r>
            <w:r>
              <w:rPr>
                <w:noProof/>
                <w:webHidden/>
              </w:rPr>
              <w:fldChar w:fldCharType="end"/>
            </w:r>
          </w:hyperlink>
        </w:p>
        <w:p w14:paraId="2589696A" w14:textId="7EB368EE" w:rsidR="007F1FE2" w:rsidRDefault="007F1FE2">
          <w:pPr>
            <w:pStyle w:val="TM1"/>
            <w:tabs>
              <w:tab w:val="left" w:pos="660"/>
              <w:tab w:val="right" w:leader="dot" w:pos="9350"/>
            </w:tabs>
            <w:rPr>
              <w:rFonts w:cstheme="minorBidi"/>
              <w:noProof/>
              <w:lang w:val="fr-BE" w:eastAsia="fr-BE"/>
            </w:rPr>
          </w:pPr>
          <w:hyperlink w:anchor="_Toc76034182" w:history="1">
            <w:r w:rsidRPr="00C753FD">
              <w:rPr>
                <w:rStyle w:val="Lienhypertexte"/>
                <w:noProof/>
                <w:lang w:val="fr-FR"/>
              </w:rPr>
              <w:t>10.</w:t>
            </w:r>
            <w:r>
              <w:rPr>
                <w:rFonts w:cstheme="minorBidi"/>
                <w:noProof/>
                <w:lang w:val="fr-BE" w:eastAsia="fr-BE"/>
              </w:rPr>
              <w:tab/>
            </w:r>
            <w:r w:rsidRPr="00C753FD">
              <w:rPr>
                <w:rStyle w:val="Lienhypertexte"/>
                <w:noProof/>
                <w:lang w:val="fr-FR"/>
              </w:rPr>
              <w:t>Les substances manufacturées à l'état nanoparticulaire, enregistrées dans le registre</w:t>
            </w:r>
            <w:r>
              <w:rPr>
                <w:noProof/>
                <w:webHidden/>
              </w:rPr>
              <w:tab/>
            </w:r>
            <w:r>
              <w:rPr>
                <w:noProof/>
                <w:webHidden/>
              </w:rPr>
              <w:fldChar w:fldCharType="begin"/>
            </w:r>
            <w:r>
              <w:rPr>
                <w:noProof/>
                <w:webHidden/>
              </w:rPr>
              <w:instrText xml:space="preserve"> PAGEREF _Toc76034182 \h </w:instrText>
            </w:r>
            <w:r>
              <w:rPr>
                <w:noProof/>
                <w:webHidden/>
              </w:rPr>
            </w:r>
            <w:r>
              <w:rPr>
                <w:noProof/>
                <w:webHidden/>
              </w:rPr>
              <w:fldChar w:fldCharType="separate"/>
            </w:r>
            <w:r>
              <w:rPr>
                <w:noProof/>
                <w:webHidden/>
              </w:rPr>
              <w:t>43</w:t>
            </w:r>
            <w:r>
              <w:rPr>
                <w:noProof/>
                <w:webHidden/>
              </w:rPr>
              <w:fldChar w:fldCharType="end"/>
            </w:r>
          </w:hyperlink>
        </w:p>
        <w:p w14:paraId="239DD729" w14:textId="6BDF8846" w:rsidR="007F1FE2" w:rsidRDefault="007F1FE2">
          <w:pPr>
            <w:pStyle w:val="TM2"/>
            <w:tabs>
              <w:tab w:val="left" w:pos="1100"/>
              <w:tab w:val="right" w:leader="dot" w:pos="9350"/>
            </w:tabs>
            <w:rPr>
              <w:rFonts w:cstheme="minorBidi"/>
              <w:noProof/>
              <w:lang w:val="fr-BE" w:eastAsia="fr-BE"/>
            </w:rPr>
          </w:pPr>
          <w:hyperlink w:anchor="_Toc76034183" w:history="1">
            <w:r w:rsidRPr="00C753FD">
              <w:rPr>
                <w:rStyle w:val="Lienhypertexte"/>
                <w:noProof/>
              </w:rPr>
              <w:t>10.1.</w:t>
            </w:r>
            <w:r>
              <w:rPr>
                <w:rFonts w:cstheme="minorBidi"/>
                <w:noProof/>
                <w:lang w:val="fr-BE" w:eastAsia="fr-BE"/>
              </w:rPr>
              <w:tab/>
            </w:r>
            <w:r w:rsidRPr="00C753FD">
              <w:rPr>
                <w:rStyle w:val="Lienhypertexte"/>
                <w:noProof/>
              </w:rPr>
              <w:t>Identification chimique des substances</w:t>
            </w:r>
            <w:r>
              <w:rPr>
                <w:noProof/>
                <w:webHidden/>
              </w:rPr>
              <w:tab/>
            </w:r>
            <w:r>
              <w:rPr>
                <w:noProof/>
                <w:webHidden/>
              </w:rPr>
              <w:fldChar w:fldCharType="begin"/>
            </w:r>
            <w:r>
              <w:rPr>
                <w:noProof/>
                <w:webHidden/>
              </w:rPr>
              <w:instrText xml:space="preserve"> PAGEREF _Toc76034183 \h </w:instrText>
            </w:r>
            <w:r>
              <w:rPr>
                <w:noProof/>
                <w:webHidden/>
              </w:rPr>
            </w:r>
            <w:r>
              <w:rPr>
                <w:noProof/>
                <w:webHidden/>
              </w:rPr>
              <w:fldChar w:fldCharType="separate"/>
            </w:r>
            <w:r>
              <w:rPr>
                <w:noProof/>
                <w:webHidden/>
              </w:rPr>
              <w:t>43</w:t>
            </w:r>
            <w:r>
              <w:rPr>
                <w:noProof/>
                <w:webHidden/>
              </w:rPr>
              <w:fldChar w:fldCharType="end"/>
            </w:r>
          </w:hyperlink>
        </w:p>
        <w:p w14:paraId="7953F697" w14:textId="1B970438" w:rsidR="007F1FE2" w:rsidRDefault="007F1FE2">
          <w:pPr>
            <w:pStyle w:val="TM2"/>
            <w:tabs>
              <w:tab w:val="left" w:pos="1100"/>
              <w:tab w:val="right" w:leader="dot" w:pos="9350"/>
            </w:tabs>
            <w:rPr>
              <w:rFonts w:cstheme="minorBidi"/>
              <w:noProof/>
              <w:lang w:val="fr-BE" w:eastAsia="fr-BE"/>
            </w:rPr>
          </w:pPr>
          <w:hyperlink w:anchor="_Toc76034184" w:history="1">
            <w:r w:rsidRPr="00C753FD">
              <w:rPr>
                <w:rStyle w:val="Lienhypertexte"/>
                <w:noProof/>
              </w:rPr>
              <w:t>10.2.</w:t>
            </w:r>
            <w:r>
              <w:rPr>
                <w:rFonts w:cstheme="minorBidi"/>
                <w:noProof/>
                <w:lang w:val="fr-BE" w:eastAsia="fr-BE"/>
              </w:rPr>
              <w:tab/>
            </w:r>
            <w:r w:rsidRPr="00C753FD">
              <w:rPr>
                <w:rStyle w:val="Lienhypertexte"/>
                <w:noProof/>
              </w:rPr>
              <w:t>Quantités enregistrées</w:t>
            </w:r>
            <w:r>
              <w:rPr>
                <w:noProof/>
                <w:webHidden/>
              </w:rPr>
              <w:tab/>
            </w:r>
            <w:r>
              <w:rPr>
                <w:noProof/>
                <w:webHidden/>
              </w:rPr>
              <w:fldChar w:fldCharType="begin"/>
            </w:r>
            <w:r>
              <w:rPr>
                <w:noProof/>
                <w:webHidden/>
              </w:rPr>
              <w:instrText xml:space="preserve"> PAGEREF _Toc76034184 \h </w:instrText>
            </w:r>
            <w:r>
              <w:rPr>
                <w:noProof/>
                <w:webHidden/>
              </w:rPr>
            </w:r>
            <w:r>
              <w:rPr>
                <w:noProof/>
                <w:webHidden/>
              </w:rPr>
              <w:fldChar w:fldCharType="separate"/>
            </w:r>
            <w:r>
              <w:rPr>
                <w:noProof/>
                <w:webHidden/>
              </w:rPr>
              <w:t>44</w:t>
            </w:r>
            <w:r>
              <w:rPr>
                <w:noProof/>
                <w:webHidden/>
              </w:rPr>
              <w:fldChar w:fldCharType="end"/>
            </w:r>
          </w:hyperlink>
        </w:p>
        <w:p w14:paraId="2527EFA0" w14:textId="23C934F2" w:rsidR="007F1FE2" w:rsidRDefault="007F1FE2">
          <w:pPr>
            <w:pStyle w:val="TM3"/>
            <w:tabs>
              <w:tab w:val="left" w:pos="1320"/>
              <w:tab w:val="right" w:leader="dot" w:pos="9350"/>
            </w:tabs>
            <w:rPr>
              <w:rFonts w:cstheme="minorBidi"/>
              <w:noProof/>
              <w:lang w:val="fr-BE" w:eastAsia="fr-BE"/>
            </w:rPr>
          </w:pPr>
          <w:hyperlink w:anchor="_Toc76034185" w:history="1">
            <w:r w:rsidRPr="00C753FD">
              <w:rPr>
                <w:rStyle w:val="Lienhypertexte"/>
                <w:noProof/>
              </w:rPr>
              <w:t>10.2.1.</w:t>
            </w:r>
            <w:r>
              <w:rPr>
                <w:rFonts w:cstheme="minorBidi"/>
                <w:noProof/>
                <w:lang w:val="fr-BE" w:eastAsia="fr-BE"/>
              </w:rPr>
              <w:tab/>
            </w:r>
            <w:r w:rsidRPr="00C753FD">
              <w:rPr>
                <w:rStyle w:val="Lienhypertexte"/>
                <w:noProof/>
              </w:rPr>
              <w:t>Quantités introduites sur le marché belge</w:t>
            </w:r>
            <w:r>
              <w:rPr>
                <w:noProof/>
                <w:webHidden/>
              </w:rPr>
              <w:tab/>
            </w:r>
            <w:r>
              <w:rPr>
                <w:noProof/>
                <w:webHidden/>
              </w:rPr>
              <w:fldChar w:fldCharType="begin"/>
            </w:r>
            <w:r>
              <w:rPr>
                <w:noProof/>
                <w:webHidden/>
              </w:rPr>
              <w:instrText xml:space="preserve"> PAGEREF _Toc76034185 \h </w:instrText>
            </w:r>
            <w:r>
              <w:rPr>
                <w:noProof/>
                <w:webHidden/>
              </w:rPr>
            </w:r>
            <w:r>
              <w:rPr>
                <w:noProof/>
                <w:webHidden/>
              </w:rPr>
              <w:fldChar w:fldCharType="separate"/>
            </w:r>
            <w:r>
              <w:rPr>
                <w:noProof/>
                <w:webHidden/>
              </w:rPr>
              <w:t>44</w:t>
            </w:r>
            <w:r>
              <w:rPr>
                <w:noProof/>
                <w:webHidden/>
              </w:rPr>
              <w:fldChar w:fldCharType="end"/>
            </w:r>
          </w:hyperlink>
        </w:p>
        <w:p w14:paraId="08208ED7" w14:textId="0ED07331" w:rsidR="007F1FE2" w:rsidRDefault="007F1FE2">
          <w:pPr>
            <w:pStyle w:val="TM3"/>
            <w:tabs>
              <w:tab w:val="left" w:pos="1320"/>
              <w:tab w:val="right" w:leader="dot" w:pos="9350"/>
            </w:tabs>
            <w:rPr>
              <w:rFonts w:cstheme="minorBidi"/>
              <w:noProof/>
              <w:lang w:val="fr-BE" w:eastAsia="fr-BE"/>
            </w:rPr>
          </w:pPr>
          <w:hyperlink w:anchor="_Toc76034186" w:history="1">
            <w:r w:rsidRPr="00C753FD">
              <w:rPr>
                <w:rStyle w:val="Lienhypertexte"/>
                <w:noProof/>
              </w:rPr>
              <w:t>10.2.2.</w:t>
            </w:r>
            <w:r>
              <w:rPr>
                <w:rFonts w:cstheme="minorBidi"/>
                <w:noProof/>
                <w:lang w:val="fr-BE" w:eastAsia="fr-BE"/>
              </w:rPr>
              <w:tab/>
            </w:r>
            <w:r w:rsidRPr="00C753FD">
              <w:rPr>
                <w:rStyle w:val="Lienhypertexte"/>
                <w:noProof/>
              </w:rPr>
              <w:t>Quantités distribuées (transformées ou non transformées) sur le marché belge</w:t>
            </w:r>
            <w:r>
              <w:rPr>
                <w:noProof/>
                <w:webHidden/>
              </w:rPr>
              <w:tab/>
            </w:r>
            <w:r>
              <w:rPr>
                <w:noProof/>
                <w:webHidden/>
              </w:rPr>
              <w:fldChar w:fldCharType="begin"/>
            </w:r>
            <w:r>
              <w:rPr>
                <w:noProof/>
                <w:webHidden/>
              </w:rPr>
              <w:instrText xml:space="preserve"> PAGEREF _Toc76034186 \h </w:instrText>
            </w:r>
            <w:r>
              <w:rPr>
                <w:noProof/>
                <w:webHidden/>
              </w:rPr>
            </w:r>
            <w:r>
              <w:rPr>
                <w:noProof/>
                <w:webHidden/>
              </w:rPr>
              <w:fldChar w:fldCharType="separate"/>
            </w:r>
            <w:r>
              <w:rPr>
                <w:noProof/>
                <w:webHidden/>
              </w:rPr>
              <w:t>46</w:t>
            </w:r>
            <w:r>
              <w:rPr>
                <w:noProof/>
                <w:webHidden/>
              </w:rPr>
              <w:fldChar w:fldCharType="end"/>
            </w:r>
          </w:hyperlink>
        </w:p>
        <w:p w14:paraId="64148D0B" w14:textId="47BC9417" w:rsidR="007F1FE2" w:rsidRDefault="007F1FE2">
          <w:pPr>
            <w:pStyle w:val="TM3"/>
            <w:tabs>
              <w:tab w:val="left" w:pos="1320"/>
              <w:tab w:val="right" w:leader="dot" w:pos="9350"/>
            </w:tabs>
            <w:rPr>
              <w:rFonts w:cstheme="minorBidi"/>
              <w:noProof/>
              <w:lang w:val="fr-BE" w:eastAsia="fr-BE"/>
            </w:rPr>
          </w:pPr>
          <w:hyperlink w:anchor="_Toc76034187" w:history="1">
            <w:r w:rsidRPr="00C753FD">
              <w:rPr>
                <w:rStyle w:val="Lienhypertexte"/>
                <w:noProof/>
              </w:rPr>
              <w:t>10.2.3.</w:t>
            </w:r>
            <w:r>
              <w:rPr>
                <w:rFonts w:cstheme="minorBidi"/>
                <w:noProof/>
                <w:lang w:val="fr-BE" w:eastAsia="fr-BE"/>
              </w:rPr>
              <w:tab/>
            </w:r>
            <w:r w:rsidRPr="00C753FD">
              <w:rPr>
                <w:rStyle w:val="Lienhypertexte"/>
                <w:noProof/>
              </w:rPr>
              <w:t>Liste des substances importées et/ou produites en quantités supérieures à 1 000 tonnes</w:t>
            </w:r>
            <w:r>
              <w:rPr>
                <w:noProof/>
                <w:webHidden/>
              </w:rPr>
              <w:tab/>
            </w:r>
            <w:r>
              <w:rPr>
                <w:noProof/>
                <w:webHidden/>
              </w:rPr>
              <w:fldChar w:fldCharType="begin"/>
            </w:r>
            <w:r>
              <w:rPr>
                <w:noProof/>
                <w:webHidden/>
              </w:rPr>
              <w:instrText xml:space="preserve"> PAGEREF _Toc76034187 \h </w:instrText>
            </w:r>
            <w:r>
              <w:rPr>
                <w:noProof/>
                <w:webHidden/>
              </w:rPr>
            </w:r>
            <w:r>
              <w:rPr>
                <w:noProof/>
                <w:webHidden/>
              </w:rPr>
              <w:fldChar w:fldCharType="separate"/>
            </w:r>
            <w:r>
              <w:rPr>
                <w:noProof/>
                <w:webHidden/>
              </w:rPr>
              <w:t>47</w:t>
            </w:r>
            <w:r>
              <w:rPr>
                <w:noProof/>
                <w:webHidden/>
              </w:rPr>
              <w:fldChar w:fldCharType="end"/>
            </w:r>
          </w:hyperlink>
        </w:p>
        <w:p w14:paraId="0373CF05" w14:textId="2B7FD166" w:rsidR="007F1FE2" w:rsidRDefault="007F1FE2">
          <w:pPr>
            <w:pStyle w:val="TM1"/>
            <w:tabs>
              <w:tab w:val="left" w:pos="660"/>
              <w:tab w:val="right" w:leader="dot" w:pos="9350"/>
            </w:tabs>
            <w:rPr>
              <w:rFonts w:cstheme="minorBidi"/>
              <w:noProof/>
              <w:lang w:val="fr-BE" w:eastAsia="fr-BE"/>
            </w:rPr>
          </w:pPr>
          <w:hyperlink w:anchor="_Toc76034188" w:history="1">
            <w:r w:rsidRPr="00C753FD">
              <w:rPr>
                <w:rStyle w:val="Lienhypertexte"/>
                <w:noProof/>
                <w:lang w:val="fr-FR"/>
              </w:rPr>
              <w:t>11.</w:t>
            </w:r>
            <w:r>
              <w:rPr>
                <w:rFonts w:cstheme="minorBidi"/>
                <w:noProof/>
                <w:lang w:val="fr-BE" w:eastAsia="fr-BE"/>
              </w:rPr>
              <w:tab/>
            </w:r>
            <w:r w:rsidRPr="00C753FD">
              <w:rPr>
                <w:rStyle w:val="Lienhypertexte"/>
                <w:noProof/>
                <w:lang w:val="fr-FR"/>
              </w:rPr>
              <w:t>Évaluation des enregistrements soumis</w:t>
            </w:r>
            <w:r>
              <w:rPr>
                <w:noProof/>
                <w:webHidden/>
              </w:rPr>
              <w:tab/>
            </w:r>
            <w:r>
              <w:rPr>
                <w:noProof/>
                <w:webHidden/>
              </w:rPr>
              <w:fldChar w:fldCharType="begin"/>
            </w:r>
            <w:r>
              <w:rPr>
                <w:noProof/>
                <w:webHidden/>
              </w:rPr>
              <w:instrText xml:space="preserve"> PAGEREF _Toc76034188 \h </w:instrText>
            </w:r>
            <w:r>
              <w:rPr>
                <w:noProof/>
                <w:webHidden/>
              </w:rPr>
            </w:r>
            <w:r>
              <w:rPr>
                <w:noProof/>
                <w:webHidden/>
              </w:rPr>
              <w:fldChar w:fldCharType="separate"/>
            </w:r>
            <w:r>
              <w:rPr>
                <w:noProof/>
                <w:webHidden/>
              </w:rPr>
              <w:t>47</w:t>
            </w:r>
            <w:r>
              <w:rPr>
                <w:noProof/>
                <w:webHidden/>
              </w:rPr>
              <w:fldChar w:fldCharType="end"/>
            </w:r>
          </w:hyperlink>
        </w:p>
        <w:p w14:paraId="0CD99523" w14:textId="339BAC78" w:rsidR="007F1FE2" w:rsidRDefault="007F1FE2">
          <w:pPr>
            <w:pStyle w:val="TM2"/>
            <w:tabs>
              <w:tab w:val="left" w:pos="1100"/>
              <w:tab w:val="right" w:leader="dot" w:pos="9350"/>
            </w:tabs>
            <w:rPr>
              <w:rFonts w:cstheme="minorBidi"/>
              <w:noProof/>
              <w:lang w:val="fr-BE" w:eastAsia="fr-BE"/>
            </w:rPr>
          </w:pPr>
          <w:hyperlink w:anchor="_Toc76034189" w:history="1">
            <w:r w:rsidRPr="00C753FD">
              <w:rPr>
                <w:rStyle w:val="Lienhypertexte"/>
                <w:noProof/>
              </w:rPr>
              <w:t>11.1.</w:t>
            </w:r>
            <w:r>
              <w:rPr>
                <w:rFonts w:cstheme="minorBidi"/>
                <w:noProof/>
                <w:lang w:val="fr-BE" w:eastAsia="fr-BE"/>
              </w:rPr>
              <w:tab/>
            </w:r>
            <w:r w:rsidRPr="00C753FD">
              <w:rPr>
                <w:rStyle w:val="Lienhypertexte"/>
                <w:noProof/>
              </w:rPr>
              <w:t>Le déclarant</w:t>
            </w:r>
            <w:r>
              <w:rPr>
                <w:noProof/>
                <w:webHidden/>
              </w:rPr>
              <w:tab/>
            </w:r>
            <w:r>
              <w:rPr>
                <w:noProof/>
                <w:webHidden/>
              </w:rPr>
              <w:fldChar w:fldCharType="begin"/>
            </w:r>
            <w:r>
              <w:rPr>
                <w:noProof/>
                <w:webHidden/>
              </w:rPr>
              <w:instrText xml:space="preserve"> PAGEREF _Toc76034189 \h </w:instrText>
            </w:r>
            <w:r>
              <w:rPr>
                <w:noProof/>
                <w:webHidden/>
              </w:rPr>
            </w:r>
            <w:r>
              <w:rPr>
                <w:noProof/>
                <w:webHidden/>
              </w:rPr>
              <w:fldChar w:fldCharType="separate"/>
            </w:r>
            <w:r>
              <w:rPr>
                <w:noProof/>
                <w:webHidden/>
              </w:rPr>
              <w:t>48</w:t>
            </w:r>
            <w:r>
              <w:rPr>
                <w:noProof/>
                <w:webHidden/>
              </w:rPr>
              <w:fldChar w:fldCharType="end"/>
            </w:r>
          </w:hyperlink>
        </w:p>
        <w:p w14:paraId="123B1A89" w14:textId="309AF0AA" w:rsidR="007F1FE2" w:rsidRDefault="007F1FE2">
          <w:pPr>
            <w:pStyle w:val="TM3"/>
            <w:tabs>
              <w:tab w:val="left" w:pos="1320"/>
              <w:tab w:val="right" w:leader="dot" w:pos="9350"/>
            </w:tabs>
            <w:rPr>
              <w:rFonts w:cstheme="minorBidi"/>
              <w:noProof/>
              <w:lang w:val="fr-BE" w:eastAsia="fr-BE"/>
            </w:rPr>
          </w:pPr>
          <w:hyperlink w:anchor="_Toc76034190" w:history="1">
            <w:r w:rsidRPr="00C753FD">
              <w:rPr>
                <w:rStyle w:val="Lienhypertexte"/>
                <w:noProof/>
              </w:rPr>
              <w:t>11.1.1.</w:t>
            </w:r>
            <w:r>
              <w:rPr>
                <w:rFonts w:cstheme="minorBidi"/>
                <w:noProof/>
                <w:lang w:val="fr-BE" w:eastAsia="fr-BE"/>
              </w:rPr>
              <w:tab/>
            </w:r>
            <w:r w:rsidRPr="00C753FD">
              <w:rPr>
                <w:rStyle w:val="Lienhypertexte"/>
                <w:noProof/>
              </w:rPr>
              <w:t>Enregistrements simplifiés</w:t>
            </w:r>
            <w:r>
              <w:rPr>
                <w:noProof/>
                <w:webHidden/>
              </w:rPr>
              <w:tab/>
            </w:r>
            <w:r>
              <w:rPr>
                <w:noProof/>
                <w:webHidden/>
              </w:rPr>
              <w:fldChar w:fldCharType="begin"/>
            </w:r>
            <w:r>
              <w:rPr>
                <w:noProof/>
                <w:webHidden/>
              </w:rPr>
              <w:instrText xml:space="preserve"> PAGEREF _Toc76034190 \h </w:instrText>
            </w:r>
            <w:r>
              <w:rPr>
                <w:noProof/>
                <w:webHidden/>
              </w:rPr>
            </w:r>
            <w:r>
              <w:rPr>
                <w:noProof/>
                <w:webHidden/>
              </w:rPr>
              <w:fldChar w:fldCharType="separate"/>
            </w:r>
            <w:r>
              <w:rPr>
                <w:noProof/>
                <w:webHidden/>
              </w:rPr>
              <w:t>48</w:t>
            </w:r>
            <w:r>
              <w:rPr>
                <w:noProof/>
                <w:webHidden/>
              </w:rPr>
              <w:fldChar w:fldCharType="end"/>
            </w:r>
          </w:hyperlink>
        </w:p>
        <w:p w14:paraId="0075C3CE" w14:textId="1CF9FF1B" w:rsidR="007F1FE2" w:rsidRDefault="007F1FE2">
          <w:pPr>
            <w:pStyle w:val="TM3"/>
            <w:tabs>
              <w:tab w:val="left" w:pos="1320"/>
              <w:tab w:val="right" w:leader="dot" w:pos="9350"/>
            </w:tabs>
            <w:rPr>
              <w:rFonts w:cstheme="minorBidi"/>
              <w:noProof/>
              <w:lang w:val="fr-BE" w:eastAsia="fr-BE"/>
            </w:rPr>
          </w:pPr>
          <w:hyperlink w:anchor="_Toc76034191" w:history="1">
            <w:r w:rsidRPr="00C753FD">
              <w:rPr>
                <w:rStyle w:val="Lienhypertexte"/>
                <w:noProof/>
              </w:rPr>
              <w:t>11.1.2.</w:t>
            </w:r>
            <w:r>
              <w:rPr>
                <w:rFonts w:cstheme="minorBidi"/>
                <w:noProof/>
                <w:lang w:val="fr-BE" w:eastAsia="fr-BE"/>
              </w:rPr>
              <w:tab/>
            </w:r>
            <w:r w:rsidRPr="00C753FD">
              <w:rPr>
                <w:rStyle w:val="Lienhypertexte"/>
                <w:noProof/>
              </w:rPr>
              <w:t>Substances mises sur le marché à des fins commerciales</w:t>
            </w:r>
            <w:r>
              <w:rPr>
                <w:noProof/>
                <w:webHidden/>
              </w:rPr>
              <w:tab/>
            </w:r>
            <w:r>
              <w:rPr>
                <w:noProof/>
                <w:webHidden/>
              </w:rPr>
              <w:fldChar w:fldCharType="begin"/>
            </w:r>
            <w:r>
              <w:rPr>
                <w:noProof/>
                <w:webHidden/>
              </w:rPr>
              <w:instrText xml:space="preserve"> PAGEREF _Toc76034191 \h </w:instrText>
            </w:r>
            <w:r>
              <w:rPr>
                <w:noProof/>
                <w:webHidden/>
              </w:rPr>
            </w:r>
            <w:r>
              <w:rPr>
                <w:noProof/>
                <w:webHidden/>
              </w:rPr>
              <w:fldChar w:fldCharType="separate"/>
            </w:r>
            <w:r>
              <w:rPr>
                <w:noProof/>
                <w:webHidden/>
              </w:rPr>
              <w:t>48</w:t>
            </w:r>
            <w:r>
              <w:rPr>
                <w:noProof/>
                <w:webHidden/>
              </w:rPr>
              <w:fldChar w:fldCharType="end"/>
            </w:r>
          </w:hyperlink>
        </w:p>
        <w:p w14:paraId="40E554A2" w14:textId="0D1A408D" w:rsidR="007F1FE2" w:rsidRDefault="007F1FE2">
          <w:pPr>
            <w:pStyle w:val="TM2"/>
            <w:tabs>
              <w:tab w:val="left" w:pos="1100"/>
              <w:tab w:val="right" w:leader="dot" w:pos="9350"/>
            </w:tabs>
            <w:rPr>
              <w:rFonts w:cstheme="minorBidi"/>
              <w:noProof/>
              <w:lang w:val="fr-BE" w:eastAsia="fr-BE"/>
            </w:rPr>
          </w:pPr>
          <w:hyperlink w:anchor="_Toc76034192" w:history="1">
            <w:r w:rsidRPr="00C753FD">
              <w:rPr>
                <w:rStyle w:val="Lienhypertexte"/>
                <w:noProof/>
              </w:rPr>
              <w:t>11.2.</w:t>
            </w:r>
            <w:r>
              <w:rPr>
                <w:rFonts w:cstheme="minorBidi"/>
                <w:noProof/>
                <w:lang w:val="fr-BE" w:eastAsia="fr-BE"/>
              </w:rPr>
              <w:tab/>
            </w:r>
            <w:r w:rsidRPr="00C753FD">
              <w:rPr>
                <w:rStyle w:val="Lienhypertexte"/>
                <w:noProof/>
              </w:rPr>
              <w:t>Le fournisseur étranger</w:t>
            </w:r>
            <w:r>
              <w:rPr>
                <w:noProof/>
                <w:webHidden/>
              </w:rPr>
              <w:tab/>
            </w:r>
            <w:r>
              <w:rPr>
                <w:noProof/>
                <w:webHidden/>
              </w:rPr>
              <w:fldChar w:fldCharType="begin"/>
            </w:r>
            <w:r>
              <w:rPr>
                <w:noProof/>
                <w:webHidden/>
              </w:rPr>
              <w:instrText xml:space="preserve"> PAGEREF _Toc76034192 \h </w:instrText>
            </w:r>
            <w:r>
              <w:rPr>
                <w:noProof/>
                <w:webHidden/>
              </w:rPr>
            </w:r>
            <w:r>
              <w:rPr>
                <w:noProof/>
                <w:webHidden/>
              </w:rPr>
              <w:fldChar w:fldCharType="separate"/>
            </w:r>
            <w:r>
              <w:rPr>
                <w:noProof/>
                <w:webHidden/>
              </w:rPr>
              <w:t>49</w:t>
            </w:r>
            <w:r>
              <w:rPr>
                <w:noProof/>
                <w:webHidden/>
              </w:rPr>
              <w:fldChar w:fldCharType="end"/>
            </w:r>
          </w:hyperlink>
        </w:p>
        <w:p w14:paraId="38EC976E" w14:textId="6D50E456" w:rsidR="007F1FE2" w:rsidRDefault="007F1FE2">
          <w:pPr>
            <w:pStyle w:val="TM2"/>
            <w:tabs>
              <w:tab w:val="left" w:pos="1100"/>
              <w:tab w:val="right" w:leader="dot" w:pos="9350"/>
            </w:tabs>
            <w:rPr>
              <w:rFonts w:cstheme="minorBidi"/>
              <w:noProof/>
              <w:lang w:val="fr-BE" w:eastAsia="fr-BE"/>
            </w:rPr>
          </w:pPr>
          <w:hyperlink w:anchor="_Toc76034193" w:history="1">
            <w:r w:rsidRPr="00C753FD">
              <w:rPr>
                <w:rStyle w:val="Lienhypertexte"/>
                <w:noProof/>
              </w:rPr>
              <w:t>11.3.</w:t>
            </w:r>
            <w:r>
              <w:rPr>
                <w:rFonts w:cstheme="minorBidi"/>
                <w:noProof/>
                <w:lang w:val="fr-BE" w:eastAsia="fr-BE"/>
              </w:rPr>
              <w:tab/>
            </w:r>
            <w:r w:rsidRPr="00C753FD">
              <w:rPr>
                <w:rStyle w:val="Lienhypertexte"/>
                <w:noProof/>
              </w:rPr>
              <w:t>Autres actions</w:t>
            </w:r>
            <w:r>
              <w:rPr>
                <w:noProof/>
                <w:webHidden/>
              </w:rPr>
              <w:tab/>
            </w:r>
            <w:r>
              <w:rPr>
                <w:noProof/>
                <w:webHidden/>
              </w:rPr>
              <w:fldChar w:fldCharType="begin"/>
            </w:r>
            <w:r>
              <w:rPr>
                <w:noProof/>
                <w:webHidden/>
              </w:rPr>
              <w:instrText xml:space="preserve"> PAGEREF _Toc76034193 \h </w:instrText>
            </w:r>
            <w:r>
              <w:rPr>
                <w:noProof/>
                <w:webHidden/>
              </w:rPr>
            </w:r>
            <w:r>
              <w:rPr>
                <w:noProof/>
                <w:webHidden/>
              </w:rPr>
              <w:fldChar w:fldCharType="separate"/>
            </w:r>
            <w:r>
              <w:rPr>
                <w:noProof/>
                <w:webHidden/>
              </w:rPr>
              <w:t>49</w:t>
            </w:r>
            <w:r>
              <w:rPr>
                <w:noProof/>
                <w:webHidden/>
              </w:rPr>
              <w:fldChar w:fldCharType="end"/>
            </w:r>
          </w:hyperlink>
        </w:p>
        <w:p w14:paraId="677A2E53" w14:textId="7158EBD9" w:rsidR="007F1FE2" w:rsidRDefault="007F1FE2">
          <w:pPr>
            <w:pStyle w:val="TM1"/>
            <w:tabs>
              <w:tab w:val="left" w:pos="660"/>
              <w:tab w:val="right" w:leader="dot" w:pos="9350"/>
            </w:tabs>
            <w:rPr>
              <w:rFonts w:cstheme="minorBidi"/>
              <w:noProof/>
              <w:lang w:val="fr-BE" w:eastAsia="fr-BE"/>
            </w:rPr>
          </w:pPr>
          <w:hyperlink w:anchor="_Toc76034194" w:history="1">
            <w:r w:rsidRPr="00C753FD">
              <w:rPr>
                <w:rStyle w:val="Lienhypertexte"/>
                <w:noProof/>
                <w:lang w:val="fr-FR"/>
              </w:rPr>
              <w:t>12.</w:t>
            </w:r>
            <w:r>
              <w:rPr>
                <w:rFonts w:cstheme="minorBidi"/>
                <w:noProof/>
                <w:lang w:val="fr-BE" w:eastAsia="fr-BE"/>
              </w:rPr>
              <w:tab/>
            </w:r>
            <w:r w:rsidRPr="00C753FD">
              <w:rPr>
                <w:rStyle w:val="Lienhypertexte"/>
                <w:noProof/>
                <w:lang w:val="fr-FR"/>
              </w:rPr>
              <w:t>Fonctionnement du helpdesk</w:t>
            </w:r>
            <w:r>
              <w:rPr>
                <w:noProof/>
                <w:webHidden/>
              </w:rPr>
              <w:tab/>
            </w:r>
            <w:r>
              <w:rPr>
                <w:noProof/>
                <w:webHidden/>
              </w:rPr>
              <w:fldChar w:fldCharType="begin"/>
            </w:r>
            <w:r>
              <w:rPr>
                <w:noProof/>
                <w:webHidden/>
              </w:rPr>
              <w:instrText xml:space="preserve"> PAGEREF _Toc76034194 \h </w:instrText>
            </w:r>
            <w:r>
              <w:rPr>
                <w:noProof/>
                <w:webHidden/>
              </w:rPr>
            </w:r>
            <w:r>
              <w:rPr>
                <w:noProof/>
                <w:webHidden/>
              </w:rPr>
              <w:fldChar w:fldCharType="separate"/>
            </w:r>
            <w:r>
              <w:rPr>
                <w:noProof/>
                <w:webHidden/>
              </w:rPr>
              <w:t>49</w:t>
            </w:r>
            <w:r>
              <w:rPr>
                <w:noProof/>
                <w:webHidden/>
              </w:rPr>
              <w:fldChar w:fldCharType="end"/>
            </w:r>
          </w:hyperlink>
        </w:p>
        <w:p w14:paraId="55501E69" w14:textId="5AA88A59" w:rsidR="007F1FE2" w:rsidRDefault="007F1FE2">
          <w:pPr>
            <w:pStyle w:val="TM1"/>
            <w:tabs>
              <w:tab w:val="left" w:pos="660"/>
              <w:tab w:val="right" w:leader="dot" w:pos="9350"/>
            </w:tabs>
            <w:rPr>
              <w:rFonts w:cstheme="minorBidi"/>
              <w:noProof/>
              <w:lang w:val="fr-BE" w:eastAsia="fr-BE"/>
            </w:rPr>
          </w:pPr>
          <w:hyperlink w:anchor="_Toc76034195" w:history="1">
            <w:r w:rsidRPr="00C753FD">
              <w:rPr>
                <w:rStyle w:val="Lienhypertexte"/>
                <w:noProof/>
                <w:lang w:val="fr-FR"/>
              </w:rPr>
              <w:t>13.</w:t>
            </w:r>
            <w:r>
              <w:rPr>
                <w:rFonts w:cstheme="minorBidi"/>
                <w:noProof/>
                <w:lang w:val="fr-BE" w:eastAsia="fr-BE"/>
              </w:rPr>
              <w:tab/>
            </w:r>
            <w:r w:rsidRPr="00C753FD">
              <w:rPr>
                <w:rStyle w:val="Lienhypertexte"/>
                <w:noProof/>
                <w:lang w:val="fr-FR"/>
              </w:rPr>
              <w:t>Liste des substances enregistrées</w:t>
            </w:r>
            <w:r>
              <w:rPr>
                <w:noProof/>
                <w:webHidden/>
              </w:rPr>
              <w:tab/>
            </w:r>
            <w:r>
              <w:rPr>
                <w:noProof/>
                <w:webHidden/>
              </w:rPr>
              <w:fldChar w:fldCharType="begin"/>
            </w:r>
            <w:r>
              <w:rPr>
                <w:noProof/>
                <w:webHidden/>
              </w:rPr>
              <w:instrText xml:space="preserve"> PAGEREF _Toc76034195 \h </w:instrText>
            </w:r>
            <w:r>
              <w:rPr>
                <w:noProof/>
                <w:webHidden/>
              </w:rPr>
            </w:r>
            <w:r>
              <w:rPr>
                <w:noProof/>
                <w:webHidden/>
              </w:rPr>
              <w:fldChar w:fldCharType="separate"/>
            </w:r>
            <w:r>
              <w:rPr>
                <w:noProof/>
                <w:webHidden/>
              </w:rPr>
              <w:t>50</w:t>
            </w:r>
            <w:r>
              <w:rPr>
                <w:noProof/>
                <w:webHidden/>
              </w:rPr>
              <w:fldChar w:fldCharType="end"/>
            </w:r>
          </w:hyperlink>
        </w:p>
        <w:p w14:paraId="7DAB906F" w14:textId="64B47A94" w:rsidR="007F1FE2" w:rsidRDefault="007F1FE2">
          <w:pPr>
            <w:pStyle w:val="TM1"/>
            <w:tabs>
              <w:tab w:val="left" w:pos="660"/>
              <w:tab w:val="right" w:leader="dot" w:pos="9350"/>
            </w:tabs>
            <w:rPr>
              <w:rFonts w:cstheme="minorBidi"/>
              <w:noProof/>
              <w:lang w:val="fr-BE" w:eastAsia="fr-BE"/>
            </w:rPr>
          </w:pPr>
          <w:hyperlink w:anchor="_Toc76034196" w:history="1">
            <w:r w:rsidRPr="00C753FD">
              <w:rPr>
                <w:rStyle w:val="Lienhypertexte"/>
                <w:noProof/>
                <w:lang w:val="en-GB"/>
              </w:rPr>
              <w:t>14.</w:t>
            </w:r>
            <w:r>
              <w:rPr>
                <w:rFonts w:cstheme="minorBidi"/>
                <w:noProof/>
                <w:lang w:val="fr-BE" w:eastAsia="fr-BE"/>
              </w:rPr>
              <w:tab/>
            </w:r>
            <w:r w:rsidRPr="00C753FD">
              <w:rPr>
                <w:rStyle w:val="Lienhypertexte"/>
                <w:noProof/>
                <w:lang w:val="en-GB"/>
              </w:rPr>
              <w:t>Références</w:t>
            </w:r>
            <w:r>
              <w:rPr>
                <w:noProof/>
                <w:webHidden/>
              </w:rPr>
              <w:tab/>
            </w:r>
            <w:r>
              <w:rPr>
                <w:noProof/>
                <w:webHidden/>
              </w:rPr>
              <w:fldChar w:fldCharType="begin"/>
            </w:r>
            <w:r>
              <w:rPr>
                <w:noProof/>
                <w:webHidden/>
              </w:rPr>
              <w:instrText xml:space="preserve"> PAGEREF _Toc76034196 \h </w:instrText>
            </w:r>
            <w:r>
              <w:rPr>
                <w:noProof/>
                <w:webHidden/>
              </w:rPr>
            </w:r>
            <w:r>
              <w:rPr>
                <w:noProof/>
                <w:webHidden/>
              </w:rPr>
              <w:fldChar w:fldCharType="separate"/>
            </w:r>
            <w:r>
              <w:rPr>
                <w:noProof/>
                <w:webHidden/>
              </w:rPr>
              <w:t>51</w:t>
            </w:r>
            <w:r>
              <w:rPr>
                <w:noProof/>
                <w:webHidden/>
              </w:rPr>
              <w:fldChar w:fldCharType="end"/>
            </w:r>
          </w:hyperlink>
        </w:p>
        <w:p w14:paraId="39D100EA" w14:textId="1BD51CCE" w:rsidR="007F1FE2" w:rsidRDefault="007F1FE2">
          <w:pPr>
            <w:pStyle w:val="TM1"/>
            <w:tabs>
              <w:tab w:val="left" w:pos="660"/>
              <w:tab w:val="right" w:leader="dot" w:pos="9350"/>
            </w:tabs>
            <w:rPr>
              <w:rFonts w:cstheme="minorBidi"/>
              <w:noProof/>
              <w:lang w:val="fr-BE" w:eastAsia="fr-BE"/>
            </w:rPr>
          </w:pPr>
          <w:hyperlink w:anchor="_Toc76034197" w:history="1">
            <w:r w:rsidRPr="00C753FD">
              <w:rPr>
                <w:rStyle w:val="Lienhypertexte"/>
                <w:noProof/>
                <w:lang w:val="fr-FR"/>
              </w:rPr>
              <w:t>15.</w:t>
            </w:r>
            <w:r>
              <w:rPr>
                <w:rFonts w:cstheme="minorBidi"/>
                <w:noProof/>
                <w:lang w:val="fr-BE" w:eastAsia="fr-BE"/>
              </w:rPr>
              <w:tab/>
            </w:r>
            <w:r w:rsidRPr="00C753FD">
              <w:rPr>
                <w:rStyle w:val="Lienhypertexte"/>
                <w:noProof/>
                <w:lang w:val="fr-FR"/>
              </w:rPr>
              <w:t>Annexe : liste des substances enregistrées</w:t>
            </w:r>
            <w:r>
              <w:rPr>
                <w:noProof/>
                <w:webHidden/>
              </w:rPr>
              <w:tab/>
            </w:r>
            <w:r>
              <w:rPr>
                <w:noProof/>
                <w:webHidden/>
              </w:rPr>
              <w:fldChar w:fldCharType="begin"/>
            </w:r>
            <w:r>
              <w:rPr>
                <w:noProof/>
                <w:webHidden/>
              </w:rPr>
              <w:instrText xml:space="preserve"> PAGEREF _Toc76034197 \h </w:instrText>
            </w:r>
            <w:r>
              <w:rPr>
                <w:noProof/>
                <w:webHidden/>
              </w:rPr>
            </w:r>
            <w:r>
              <w:rPr>
                <w:noProof/>
                <w:webHidden/>
              </w:rPr>
              <w:fldChar w:fldCharType="separate"/>
            </w:r>
            <w:r>
              <w:rPr>
                <w:noProof/>
                <w:webHidden/>
              </w:rPr>
              <w:t>53</w:t>
            </w:r>
            <w:r>
              <w:rPr>
                <w:noProof/>
                <w:webHidden/>
              </w:rPr>
              <w:fldChar w:fldCharType="end"/>
            </w:r>
          </w:hyperlink>
        </w:p>
        <w:p w14:paraId="34998D0A" w14:textId="221CDDF6" w:rsidR="00AF0A9C" w:rsidRPr="00BD15C9" w:rsidRDefault="00144030">
          <w:pPr>
            <w:rPr>
              <w:lang w:val="fr-FR"/>
            </w:rPr>
          </w:pPr>
          <w:r w:rsidRPr="00BD15C9">
            <w:rPr>
              <w:b/>
              <w:bCs/>
              <w:lang w:val="fr-FR"/>
            </w:rPr>
            <w:fldChar w:fldCharType="end"/>
          </w:r>
        </w:p>
      </w:sdtContent>
    </w:sdt>
    <w:p w14:paraId="01C47C86" w14:textId="77777777" w:rsidR="00144030" w:rsidRPr="00BD15C9" w:rsidRDefault="00144030">
      <w:pPr>
        <w:rPr>
          <w:rFonts w:asciiTheme="majorHAnsi" w:eastAsiaTheme="majorEastAsia" w:hAnsiTheme="majorHAnsi" w:cstheme="majorBidi"/>
          <w:color w:val="2E74B5" w:themeColor="accent1" w:themeShade="BF"/>
          <w:sz w:val="32"/>
          <w:szCs w:val="32"/>
          <w:lang w:val="fr-FR"/>
        </w:rPr>
      </w:pPr>
      <w:r w:rsidRPr="00BD15C9">
        <w:rPr>
          <w:lang w:val="fr-FR"/>
        </w:rPr>
        <w:br w:type="page"/>
      </w:r>
    </w:p>
    <w:p w14:paraId="28861AE1" w14:textId="6BBF0DBB" w:rsidR="00AF4AF5" w:rsidRPr="00BD15C9" w:rsidRDefault="001D18BB" w:rsidP="00B76985">
      <w:pPr>
        <w:pStyle w:val="Titre1"/>
        <w:rPr>
          <w:lang w:val="en-GB"/>
        </w:rPr>
      </w:pPr>
      <w:bookmarkStart w:id="1" w:name="_Toc76034142"/>
      <w:r w:rsidRPr="00BD15C9">
        <w:rPr>
          <w:lang w:val="en-GB"/>
        </w:rPr>
        <w:lastRenderedPageBreak/>
        <w:t>Executive summary</w:t>
      </w:r>
      <w:bookmarkEnd w:id="1"/>
    </w:p>
    <w:p w14:paraId="7D8A8773" w14:textId="47178F17" w:rsidR="00AF4AF5" w:rsidRPr="00BD15C9" w:rsidRDefault="00474FF5" w:rsidP="00AF4AF5">
      <w:pPr>
        <w:rPr>
          <w:lang w:val="en-GB"/>
        </w:rPr>
      </w:pPr>
      <w:r w:rsidRPr="00BD15C9">
        <w:rPr>
          <w:rFonts w:asciiTheme="majorHAnsi" w:eastAsiaTheme="majorEastAsia" w:hAnsiTheme="majorHAnsi" w:cstheme="majorBidi"/>
          <w:color w:val="2E74B5" w:themeColor="accent1" w:themeShade="BF"/>
          <w:sz w:val="32"/>
          <w:szCs w:val="32"/>
          <w:lang w:val="en-GB"/>
        </w:rPr>
        <w:t xml:space="preserve">Annual report of the Belgian </w:t>
      </w:r>
      <w:proofErr w:type="spellStart"/>
      <w:r w:rsidRPr="00BD15C9">
        <w:rPr>
          <w:rFonts w:asciiTheme="majorHAnsi" w:eastAsiaTheme="majorEastAsia" w:hAnsiTheme="majorHAnsi" w:cstheme="majorBidi"/>
          <w:color w:val="2E74B5" w:themeColor="accent1" w:themeShade="BF"/>
          <w:sz w:val="32"/>
          <w:szCs w:val="32"/>
          <w:lang w:val="en-GB"/>
        </w:rPr>
        <w:t>nanoregister</w:t>
      </w:r>
      <w:proofErr w:type="spellEnd"/>
      <w:r w:rsidRPr="00BD15C9">
        <w:rPr>
          <w:rFonts w:asciiTheme="majorHAnsi" w:eastAsiaTheme="majorEastAsia" w:hAnsiTheme="majorHAnsi" w:cstheme="majorBidi"/>
          <w:color w:val="2E74B5" w:themeColor="accent1" w:themeShade="BF"/>
          <w:sz w:val="32"/>
          <w:szCs w:val="32"/>
          <w:lang w:val="en-GB"/>
        </w:rPr>
        <w:t xml:space="preserve">, trade year </w:t>
      </w:r>
      <w:r w:rsidR="00DE69AE" w:rsidRPr="00BD15C9">
        <w:rPr>
          <w:rFonts w:asciiTheme="majorHAnsi" w:eastAsiaTheme="majorEastAsia" w:hAnsiTheme="majorHAnsi" w:cstheme="majorBidi"/>
          <w:color w:val="2E74B5" w:themeColor="accent1" w:themeShade="BF"/>
          <w:sz w:val="32"/>
          <w:szCs w:val="32"/>
          <w:lang w:val="en-GB"/>
        </w:rPr>
        <w:t>20</w:t>
      </w:r>
      <w:r w:rsidR="00DE69AE">
        <w:rPr>
          <w:rFonts w:asciiTheme="majorHAnsi" w:eastAsiaTheme="majorEastAsia" w:hAnsiTheme="majorHAnsi" w:cstheme="majorBidi"/>
          <w:color w:val="2E74B5" w:themeColor="accent1" w:themeShade="BF"/>
          <w:sz w:val="32"/>
          <w:szCs w:val="32"/>
          <w:lang w:val="en-GB"/>
        </w:rPr>
        <w:t>20</w:t>
      </w:r>
    </w:p>
    <w:p w14:paraId="5A255F63" w14:textId="77777777" w:rsidR="007460F1" w:rsidRDefault="007460F1" w:rsidP="007460F1">
      <w:pPr>
        <w:jc w:val="both"/>
        <w:rPr>
          <w:lang w:val="en-GB"/>
        </w:rPr>
      </w:pPr>
      <w:bookmarkStart w:id="2" w:name="_Hlk58871803"/>
      <w:r w:rsidRPr="00BD15C9">
        <w:rPr>
          <w:lang w:val="en-GB"/>
        </w:rPr>
        <w:t xml:space="preserve">The Royal Decree concerning the placing on the market of substances </w:t>
      </w:r>
      <w:r>
        <w:rPr>
          <w:lang w:val="en-GB"/>
        </w:rPr>
        <w:t>manufactured</w:t>
      </w:r>
      <w:r w:rsidRPr="00BD15C9">
        <w:rPr>
          <w:lang w:val="en-GB"/>
        </w:rPr>
        <w:t xml:space="preserve"> in nanoparticular state was signed on May 27</w:t>
      </w:r>
      <w:r w:rsidRPr="00BD15C9">
        <w:rPr>
          <w:vertAlign w:val="superscript"/>
          <w:lang w:val="en-GB"/>
        </w:rPr>
        <w:t>th</w:t>
      </w:r>
      <w:r w:rsidRPr="00BD15C9">
        <w:rPr>
          <w:lang w:val="en-GB"/>
        </w:rPr>
        <w:t>, 2014 and published on September 24</w:t>
      </w:r>
      <w:r w:rsidRPr="00BD15C9">
        <w:rPr>
          <w:vertAlign w:val="superscript"/>
          <w:lang w:val="en-GB"/>
        </w:rPr>
        <w:t>th</w:t>
      </w:r>
      <w:r w:rsidRPr="00BD15C9">
        <w:rPr>
          <w:lang w:val="en-GB"/>
        </w:rPr>
        <w:t xml:space="preserve">, 2014. According to this Royal Decree, the deadline for registration of substances </w:t>
      </w:r>
      <w:r>
        <w:rPr>
          <w:lang w:val="en-GB"/>
        </w:rPr>
        <w:t>manufactured</w:t>
      </w:r>
      <w:r w:rsidRPr="00BD15C9">
        <w:rPr>
          <w:lang w:val="en-GB"/>
        </w:rPr>
        <w:t xml:space="preserve"> in nanoparticular state was January 1</w:t>
      </w:r>
      <w:r w:rsidRPr="00BD15C9">
        <w:rPr>
          <w:vertAlign w:val="superscript"/>
          <w:lang w:val="en-GB"/>
        </w:rPr>
        <w:t>st</w:t>
      </w:r>
      <w:r w:rsidRPr="00BD15C9">
        <w:rPr>
          <w:lang w:val="en-GB"/>
        </w:rPr>
        <w:t>, 2016. The registration software was launched on September 15</w:t>
      </w:r>
      <w:r w:rsidRPr="00BD15C9">
        <w:rPr>
          <w:vertAlign w:val="superscript"/>
          <w:lang w:val="en-GB"/>
        </w:rPr>
        <w:t>th</w:t>
      </w:r>
      <w:r w:rsidRPr="00BD15C9">
        <w:rPr>
          <w:lang w:val="en-GB"/>
        </w:rPr>
        <w:t>, 2015.</w:t>
      </w:r>
    </w:p>
    <w:p w14:paraId="66C93A12" w14:textId="77777777" w:rsidR="007460F1" w:rsidRPr="00BD15C9" w:rsidRDefault="007460F1" w:rsidP="007460F1">
      <w:pPr>
        <w:jc w:val="both"/>
        <w:rPr>
          <w:lang w:val="en-GB"/>
        </w:rPr>
      </w:pPr>
      <w:r>
        <w:rPr>
          <w:lang w:val="en-GB"/>
        </w:rPr>
        <w:t>The royal decree was amended the 22 December 2017, delaying the deadline of registration for the mixtures until the 1</w:t>
      </w:r>
      <w:r w:rsidRPr="00B76985">
        <w:rPr>
          <w:vertAlign w:val="superscript"/>
          <w:lang w:val="en-GB"/>
        </w:rPr>
        <w:t>st</w:t>
      </w:r>
      <w:r>
        <w:rPr>
          <w:lang w:val="en-GB"/>
        </w:rPr>
        <w:t xml:space="preserve"> January 2018.</w:t>
      </w:r>
    </w:p>
    <w:p w14:paraId="50C5ADF6" w14:textId="74408566" w:rsidR="007460F1" w:rsidRDefault="007460F1" w:rsidP="007460F1">
      <w:pPr>
        <w:jc w:val="both"/>
        <w:rPr>
          <w:lang w:val="en-GB"/>
        </w:rPr>
      </w:pPr>
      <w:r w:rsidRPr="00BD15C9">
        <w:rPr>
          <w:lang w:val="en-GB"/>
        </w:rPr>
        <w:t xml:space="preserve">This report gives the details of </w:t>
      </w:r>
      <w:r>
        <w:rPr>
          <w:lang w:val="en-GB"/>
        </w:rPr>
        <w:t>a</w:t>
      </w:r>
      <w:r w:rsidRPr="00BD15C9">
        <w:rPr>
          <w:lang w:val="en-GB"/>
        </w:rPr>
        <w:t xml:space="preserve"> </w:t>
      </w:r>
      <w:r>
        <w:rPr>
          <w:lang w:val="en-GB"/>
        </w:rPr>
        <w:t>second</w:t>
      </w:r>
      <w:r w:rsidRPr="00BD15C9">
        <w:rPr>
          <w:lang w:val="en-GB"/>
        </w:rPr>
        <w:t xml:space="preserve"> reference period</w:t>
      </w:r>
      <w:r>
        <w:rPr>
          <w:lang w:val="en-GB"/>
        </w:rPr>
        <w:t xml:space="preserve"> since the beginning of the </w:t>
      </w:r>
      <w:proofErr w:type="spellStart"/>
      <w:r>
        <w:rPr>
          <w:lang w:val="en-GB"/>
        </w:rPr>
        <w:t>nanoregistry</w:t>
      </w:r>
      <w:proofErr w:type="spellEnd"/>
      <w:r w:rsidRPr="00BD15C9">
        <w:rPr>
          <w:lang w:val="en-GB"/>
        </w:rPr>
        <w:t>, from April 1</w:t>
      </w:r>
      <w:r w:rsidRPr="00BD15C9">
        <w:rPr>
          <w:vertAlign w:val="superscript"/>
          <w:lang w:val="en-GB"/>
        </w:rPr>
        <w:t>st</w:t>
      </w:r>
      <w:r w:rsidRPr="00BD15C9">
        <w:rPr>
          <w:lang w:val="en-GB"/>
        </w:rPr>
        <w:t xml:space="preserve">, </w:t>
      </w:r>
      <w:r w:rsidR="00DE69AE" w:rsidRPr="00BD15C9">
        <w:rPr>
          <w:lang w:val="en-GB"/>
        </w:rPr>
        <w:t>20</w:t>
      </w:r>
      <w:r w:rsidR="00DE69AE">
        <w:rPr>
          <w:lang w:val="en-GB"/>
        </w:rPr>
        <w:t xml:space="preserve">20 </w:t>
      </w:r>
      <w:r>
        <w:rPr>
          <w:lang w:val="en-GB"/>
        </w:rPr>
        <w:t xml:space="preserve">to </w:t>
      </w:r>
      <w:r w:rsidR="00DE69AE">
        <w:rPr>
          <w:lang w:val="en-GB"/>
        </w:rPr>
        <w:t>March 31</w:t>
      </w:r>
      <w:r w:rsidR="00DE69AE" w:rsidRPr="00B013E9">
        <w:rPr>
          <w:vertAlign w:val="superscript"/>
          <w:lang w:val="en-GB"/>
        </w:rPr>
        <w:t>st</w:t>
      </w:r>
      <w:r>
        <w:rPr>
          <w:lang w:val="en-GB"/>
        </w:rPr>
        <w:t xml:space="preserve">, </w:t>
      </w:r>
      <w:r w:rsidR="00DE69AE">
        <w:rPr>
          <w:lang w:val="en-GB"/>
        </w:rPr>
        <w:t xml:space="preserve">2021 </w:t>
      </w:r>
      <w:r w:rsidRPr="00BD15C9">
        <w:rPr>
          <w:lang w:val="en-GB"/>
        </w:rPr>
        <w:t xml:space="preserve">(which was the deadline to update the submitted registrations) and concerns the substances </w:t>
      </w:r>
      <w:r>
        <w:rPr>
          <w:lang w:val="en-GB"/>
        </w:rPr>
        <w:t>manufactured</w:t>
      </w:r>
      <w:r w:rsidRPr="00BD15C9">
        <w:rPr>
          <w:lang w:val="en-GB"/>
        </w:rPr>
        <w:t xml:space="preserve"> in nanoparticular state which were placed on the market as substances during 20</w:t>
      </w:r>
      <w:r w:rsidR="00DE69AE">
        <w:rPr>
          <w:lang w:val="en-GB"/>
        </w:rPr>
        <w:t>20</w:t>
      </w:r>
      <w:r w:rsidRPr="00BD15C9">
        <w:rPr>
          <w:lang w:val="en-GB"/>
        </w:rPr>
        <w:t>.</w:t>
      </w:r>
    </w:p>
    <w:p w14:paraId="4AAFA603" w14:textId="16F7DFDA" w:rsidR="007460F1" w:rsidRPr="00D65262" w:rsidRDefault="007460F1" w:rsidP="007460F1">
      <w:pPr>
        <w:jc w:val="both"/>
        <w:rPr>
          <w:lang w:val="en-GB"/>
        </w:rPr>
      </w:pPr>
      <w:r w:rsidRPr="00BD15C9">
        <w:rPr>
          <w:lang w:val="en-GB"/>
        </w:rPr>
        <w:t>In this period</w:t>
      </w:r>
      <w:r w:rsidRPr="00D25DD7">
        <w:rPr>
          <w:lang w:val="en-GB"/>
        </w:rPr>
        <w:t>,  1</w:t>
      </w:r>
      <w:r w:rsidR="00D25DD7">
        <w:rPr>
          <w:lang w:val="en-GB"/>
        </w:rPr>
        <w:t>87</w:t>
      </w:r>
      <w:r w:rsidRPr="00BD15C9">
        <w:rPr>
          <w:lang w:val="en-GB"/>
        </w:rPr>
        <w:t xml:space="preserve"> accounts are considered as ‘active’ because they </w:t>
      </w:r>
      <w:r>
        <w:rPr>
          <w:lang w:val="en-GB"/>
        </w:rPr>
        <w:t>initiated</w:t>
      </w:r>
      <w:r w:rsidRPr="00BD15C9">
        <w:rPr>
          <w:lang w:val="en-GB"/>
        </w:rPr>
        <w:t xml:space="preserve"> one or more registrations. A</w:t>
      </w:r>
      <w:r w:rsidR="00D25DD7">
        <w:rPr>
          <w:lang w:val="en-GB"/>
        </w:rPr>
        <w:t>s in 2019, a</w:t>
      </w:r>
      <w:r w:rsidRPr="00BD15C9">
        <w:rPr>
          <w:lang w:val="en-GB"/>
        </w:rPr>
        <w:t xml:space="preserve">bout </w:t>
      </w:r>
      <w:r w:rsidRPr="00D25DD7">
        <w:rPr>
          <w:lang w:val="en-GB"/>
        </w:rPr>
        <w:t>40</w:t>
      </w:r>
      <w:r>
        <w:rPr>
          <w:lang w:val="en-GB"/>
        </w:rPr>
        <w:t xml:space="preserve"> %</w:t>
      </w:r>
      <w:r w:rsidRPr="00BD15C9">
        <w:rPr>
          <w:lang w:val="en-GB"/>
        </w:rPr>
        <w:t xml:space="preserve"> of the active accounts are Belgian. The majority of the non-Belgian accounts </w:t>
      </w:r>
      <w:r w:rsidRPr="00D65262">
        <w:rPr>
          <w:lang w:val="en-GB"/>
        </w:rPr>
        <w:t>are situated in the European economic area (EEA)</w:t>
      </w:r>
      <w:r w:rsidR="00174A88">
        <w:rPr>
          <w:lang w:val="en-GB"/>
        </w:rPr>
        <w:t xml:space="preserve"> and represents 51 % of the active accounts</w:t>
      </w:r>
      <w:r w:rsidRPr="00D65262">
        <w:rPr>
          <w:lang w:val="en-GB"/>
        </w:rPr>
        <w:t xml:space="preserve">. </w:t>
      </w:r>
    </w:p>
    <w:p w14:paraId="4F808D4B" w14:textId="2627E4BB" w:rsidR="007460F1" w:rsidRPr="008B74EB" w:rsidRDefault="007460F1" w:rsidP="007460F1">
      <w:pPr>
        <w:jc w:val="both"/>
        <w:rPr>
          <w:lang w:val="en-GB"/>
        </w:rPr>
      </w:pPr>
      <w:r w:rsidRPr="008B74EB">
        <w:rPr>
          <w:lang w:val="en-GB"/>
        </w:rPr>
        <w:t>A</w:t>
      </w:r>
      <w:r w:rsidR="009A2C3C" w:rsidRPr="008B74EB">
        <w:rPr>
          <w:lang w:val="en-GB"/>
        </w:rPr>
        <w:t>s in 2019, a</w:t>
      </w:r>
      <w:r w:rsidRPr="008B74EB">
        <w:rPr>
          <w:lang w:val="en-GB"/>
        </w:rPr>
        <w:t>bout 70 % of the active accounts placed the nanosubstance(s) on the Belgian market themselves and were therefore obliged to register. The other 30 % of the active accounts have registered on a voluntary basis</w:t>
      </w:r>
      <w:r w:rsidR="009A2C3C">
        <w:rPr>
          <w:lang w:val="en-GB"/>
        </w:rPr>
        <w:t xml:space="preserve"> (foreign suppliers)</w:t>
      </w:r>
      <w:r w:rsidRPr="008B74EB">
        <w:rPr>
          <w:lang w:val="en-GB"/>
        </w:rPr>
        <w:t xml:space="preserve">. </w:t>
      </w:r>
    </w:p>
    <w:p w14:paraId="11B945AC" w14:textId="6A4A91CA" w:rsidR="007460F1" w:rsidRPr="00B013E9" w:rsidRDefault="007460F1" w:rsidP="007460F1">
      <w:pPr>
        <w:jc w:val="both"/>
        <w:rPr>
          <w:highlight w:val="yellow"/>
          <w:lang w:val="en-GB"/>
        </w:rPr>
      </w:pPr>
      <w:r w:rsidRPr="00505EDD">
        <w:rPr>
          <w:lang w:val="en-GB"/>
        </w:rPr>
        <w:t xml:space="preserve">In total </w:t>
      </w:r>
      <w:r w:rsidR="00505EDD" w:rsidRPr="00505EDD">
        <w:rPr>
          <w:lang w:val="en-GB"/>
        </w:rPr>
        <w:t>1</w:t>
      </w:r>
      <w:r w:rsidR="00505EDD" w:rsidRPr="00B013E9">
        <w:rPr>
          <w:lang w:val="en-GB"/>
        </w:rPr>
        <w:t>928</w:t>
      </w:r>
      <w:r w:rsidR="00505EDD" w:rsidRPr="00505EDD">
        <w:rPr>
          <w:lang w:val="en-GB"/>
        </w:rPr>
        <w:t xml:space="preserve"> </w:t>
      </w:r>
      <w:r w:rsidRPr="00505EDD">
        <w:rPr>
          <w:lang w:val="en-GB"/>
        </w:rPr>
        <w:t xml:space="preserve">registrations were submitted. Half of the registrants in the EEA submitted less than 4 registrations. </w:t>
      </w:r>
    </w:p>
    <w:p w14:paraId="0BB29FA5" w14:textId="1EE75ED2" w:rsidR="007460F1" w:rsidRPr="00B013E9" w:rsidRDefault="007460F1" w:rsidP="007460F1">
      <w:pPr>
        <w:jc w:val="both"/>
        <w:rPr>
          <w:highlight w:val="yellow"/>
          <w:lang w:val="en-GB"/>
        </w:rPr>
      </w:pPr>
      <w:r w:rsidRPr="00C85329">
        <w:rPr>
          <w:lang w:val="en-GB"/>
        </w:rPr>
        <w:t xml:space="preserve">The importers submitted </w:t>
      </w:r>
      <w:r w:rsidR="00C85329" w:rsidRPr="00B013E9">
        <w:rPr>
          <w:lang w:val="en-GB"/>
        </w:rPr>
        <w:t>36.</w:t>
      </w:r>
      <w:r w:rsidR="00513719">
        <w:rPr>
          <w:lang w:val="en-GB"/>
        </w:rPr>
        <w:t>38</w:t>
      </w:r>
      <w:r w:rsidRPr="00C85329">
        <w:rPr>
          <w:lang w:val="en-GB"/>
        </w:rPr>
        <w:t xml:space="preserve"> % of the number of registrations, the manufacturers </w:t>
      </w:r>
      <w:r w:rsidR="00513719">
        <w:rPr>
          <w:lang w:val="en-GB"/>
        </w:rPr>
        <w:t>11.75</w:t>
      </w:r>
      <w:r w:rsidRPr="00C85329">
        <w:rPr>
          <w:lang w:val="en-GB"/>
        </w:rPr>
        <w:t xml:space="preserve"> % and the distributors </w:t>
      </w:r>
      <w:r w:rsidR="00513719">
        <w:rPr>
          <w:lang w:val="en-GB"/>
        </w:rPr>
        <w:t>27.13</w:t>
      </w:r>
      <w:r w:rsidRPr="00C85329">
        <w:rPr>
          <w:lang w:val="en-GB"/>
        </w:rPr>
        <w:t xml:space="preserve"> %. </w:t>
      </w:r>
      <w:r w:rsidRPr="00DD43C1">
        <w:rPr>
          <w:lang w:val="en-GB"/>
        </w:rPr>
        <w:t xml:space="preserve">The remaining part was submitted either by formulators or by ‘others’. This distribution is similar to the </w:t>
      </w:r>
      <w:r w:rsidR="00DD43C1" w:rsidRPr="00B013E9">
        <w:rPr>
          <w:lang w:val="en-GB"/>
        </w:rPr>
        <w:t>2019</w:t>
      </w:r>
      <w:r w:rsidRPr="00DD43C1">
        <w:rPr>
          <w:lang w:val="en-GB"/>
        </w:rPr>
        <w:t xml:space="preserve"> trade year data</w:t>
      </w:r>
      <w:r w:rsidR="00DD43C1" w:rsidRPr="00B013E9">
        <w:rPr>
          <w:lang w:val="en-GB"/>
        </w:rPr>
        <w:t xml:space="preserve"> except for the distributors part which was increased by 10 %</w:t>
      </w:r>
      <w:r w:rsidRPr="00DD43C1">
        <w:rPr>
          <w:lang w:val="en-GB"/>
        </w:rPr>
        <w:t xml:space="preserve">. About </w:t>
      </w:r>
      <w:r w:rsidR="00DD43C1" w:rsidRPr="00B013E9">
        <w:rPr>
          <w:lang w:val="en-GB"/>
        </w:rPr>
        <w:t>62</w:t>
      </w:r>
      <w:r w:rsidR="00DD43C1" w:rsidRPr="00DD43C1">
        <w:rPr>
          <w:lang w:val="en-GB"/>
        </w:rPr>
        <w:t xml:space="preserve"> </w:t>
      </w:r>
      <w:r w:rsidRPr="00DD43C1">
        <w:rPr>
          <w:lang w:val="en-GB"/>
        </w:rPr>
        <w:t>% of the registrations were updated before the deadline of April 1</w:t>
      </w:r>
      <w:r w:rsidRPr="00DD43C1">
        <w:rPr>
          <w:vertAlign w:val="superscript"/>
          <w:lang w:val="en-GB"/>
        </w:rPr>
        <w:t>st</w:t>
      </w:r>
      <w:r w:rsidRPr="00DD43C1">
        <w:rPr>
          <w:lang w:val="en-GB"/>
        </w:rPr>
        <w:t xml:space="preserve">, </w:t>
      </w:r>
      <w:r w:rsidR="00DD43C1" w:rsidRPr="00DD43C1">
        <w:rPr>
          <w:lang w:val="en-GB"/>
        </w:rPr>
        <w:t>202</w:t>
      </w:r>
      <w:r w:rsidR="00DD43C1" w:rsidRPr="00B013E9">
        <w:rPr>
          <w:lang w:val="en-GB"/>
        </w:rPr>
        <w:t>1</w:t>
      </w:r>
      <w:r w:rsidRPr="00DD43C1">
        <w:rPr>
          <w:lang w:val="en-GB"/>
        </w:rPr>
        <w:t xml:space="preserve">, which is a better score than in </w:t>
      </w:r>
      <w:r w:rsidR="00DD43C1" w:rsidRPr="00DD43C1">
        <w:rPr>
          <w:lang w:val="en-GB"/>
        </w:rPr>
        <w:t>201</w:t>
      </w:r>
      <w:r w:rsidR="00DD43C1" w:rsidRPr="00B013E9">
        <w:rPr>
          <w:lang w:val="en-GB"/>
        </w:rPr>
        <w:t>9</w:t>
      </w:r>
      <w:r w:rsidR="00DD43C1" w:rsidRPr="00DD43C1">
        <w:rPr>
          <w:lang w:val="en-GB"/>
        </w:rPr>
        <w:t xml:space="preserve"> </w:t>
      </w:r>
      <w:r w:rsidRPr="00DD43C1">
        <w:rPr>
          <w:lang w:val="en-GB"/>
        </w:rPr>
        <w:t>(+ 10 %).</w:t>
      </w:r>
    </w:p>
    <w:p w14:paraId="5EA32D58" w14:textId="1F18A44B" w:rsidR="007460F1" w:rsidRPr="00612422" w:rsidRDefault="007460F1" w:rsidP="007460F1">
      <w:pPr>
        <w:jc w:val="both"/>
        <w:rPr>
          <w:rFonts w:eastAsia="Times New Roman" w:cs="Arial"/>
          <w:lang w:val="en-GB"/>
        </w:rPr>
      </w:pPr>
      <w:r w:rsidRPr="00513719">
        <w:rPr>
          <w:lang w:val="en-GB"/>
        </w:rPr>
        <w:t>The NACE(BEL)-codes are used to specify the economic activities. Results are comparable to 2018</w:t>
      </w:r>
      <w:r w:rsidR="00513719" w:rsidRPr="00B013E9">
        <w:rPr>
          <w:lang w:val="en-GB"/>
        </w:rPr>
        <w:t xml:space="preserve"> and 2019</w:t>
      </w:r>
      <w:r w:rsidRPr="00513719">
        <w:rPr>
          <w:lang w:val="en-GB"/>
        </w:rPr>
        <w:t xml:space="preserve"> data. Indeed, Code 20 -</w:t>
      </w:r>
      <w:r w:rsidRPr="00513719">
        <w:rPr>
          <w:rFonts w:eastAsia="Times New Roman" w:cs="Arial"/>
          <w:lang w:val="en-GB"/>
        </w:rPr>
        <w:t xml:space="preserve"> Manufacture of chemicals and chemical products - has been most often used to describe the economic activity at the level of the company. At the level of the registrations of substances, code 20160 - Manufacture of plastics in primary forms – has been most frequently used. For the mixtures, the code 2014 – Manufacturing of other raw organic chemical products – has been most frequently used. </w:t>
      </w:r>
    </w:p>
    <w:p w14:paraId="350F6FD9" w14:textId="3FC02724" w:rsidR="007460F1" w:rsidRPr="00612422" w:rsidRDefault="007460F1" w:rsidP="007460F1">
      <w:pPr>
        <w:jc w:val="both"/>
        <w:rPr>
          <w:rFonts w:eastAsia="Times New Roman" w:cs="Arial"/>
          <w:lang w:val="en-GB"/>
        </w:rPr>
      </w:pPr>
      <w:r w:rsidRPr="00612422">
        <w:rPr>
          <w:rFonts w:eastAsia="Times New Roman" w:cs="Arial"/>
          <w:lang w:val="en-GB"/>
        </w:rPr>
        <w:t>The European descriptor system is used to specify the uses of the substances (and mixtures) in nanoparticular state</w:t>
      </w:r>
      <w:r w:rsidRPr="009A2C3C">
        <w:rPr>
          <w:rFonts w:eastAsia="Times New Roman" w:cs="Arial"/>
          <w:lang w:val="en-GB"/>
        </w:rPr>
        <w:t xml:space="preserve">. </w:t>
      </w:r>
      <w:r w:rsidRPr="008B74EB">
        <w:rPr>
          <w:rFonts w:eastAsia="Times New Roman" w:cs="Arial"/>
          <w:lang w:val="en-GB"/>
        </w:rPr>
        <w:t>The SU (Sectors of Use) category system</w:t>
      </w:r>
      <w:r w:rsidR="00612422" w:rsidRPr="008B74EB">
        <w:rPr>
          <w:rFonts w:eastAsia="Times New Roman" w:cs="Arial"/>
          <w:lang w:val="en-GB"/>
        </w:rPr>
        <w:t xml:space="preserve"> which </w:t>
      </w:r>
      <w:r w:rsidRPr="009A2C3C">
        <w:rPr>
          <w:rFonts w:eastAsia="Times New Roman" w:cs="Arial"/>
          <w:lang w:val="en-GB"/>
        </w:rPr>
        <w:t xml:space="preserve">has been mentioned the most often </w:t>
      </w:r>
      <w:r w:rsidR="00612422" w:rsidRPr="008B74EB">
        <w:rPr>
          <w:rFonts w:eastAsia="Times New Roman" w:cs="Arial"/>
          <w:lang w:val="en-GB"/>
        </w:rPr>
        <w:t xml:space="preserve">with </w:t>
      </w:r>
      <w:r w:rsidR="009A2C3C" w:rsidRPr="008B74EB">
        <w:rPr>
          <w:rFonts w:eastAsia="Times New Roman" w:cs="Arial"/>
          <w:lang w:val="en-GB"/>
        </w:rPr>
        <w:t>25.44</w:t>
      </w:r>
      <w:r w:rsidRPr="009A2C3C">
        <w:rPr>
          <w:rFonts w:eastAsia="Times New Roman" w:cs="Arial"/>
          <w:lang w:val="en-GB"/>
        </w:rPr>
        <w:t xml:space="preserve"> % of the registered uses, </w:t>
      </w:r>
      <w:r w:rsidR="00612422" w:rsidRPr="008B74EB">
        <w:rPr>
          <w:rFonts w:eastAsia="Times New Roman" w:cs="Arial"/>
          <w:lang w:val="en-GB"/>
        </w:rPr>
        <w:t xml:space="preserve">is the SU10 – </w:t>
      </w:r>
      <w:r w:rsidR="009A2C3C" w:rsidRPr="008B74EB">
        <w:rPr>
          <w:rFonts w:eastAsia="Times New Roman" w:cs="Arial"/>
          <w:lang w:val="en-GB"/>
        </w:rPr>
        <w:t>Formulation</w:t>
      </w:r>
      <w:r w:rsidR="00612422" w:rsidRPr="008B74EB">
        <w:rPr>
          <w:rFonts w:eastAsia="Times New Roman" w:cs="Arial"/>
          <w:lang w:val="en-GB"/>
        </w:rPr>
        <w:t xml:space="preserve">. </w:t>
      </w:r>
      <w:r w:rsidRPr="00612422">
        <w:rPr>
          <w:rFonts w:eastAsia="Times New Roman" w:cs="Arial"/>
          <w:lang w:val="en-GB"/>
        </w:rPr>
        <w:t xml:space="preserve">SU3 - Industrial uses: Uses of substances as such or in preparations at industrial sites </w:t>
      </w:r>
      <w:r w:rsidR="00612422" w:rsidRPr="00B013E9">
        <w:rPr>
          <w:rFonts w:eastAsia="Times New Roman" w:cs="Arial"/>
          <w:lang w:val="en-GB"/>
        </w:rPr>
        <w:t xml:space="preserve">was </w:t>
      </w:r>
      <w:r w:rsidRPr="00612422">
        <w:rPr>
          <w:rFonts w:eastAsia="Times New Roman" w:cs="Arial"/>
          <w:lang w:val="en-GB"/>
        </w:rPr>
        <w:t>the most selected in the submitted registrations</w:t>
      </w:r>
      <w:r w:rsidR="00612422" w:rsidRPr="00B013E9">
        <w:rPr>
          <w:rFonts w:eastAsia="Times New Roman" w:cs="Arial"/>
          <w:lang w:val="en-GB"/>
        </w:rPr>
        <w:t xml:space="preserve"> in the 2019 trade year with 42.07 %</w:t>
      </w:r>
      <w:r w:rsidRPr="00612422">
        <w:rPr>
          <w:rFonts w:eastAsia="Times New Roman" w:cs="Arial"/>
          <w:lang w:val="en-GB"/>
        </w:rPr>
        <w:t xml:space="preserve">. </w:t>
      </w:r>
      <w:r w:rsidR="00612422">
        <w:rPr>
          <w:rFonts w:eastAsia="Times New Roman" w:cs="Arial"/>
          <w:lang w:val="en-GB"/>
        </w:rPr>
        <w:t xml:space="preserve">It now holds the second place on the podium with </w:t>
      </w:r>
      <w:r w:rsidR="009A2C3C">
        <w:rPr>
          <w:rFonts w:eastAsia="Times New Roman" w:cs="Arial"/>
          <w:lang w:val="en-GB"/>
        </w:rPr>
        <w:t>23.77 %.</w:t>
      </w:r>
    </w:p>
    <w:p w14:paraId="2ED1D6D7" w14:textId="77777777" w:rsidR="00C3732A" w:rsidRPr="006C782F" w:rsidRDefault="00C3732A" w:rsidP="00C3732A">
      <w:pPr>
        <w:jc w:val="both"/>
        <w:rPr>
          <w:highlight w:val="yellow"/>
        </w:rPr>
      </w:pPr>
      <w:r w:rsidRPr="006C782F">
        <w:lastRenderedPageBreak/>
        <w:t>According to the registered data for 2020, 61</w:t>
      </w:r>
      <w:r>
        <w:t>,</w:t>
      </w:r>
      <w:r w:rsidRPr="006C782F">
        <w:t>856</w:t>
      </w:r>
      <w:r>
        <w:t>.</w:t>
      </w:r>
      <w:r w:rsidRPr="006C782F">
        <w:t>65 tons (+ ~21</w:t>
      </w:r>
      <w:r>
        <w:t>,</w:t>
      </w:r>
      <w:r w:rsidRPr="006C782F">
        <w:t>604 in 2020,+ 13</w:t>
      </w:r>
      <w:r>
        <w:t>,</w:t>
      </w:r>
      <w:r w:rsidRPr="006C782F">
        <w:t>000 t in 2019) of substances in nanoparticular state were imported, 35</w:t>
      </w:r>
      <w:r>
        <w:t>,</w:t>
      </w:r>
      <w:r w:rsidRPr="006C782F">
        <w:t>010</w:t>
      </w:r>
      <w:r>
        <w:t>.</w:t>
      </w:r>
      <w:r w:rsidRPr="006C782F">
        <w:t>77 tons (- ~19</w:t>
      </w:r>
      <w:r>
        <w:t>,</w:t>
      </w:r>
      <w:r w:rsidRPr="006C782F">
        <w:t>028 t in 2020, - 7</w:t>
      </w:r>
      <w:r>
        <w:t>,</w:t>
      </w:r>
      <w:r w:rsidRPr="006C782F">
        <w:t xml:space="preserve">000 t in 2019) were manufactured </w:t>
      </w:r>
      <w:bookmarkStart w:id="3" w:name="_Hlk72834619"/>
      <w:r w:rsidRPr="006C782F">
        <w:t>and 20</w:t>
      </w:r>
      <w:r>
        <w:t>,</w:t>
      </w:r>
      <w:r w:rsidRPr="006C782F">
        <w:t>900</w:t>
      </w:r>
      <w:r>
        <w:t>.</w:t>
      </w:r>
      <w:r w:rsidRPr="006C782F">
        <w:t>40 tons (+ 16</w:t>
      </w:r>
      <w:r>
        <w:t>,</w:t>
      </w:r>
      <w:r w:rsidRPr="006C782F">
        <w:t>893</w:t>
      </w:r>
      <w:r>
        <w:t>.</w:t>
      </w:r>
      <w:r w:rsidRPr="006C782F">
        <w:t>23 t) were distributed.</w:t>
      </w:r>
      <w:bookmarkEnd w:id="3"/>
    </w:p>
    <w:p w14:paraId="1228ED61" w14:textId="7898497C" w:rsidR="007460F1" w:rsidRPr="00B013E9" w:rsidRDefault="007460F1" w:rsidP="007460F1">
      <w:pPr>
        <w:jc w:val="both"/>
        <w:rPr>
          <w:highlight w:val="yellow"/>
          <w:lang w:val="en-GB"/>
        </w:rPr>
      </w:pPr>
      <w:r w:rsidRPr="008A7F7E">
        <w:rPr>
          <w:lang w:val="en-GB"/>
        </w:rPr>
        <w:t>The substances registered in quantities more than 1</w:t>
      </w:r>
      <w:r w:rsidR="00C3732A">
        <w:rPr>
          <w:lang w:val="en-GB"/>
        </w:rPr>
        <w:t>,</w:t>
      </w:r>
      <w:r w:rsidRPr="008A7F7E">
        <w:rPr>
          <w:lang w:val="en-GB"/>
        </w:rPr>
        <w:t xml:space="preserve">000 tons are </w:t>
      </w:r>
      <w:r w:rsidR="007A4CE8" w:rsidRPr="008A7F7E">
        <w:rPr>
          <w:lang w:val="en-GB"/>
        </w:rPr>
        <w:t xml:space="preserve">calcium carbonate, carbon black, </w:t>
      </w:r>
      <w:r w:rsidR="008A7F7E" w:rsidRPr="00B013E9">
        <w:rPr>
          <w:lang w:val="en-GB"/>
        </w:rPr>
        <w:t>silicon dioxide</w:t>
      </w:r>
      <w:r w:rsidR="008A7F7E">
        <w:rPr>
          <w:lang w:val="en-GB"/>
        </w:rPr>
        <w:t>,</w:t>
      </w:r>
      <w:r w:rsidR="008A7F7E" w:rsidRPr="00B013E9">
        <w:rPr>
          <w:lang w:val="en-GB"/>
        </w:rPr>
        <w:t xml:space="preserve"> </w:t>
      </w:r>
      <w:r w:rsidR="00282187" w:rsidRPr="008A7F7E">
        <w:rPr>
          <w:lang w:val="en-GB"/>
        </w:rPr>
        <w:t>diiron trioxide,</w:t>
      </w:r>
      <w:r w:rsidR="008A7F7E" w:rsidRPr="008A7F7E">
        <w:rPr>
          <w:lang w:val="en-GB"/>
        </w:rPr>
        <w:t xml:space="preserve"> sodium </w:t>
      </w:r>
      <w:proofErr w:type="spellStart"/>
      <w:r w:rsidR="008A7F7E" w:rsidRPr="008A7F7E">
        <w:rPr>
          <w:lang w:val="en-GB"/>
        </w:rPr>
        <w:t>hydrogencarb</w:t>
      </w:r>
      <w:r w:rsidR="008A7F7E">
        <w:rPr>
          <w:lang w:val="en-GB"/>
        </w:rPr>
        <w:t>o</w:t>
      </w:r>
      <w:r w:rsidR="008A7F7E" w:rsidRPr="008A7F7E">
        <w:rPr>
          <w:lang w:val="en-GB"/>
        </w:rPr>
        <w:t>nate</w:t>
      </w:r>
      <w:proofErr w:type="spellEnd"/>
      <w:r w:rsidR="008B74EB">
        <w:rPr>
          <w:lang w:val="en-GB"/>
        </w:rPr>
        <w:t>,</w:t>
      </w:r>
      <w:r w:rsidR="008A7F7E" w:rsidRPr="008A7F7E">
        <w:rPr>
          <w:lang w:val="en-GB"/>
        </w:rPr>
        <w:t xml:space="preserve"> amorphous silica</w:t>
      </w:r>
      <w:r w:rsidR="008B74EB">
        <w:rPr>
          <w:lang w:val="en-GB"/>
        </w:rPr>
        <w:t xml:space="preserve">, </w:t>
      </w:r>
      <w:r w:rsidR="003936D5">
        <w:rPr>
          <w:lang w:val="en-GB"/>
        </w:rPr>
        <w:t xml:space="preserve">and </w:t>
      </w:r>
      <w:r w:rsidR="008B74EB">
        <w:rPr>
          <w:lang w:val="en-GB"/>
        </w:rPr>
        <w:t>pigment blue 15</w:t>
      </w:r>
      <w:r w:rsidR="008A7F7E" w:rsidRPr="008A7F7E">
        <w:rPr>
          <w:lang w:val="en-GB"/>
        </w:rPr>
        <w:t>.</w:t>
      </w:r>
    </w:p>
    <w:p w14:paraId="4D57A4E6" w14:textId="05480C64" w:rsidR="007460F1" w:rsidRPr="00B013E9" w:rsidRDefault="007460F1" w:rsidP="007460F1">
      <w:pPr>
        <w:jc w:val="both"/>
        <w:rPr>
          <w:lang w:val="en-GB"/>
        </w:rPr>
      </w:pPr>
      <w:r w:rsidRPr="007B2AFD">
        <w:rPr>
          <w:lang w:val="en-GB"/>
        </w:rPr>
        <w:t xml:space="preserve">More than </w:t>
      </w:r>
      <w:r w:rsidR="007B2AFD" w:rsidRPr="007B2AFD">
        <w:rPr>
          <w:lang w:val="en-GB"/>
        </w:rPr>
        <w:t>65</w:t>
      </w:r>
      <w:r w:rsidR="00C3732A">
        <w:rPr>
          <w:lang w:val="en-GB"/>
        </w:rPr>
        <w:t xml:space="preserve"> </w:t>
      </w:r>
      <w:r w:rsidRPr="007B2AFD">
        <w:rPr>
          <w:lang w:val="en-GB"/>
        </w:rPr>
        <w:t>% of the submitted registrations reported quantities below 1 ton.</w:t>
      </w:r>
      <w:r w:rsidRPr="007B2AFD">
        <w:t xml:space="preserve"> One</w:t>
      </w:r>
      <w:r w:rsidRPr="008A7F7E">
        <w:t xml:space="preserve"> ton is the threshold quantity for the REACH registration</w:t>
      </w:r>
      <w:r w:rsidRPr="008A7F7E">
        <w:rPr>
          <w:lang w:val="en-GB"/>
        </w:rPr>
        <w:t>.</w:t>
      </w:r>
    </w:p>
    <w:p w14:paraId="365DEC5D" w14:textId="00E9AF6D" w:rsidR="007460F1" w:rsidRPr="008A7F7E" w:rsidRDefault="00B6774D" w:rsidP="007460F1">
      <w:pPr>
        <w:jc w:val="both"/>
        <w:rPr>
          <w:lang w:val="en-GB"/>
        </w:rPr>
      </w:pPr>
      <w:r w:rsidRPr="00C85329">
        <w:rPr>
          <w:lang w:val="en-GB"/>
        </w:rPr>
        <w:t xml:space="preserve">A scientific evaluation of the registrations submitted in 2017 and 2018 has been performed. It </w:t>
      </w:r>
      <w:r w:rsidR="00655D56" w:rsidRPr="00C85329">
        <w:rPr>
          <w:lang w:val="en-GB"/>
        </w:rPr>
        <w:t>aimed to assess the quality of the submitted da</w:t>
      </w:r>
      <w:r w:rsidR="00655D56" w:rsidRPr="008A7F7E">
        <w:rPr>
          <w:lang w:val="en-GB"/>
        </w:rPr>
        <w:t xml:space="preserve">ta and </w:t>
      </w:r>
      <w:r w:rsidR="00E018F6" w:rsidRPr="00C85329">
        <w:rPr>
          <w:lang w:val="en-GB"/>
        </w:rPr>
        <w:t>their compliance (correct filling of all the mandatory fields allowing a complete physicochemical characterization of the substance in nanoparticular state).</w:t>
      </w:r>
      <w:r w:rsidR="00CE153B" w:rsidRPr="00C85329">
        <w:rPr>
          <w:lang w:val="en-GB"/>
        </w:rPr>
        <w:t xml:space="preserve"> Also, an evaluation of the appropriateness of the measurement method was performed.</w:t>
      </w:r>
      <w:r w:rsidR="00E018F6" w:rsidRPr="00C85329">
        <w:rPr>
          <w:lang w:val="en-GB"/>
        </w:rPr>
        <w:t xml:space="preserve"> </w:t>
      </w:r>
      <w:r w:rsidR="00CE153B" w:rsidRPr="00C85329">
        <w:rPr>
          <w:lang w:val="en-GB"/>
        </w:rPr>
        <w:t xml:space="preserve">Qualitative assessment showed several issues such as the lack of standardized descriptors for example for size and shape, missing annexes or uncertainty analysis,  possibly inducing understanding </w:t>
      </w:r>
      <w:r w:rsidR="00CE153B" w:rsidRPr="008A7F7E">
        <w:rPr>
          <w:lang w:val="en-GB"/>
        </w:rPr>
        <w:t>difficulties.</w:t>
      </w:r>
      <w:r w:rsidR="000A132B" w:rsidRPr="008A7F7E">
        <w:rPr>
          <w:lang w:val="en-GB"/>
        </w:rPr>
        <w:t xml:space="preserve"> A summary of the quantitative analysis are presented below (Chapter 12). </w:t>
      </w:r>
    </w:p>
    <w:p w14:paraId="4C417956" w14:textId="42100A65" w:rsidR="007460F1" w:rsidRPr="00B013E9" w:rsidRDefault="007460F1" w:rsidP="007460F1">
      <w:pPr>
        <w:jc w:val="both"/>
        <w:rPr>
          <w:lang w:val="en-GB"/>
        </w:rPr>
      </w:pPr>
      <w:r w:rsidRPr="008A7F7E">
        <w:rPr>
          <w:lang w:val="en-GB"/>
        </w:rPr>
        <w:t xml:space="preserve">The helpdesk received </w:t>
      </w:r>
      <w:r w:rsidR="008A7F7E" w:rsidRPr="00B013E9">
        <w:rPr>
          <w:lang w:val="en-GB"/>
        </w:rPr>
        <w:t>84</w:t>
      </w:r>
      <w:r w:rsidRPr="008A7F7E">
        <w:rPr>
          <w:lang w:val="en-GB"/>
        </w:rPr>
        <w:t xml:space="preserve"> questions in the above mentioned reference period. Half of the questions were answered within 2 days, 89.</w:t>
      </w:r>
      <w:r w:rsidR="008A7F7E" w:rsidRPr="00B013E9">
        <w:rPr>
          <w:lang w:val="en-GB"/>
        </w:rPr>
        <w:t>2</w:t>
      </w:r>
      <w:r w:rsidR="008A7F7E" w:rsidRPr="008A7F7E">
        <w:rPr>
          <w:lang w:val="en-GB"/>
        </w:rPr>
        <w:t xml:space="preserve"> </w:t>
      </w:r>
      <w:r w:rsidRPr="008A7F7E">
        <w:rPr>
          <w:lang w:val="en-GB"/>
        </w:rPr>
        <w:t xml:space="preserve">% of the questions received a definitive answer within </w:t>
      </w:r>
      <w:r w:rsidR="008A7F7E" w:rsidRPr="00B013E9">
        <w:rPr>
          <w:lang w:val="en-GB"/>
        </w:rPr>
        <w:t>4</w:t>
      </w:r>
      <w:r w:rsidR="008A7F7E" w:rsidRPr="008A7F7E">
        <w:rPr>
          <w:lang w:val="en-GB"/>
        </w:rPr>
        <w:t xml:space="preserve"> </w:t>
      </w:r>
      <w:r w:rsidRPr="008A7F7E">
        <w:rPr>
          <w:lang w:val="en-GB"/>
        </w:rPr>
        <w:t xml:space="preserve">calendar days.  </w:t>
      </w:r>
    </w:p>
    <w:p w14:paraId="06D8B203" w14:textId="7C6B94B6" w:rsidR="007460F1" w:rsidRPr="00BD15C9" w:rsidRDefault="007460F1" w:rsidP="007460F1">
      <w:pPr>
        <w:jc w:val="both"/>
        <w:rPr>
          <w:lang w:val="en-GB"/>
        </w:rPr>
      </w:pPr>
      <w:r w:rsidRPr="008A7F7E">
        <w:rPr>
          <w:lang w:val="en-GB"/>
        </w:rPr>
        <w:t>The nominative list of the substances registered for 20</w:t>
      </w:r>
      <w:r w:rsidR="008A7F7E" w:rsidRPr="00B013E9">
        <w:rPr>
          <w:lang w:val="en-GB"/>
        </w:rPr>
        <w:t>20</w:t>
      </w:r>
      <w:r w:rsidRPr="008A7F7E">
        <w:rPr>
          <w:lang w:val="en-GB"/>
        </w:rPr>
        <w:t xml:space="preserve"> is presented in the Annex to this report</w:t>
      </w:r>
      <w:r w:rsidR="00205545" w:rsidRPr="008A7F7E">
        <w:rPr>
          <w:lang w:val="en-GB"/>
        </w:rPr>
        <w:t>, b</w:t>
      </w:r>
      <w:r w:rsidRPr="008A7F7E">
        <w:rPr>
          <w:lang w:val="en-GB"/>
        </w:rPr>
        <w:t xml:space="preserve">ased on the chemical name provided during the registration. The chemical identification makes no distinction between the possible differences in the </w:t>
      </w:r>
      <w:proofErr w:type="spellStart"/>
      <w:r w:rsidRPr="008A7F7E">
        <w:rPr>
          <w:lang w:val="en-GB"/>
        </w:rPr>
        <w:t>physico</w:t>
      </w:r>
      <w:proofErr w:type="spellEnd"/>
      <w:r w:rsidRPr="008A7F7E">
        <w:rPr>
          <w:lang w:val="en-GB"/>
        </w:rPr>
        <w:t xml:space="preserve">-chemical properties of the </w:t>
      </w:r>
      <w:proofErr w:type="spellStart"/>
      <w:r w:rsidRPr="008A7F7E">
        <w:rPr>
          <w:lang w:val="en-GB"/>
        </w:rPr>
        <w:t>nanosubstances</w:t>
      </w:r>
      <w:proofErr w:type="spellEnd"/>
      <w:r w:rsidRPr="008A7F7E">
        <w:rPr>
          <w:lang w:val="en-GB"/>
        </w:rPr>
        <w:t>.</w:t>
      </w:r>
      <w:r w:rsidRPr="00BD15C9">
        <w:rPr>
          <w:lang w:val="en-GB"/>
        </w:rPr>
        <w:t xml:space="preserve"> </w:t>
      </w:r>
    </w:p>
    <w:bookmarkEnd w:id="2"/>
    <w:p w14:paraId="6A8DCFC4" w14:textId="77777777" w:rsidR="00AA4964" w:rsidRPr="00BD15C9" w:rsidRDefault="00AA4964" w:rsidP="00AE063F">
      <w:pPr>
        <w:jc w:val="both"/>
        <w:rPr>
          <w:lang w:val="en-GB"/>
        </w:rPr>
      </w:pPr>
    </w:p>
    <w:p w14:paraId="10216D51" w14:textId="77777777" w:rsidR="00AE063F" w:rsidRPr="00BD15C9" w:rsidRDefault="00AE063F" w:rsidP="00AA0C4E">
      <w:pPr>
        <w:rPr>
          <w:lang w:val="en-GB"/>
        </w:rPr>
      </w:pPr>
    </w:p>
    <w:p w14:paraId="6D6B8507" w14:textId="77777777" w:rsidR="001D18BB" w:rsidRPr="00BD15C9" w:rsidRDefault="001D18BB">
      <w:pPr>
        <w:rPr>
          <w:rFonts w:asciiTheme="majorHAnsi" w:eastAsiaTheme="majorEastAsia" w:hAnsiTheme="majorHAnsi" w:cstheme="majorBidi"/>
          <w:color w:val="2E74B5" w:themeColor="accent1" w:themeShade="BF"/>
          <w:sz w:val="32"/>
          <w:szCs w:val="32"/>
          <w:lang w:val="en-GB"/>
        </w:rPr>
      </w:pPr>
      <w:r w:rsidRPr="00BD15C9">
        <w:rPr>
          <w:lang w:val="en-GB"/>
        </w:rPr>
        <w:br w:type="page"/>
      </w:r>
    </w:p>
    <w:p w14:paraId="50DB5E1F" w14:textId="5624EC5C" w:rsidR="00032BD0" w:rsidRPr="00BD15C9" w:rsidRDefault="00435A25" w:rsidP="00BB22C7">
      <w:pPr>
        <w:pStyle w:val="Titre1"/>
        <w:rPr>
          <w:lang w:val="fr-FR"/>
        </w:rPr>
      </w:pPr>
      <w:bookmarkStart w:id="4" w:name="_Toc76034143"/>
      <w:proofErr w:type="spellStart"/>
      <w:r w:rsidRPr="00801206">
        <w:lastRenderedPageBreak/>
        <w:t>Nanomatériaux</w:t>
      </w:r>
      <w:bookmarkEnd w:id="4"/>
      <w:proofErr w:type="spellEnd"/>
      <w:r w:rsidRPr="00BD15C9">
        <w:rPr>
          <w:lang w:val="fr-FR"/>
        </w:rPr>
        <w:t xml:space="preserve"> </w:t>
      </w:r>
    </w:p>
    <w:p w14:paraId="0AB6996A" w14:textId="01D16B0F" w:rsidR="00304CC6" w:rsidRPr="00BD15C9" w:rsidRDefault="00435A25" w:rsidP="00BB22C7">
      <w:pPr>
        <w:pStyle w:val="Titre2"/>
      </w:pPr>
      <w:bookmarkStart w:id="5" w:name="_Toc76034144"/>
      <w:r w:rsidRPr="00BD15C9">
        <w:t xml:space="preserve">Qu'est-ce </w:t>
      </w:r>
      <w:r w:rsidRPr="00BB22C7">
        <w:t>qu'un</w:t>
      </w:r>
      <w:r w:rsidRPr="00BD15C9">
        <w:t xml:space="preserve"> </w:t>
      </w:r>
      <w:r w:rsidRPr="00BB22C7">
        <w:t>nanomatériau</w:t>
      </w:r>
      <w:r w:rsidRPr="00BD15C9">
        <w:t xml:space="preserve"> ?</w:t>
      </w:r>
      <w:bookmarkEnd w:id="5"/>
      <w:r w:rsidRPr="00BD15C9">
        <w:t xml:space="preserve"> </w:t>
      </w:r>
    </w:p>
    <w:p w14:paraId="1A283C4B" w14:textId="0225616B" w:rsidR="00304CC6" w:rsidRPr="00BD15C9" w:rsidRDefault="007322B2" w:rsidP="00757057">
      <w:pPr>
        <w:jc w:val="both"/>
        <w:rPr>
          <w:lang w:val="fr-FR"/>
        </w:rPr>
      </w:pPr>
      <w:r w:rsidRPr="00BD15C9">
        <w:rPr>
          <w:lang w:val="fr-FR"/>
        </w:rPr>
        <w:t xml:space="preserve">Au sens général, un nanomatériau est un matériau qui contient </w:t>
      </w:r>
      <w:r w:rsidR="004A7B49">
        <w:rPr>
          <w:lang w:val="fr-FR"/>
        </w:rPr>
        <w:t>une/</w:t>
      </w:r>
      <w:r w:rsidRPr="00BD15C9">
        <w:rPr>
          <w:lang w:val="fr-FR"/>
        </w:rPr>
        <w:t>des substance</w:t>
      </w:r>
      <w:r w:rsidR="004A7B49">
        <w:rPr>
          <w:lang w:val="fr-FR"/>
        </w:rPr>
        <w:t>(</w:t>
      </w:r>
      <w:r w:rsidRPr="00BD15C9">
        <w:rPr>
          <w:lang w:val="fr-FR"/>
        </w:rPr>
        <w:t>s</w:t>
      </w:r>
      <w:r w:rsidR="004A7B49">
        <w:rPr>
          <w:lang w:val="fr-FR"/>
        </w:rPr>
        <w:t>)</w:t>
      </w:r>
      <w:r w:rsidRPr="00BD15C9">
        <w:rPr>
          <w:lang w:val="fr-FR"/>
        </w:rPr>
        <w:t xml:space="preserve"> manufacturée</w:t>
      </w:r>
      <w:r w:rsidR="004A7B49">
        <w:rPr>
          <w:lang w:val="fr-FR"/>
        </w:rPr>
        <w:t>(</w:t>
      </w:r>
      <w:r w:rsidRPr="00BD15C9">
        <w:rPr>
          <w:lang w:val="fr-FR"/>
        </w:rPr>
        <w:t>s</w:t>
      </w:r>
      <w:r w:rsidR="004A7B49">
        <w:rPr>
          <w:lang w:val="fr-FR"/>
        </w:rPr>
        <w:t>)</w:t>
      </w:r>
      <w:r w:rsidRPr="00BD15C9">
        <w:rPr>
          <w:lang w:val="fr-FR"/>
        </w:rPr>
        <w:t xml:space="preserve"> à l'état nanoparticulaire. Il existe pl</w:t>
      </w:r>
      <w:r w:rsidR="00257653">
        <w:rPr>
          <w:lang w:val="fr-FR"/>
        </w:rPr>
        <w:t>usieurs définitions des termes « </w:t>
      </w:r>
      <w:r w:rsidRPr="00BD15C9">
        <w:rPr>
          <w:lang w:val="fr-FR"/>
        </w:rPr>
        <w:t>subs</w:t>
      </w:r>
      <w:r w:rsidR="00257653">
        <w:rPr>
          <w:lang w:val="fr-FR"/>
        </w:rPr>
        <w:t>tance à l'état nanoparticulaire »</w:t>
      </w:r>
      <w:r w:rsidRPr="00BD15C9">
        <w:rPr>
          <w:lang w:val="fr-FR"/>
        </w:rPr>
        <w:t xml:space="preserve">, mais elles ont toutes un élément en commun, à savoir que la substance à l’état nanoparticulaire contient des particules (fragments de matière possédant des contours physiques bien définis) de taille inférieure à 100 nm. Ces particules se composent de </w:t>
      </w:r>
      <w:r w:rsidR="00257653" w:rsidRPr="00BD15C9">
        <w:rPr>
          <w:lang w:val="fr-FR"/>
        </w:rPr>
        <w:t>quelques-</w:t>
      </w:r>
      <w:r w:rsidR="00257653">
        <w:rPr>
          <w:lang w:val="fr-FR"/>
        </w:rPr>
        <w:t xml:space="preserve">uns </w:t>
      </w:r>
      <w:r w:rsidRPr="00BD15C9">
        <w:rPr>
          <w:lang w:val="fr-FR"/>
        </w:rPr>
        <w:t>à plusieurs milliers d'atomes ou molécules.</w:t>
      </w:r>
    </w:p>
    <w:p w14:paraId="149DD959" w14:textId="48B4FA1A" w:rsidR="00C56846" w:rsidRPr="00BD15C9" w:rsidRDefault="00C56846" w:rsidP="00757057">
      <w:pPr>
        <w:jc w:val="both"/>
        <w:rPr>
          <w:lang w:val="fr-FR"/>
        </w:rPr>
      </w:pPr>
      <w:r w:rsidRPr="00BD15C9">
        <w:rPr>
          <w:lang w:val="fr-FR"/>
        </w:rPr>
        <w:t>Les substances à l'état nanoparticulaire ne sont pas neuves. Elles peuvent être générées par des processus naturels</w:t>
      </w:r>
      <w:r w:rsidR="00EA45BF">
        <w:rPr>
          <w:lang w:val="fr-FR"/>
        </w:rPr>
        <w:t xml:space="preserve"> comme</w:t>
      </w:r>
      <w:r w:rsidRPr="00BD15C9">
        <w:rPr>
          <w:lang w:val="fr-FR"/>
        </w:rPr>
        <w:t xml:space="preserve"> les éruptions volcaniques</w:t>
      </w:r>
      <w:r w:rsidR="00EA45BF">
        <w:rPr>
          <w:lang w:val="fr-FR"/>
        </w:rPr>
        <w:t>,</w:t>
      </w:r>
      <w:r w:rsidRPr="00BD15C9">
        <w:rPr>
          <w:lang w:val="fr-FR"/>
        </w:rPr>
        <w:t xml:space="preserve"> ou se former involontairement dans le cadre de </w:t>
      </w:r>
      <w:r w:rsidR="00257653">
        <w:rPr>
          <w:lang w:val="fr-FR"/>
        </w:rPr>
        <w:t>certaines activités humaines, par</w:t>
      </w:r>
      <w:r w:rsidRPr="00BD15C9">
        <w:rPr>
          <w:lang w:val="fr-FR"/>
        </w:rPr>
        <w:t xml:space="preserve"> ex. la soudure. </w:t>
      </w:r>
    </w:p>
    <w:p w14:paraId="06A7E57B" w14:textId="5BB5A317" w:rsidR="00C53FF9" w:rsidRPr="00BD15C9" w:rsidRDefault="00257653" w:rsidP="00757057">
      <w:pPr>
        <w:jc w:val="both"/>
        <w:rPr>
          <w:lang w:val="fr-FR"/>
        </w:rPr>
      </w:pPr>
      <w:r>
        <w:rPr>
          <w:lang w:val="fr-FR"/>
        </w:rPr>
        <w:t>L</w:t>
      </w:r>
      <w:r w:rsidR="00C53FF9" w:rsidRPr="00BD15C9">
        <w:rPr>
          <w:lang w:val="fr-FR"/>
        </w:rPr>
        <w:t xml:space="preserve">es substances à l'état nanoparticulaire peuvent aussi être manufacturées </w:t>
      </w:r>
      <w:r w:rsidR="004A7B49">
        <w:rPr>
          <w:lang w:val="fr-FR"/>
        </w:rPr>
        <w:t>délibérément</w:t>
      </w:r>
      <w:r w:rsidR="00C53FF9" w:rsidRPr="00BD15C9">
        <w:rPr>
          <w:lang w:val="fr-FR"/>
        </w:rPr>
        <w:t xml:space="preserve">. La première discussion sur les idées et les concepts des nanosciences remonte à 1959 et a été </w:t>
      </w:r>
      <w:r w:rsidR="004A7B49">
        <w:rPr>
          <w:lang w:val="fr-FR"/>
        </w:rPr>
        <w:t>introduite</w:t>
      </w:r>
      <w:r w:rsidR="004A7B49" w:rsidRPr="00BD15C9">
        <w:rPr>
          <w:lang w:val="fr-FR"/>
        </w:rPr>
        <w:t xml:space="preserve"> </w:t>
      </w:r>
      <w:r w:rsidR="00C53FF9" w:rsidRPr="00BD15C9">
        <w:rPr>
          <w:lang w:val="fr-FR"/>
        </w:rPr>
        <w:t>par Richard Feynman au cours d'une conférence donnée devant l'American Physical Society</w:t>
      </w:r>
      <w:r w:rsidR="009A6A7C" w:rsidRPr="00BD15C9">
        <w:rPr>
          <w:vertAlign w:val="superscript"/>
          <w:lang w:val="fr-FR"/>
        </w:rPr>
        <w:t>1</w:t>
      </w:r>
      <w:r w:rsidR="00C53FF9" w:rsidRPr="00BD15C9">
        <w:rPr>
          <w:lang w:val="fr-FR"/>
        </w:rPr>
        <w:t>. Il a toutefois fallu attendre jusque 1980 environ avant que la nanotechnologie fasse son apparition grâce, notamment</w:t>
      </w:r>
      <w:r w:rsidR="00EA45BF">
        <w:rPr>
          <w:lang w:val="fr-FR"/>
        </w:rPr>
        <w:t>,</w:t>
      </w:r>
      <w:r w:rsidR="00C53FF9" w:rsidRPr="00BD15C9">
        <w:rPr>
          <w:lang w:val="fr-FR"/>
        </w:rPr>
        <w:t xml:space="preserve"> au développement de meilleurs</w:t>
      </w:r>
      <w:r w:rsidR="004A7B49">
        <w:rPr>
          <w:lang w:val="fr-FR"/>
        </w:rPr>
        <w:t>/nouveau</w:t>
      </w:r>
      <w:r w:rsidR="00EA45BF">
        <w:rPr>
          <w:lang w:val="fr-FR"/>
        </w:rPr>
        <w:t>x</w:t>
      </w:r>
      <w:r w:rsidR="00C53FF9" w:rsidRPr="00BD15C9">
        <w:rPr>
          <w:lang w:val="fr-FR"/>
        </w:rPr>
        <w:t xml:space="preserve"> microscope</w:t>
      </w:r>
      <w:r w:rsidR="004D4799">
        <w:rPr>
          <w:lang w:val="fr-FR"/>
        </w:rPr>
        <w:t>(</w:t>
      </w:r>
      <w:r w:rsidR="00C53FF9" w:rsidRPr="00BD15C9">
        <w:rPr>
          <w:lang w:val="fr-FR"/>
        </w:rPr>
        <w:t>s</w:t>
      </w:r>
      <w:r w:rsidR="004D4799">
        <w:rPr>
          <w:lang w:val="fr-FR"/>
        </w:rPr>
        <w:t>)</w:t>
      </w:r>
      <w:r w:rsidR="00C53FF9" w:rsidRPr="00BD15C9">
        <w:rPr>
          <w:lang w:val="fr-FR"/>
        </w:rPr>
        <w:t xml:space="preserve"> et plus particulièrement du microscope à effet tunnel (STM) qui a permis d'observer des atomes individuel</w:t>
      </w:r>
      <w:r w:rsidR="00DE69AE">
        <w:rPr>
          <w:lang w:val="fr-FR"/>
        </w:rPr>
        <w:t>lement</w:t>
      </w:r>
      <w:r w:rsidR="009A6A7C" w:rsidRPr="00BD15C9">
        <w:rPr>
          <w:vertAlign w:val="superscript"/>
          <w:lang w:val="fr-FR"/>
        </w:rPr>
        <w:t>2</w:t>
      </w:r>
      <w:r w:rsidR="00C53FF9" w:rsidRPr="00BD15C9">
        <w:rPr>
          <w:lang w:val="fr-FR"/>
        </w:rPr>
        <w:t>.</w:t>
      </w:r>
    </w:p>
    <w:p w14:paraId="721B515C" w14:textId="0183450B" w:rsidR="004A09AE" w:rsidRPr="00BD15C9" w:rsidRDefault="00391770" w:rsidP="004A09AE">
      <w:pPr>
        <w:jc w:val="both"/>
        <w:rPr>
          <w:lang w:val="fr-FR"/>
        </w:rPr>
      </w:pPr>
      <w:r w:rsidRPr="00BD15C9">
        <w:rPr>
          <w:lang w:val="fr-FR"/>
        </w:rPr>
        <w:t>La première génération de nanomatériaux a été développée vers les années 2000. Il s'agissait surtout de nanostructures intégrées dans des matériaux pour en améliorer les propriétés. Les pigments, les cosmétiques, les conducteurs, les emballages antibactériens, les vêtements de sport, les matériaux hydrophobes, les anticoagulants et les médicaments ne sont que quelques exemples des applications pot</w:t>
      </w:r>
      <w:r w:rsidR="00257653">
        <w:rPr>
          <w:lang w:val="fr-FR"/>
        </w:rPr>
        <w:t>entielles de cette technologie.</w:t>
      </w:r>
    </w:p>
    <w:p w14:paraId="1D0D20AC" w14:textId="171E7A18" w:rsidR="002F6EDF" w:rsidRPr="00BD15C9" w:rsidRDefault="004A09AE" w:rsidP="002F6EDF">
      <w:pPr>
        <w:jc w:val="both"/>
        <w:rPr>
          <w:lang w:val="fr-FR"/>
        </w:rPr>
      </w:pPr>
      <w:r w:rsidRPr="00BD15C9">
        <w:rPr>
          <w:lang w:val="fr-FR"/>
        </w:rPr>
        <w:t xml:space="preserve">D'après Dr. </w:t>
      </w:r>
      <w:proofErr w:type="spellStart"/>
      <w:r w:rsidRPr="00BD15C9">
        <w:rPr>
          <w:lang w:val="fr-FR"/>
        </w:rPr>
        <w:t>Mihail</w:t>
      </w:r>
      <w:proofErr w:type="spellEnd"/>
      <w:r w:rsidRPr="00BD15C9">
        <w:rPr>
          <w:lang w:val="fr-FR"/>
        </w:rPr>
        <w:t xml:space="preserve"> </w:t>
      </w:r>
      <w:proofErr w:type="spellStart"/>
      <w:r w:rsidRPr="00BD15C9">
        <w:rPr>
          <w:lang w:val="fr-FR"/>
        </w:rPr>
        <w:t>Roco</w:t>
      </w:r>
      <w:proofErr w:type="spellEnd"/>
      <w:r w:rsidRPr="00BD15C9">
        <w:rPr>
          <w:lang w:val="fr-FR"/>
        </w:rPr>
        <w:t xml:space="preserve"> (U.S. National </w:t>
      </w:r>
      <w:proofErr w:type="spellStart"/>
      <w:r w:rsidRPr="00BD15C9">
        <w:rPr>
          <w:lang w:val="fr-FR"/>
        </w:rPr>
        <w:t>Nanotechnology</w:t>
      </w:r>
      <w:proofErr w:type="spellEnd"/>
      <w:r w:rsidRPr="00BD15C9">
        <w:rPr>
          <w:lang w:val="fr-FR"/>
        </w:rPr>
        <w:t xml:space="preserve"> Initiative) on peut s'attendre à ce qu'à terme, cette technologie </w:t>
      </w:r>
      <w:r w:rsidR="002F40DF" w:rsidRPr="00BD15C9">
        <w:rPr>
          <w:lang w:val="fr-FR"/>
        </w:rPr>
        <w:t>génère</w:t>
      </w:r>
      <w:r w:rsidRPr="00BD15C9">
        <w:rPr>
          <w:lang w:val="fr-FR"/>
        </w:rPr>
        <w:t xml:space="preserve"> </w:t>
      </w:r>
      <w:r w:rsidR="00DE69AE">
        <w:rPr>
          <w:lang w:val="fr-FR"/>
        </w:rPr>
        <w:t>quatre</w:t>
      </w:r>
      <w:r w:rsidR="00DE69AE" w:rsidRPr="00BD15C9">
        <w:rPr>
          <w:lang w:val="fr-FR"/>
        </w:rPr>
        <w:t xml:space="preserve"> </w:t>
      </w:r>
      <w:r w:rsidRPr="00BD15C9">
        <w:rPr>
          <w:lang w:val="fr-FR"/>
        </w:rPr>
        <w:t xml:space="preserve">générations de produits, </w:t>
      </w:r>
      <w:r w:rsidR="00EC4417">
        <w:rPr>
          <w:lang w:val="fr-FR"/>
        </w:rPr>
        <w:t xml:space="preserve">dont </w:t>
      </w:r>
      <w:r w:rsidRPr="00BD15C9">
        <w:rPr>
          <w:lang w:val="fr-FR"/>
        </w:rPr>
        <w:t>on cite, entre autres, la nanorobotique et la croissance d'organes artificiels</w:t>
      </w:r>
      <w:r w:rsidR="001B491E" w:rsidRPr="00BD15C9">
        <w:rPr>
          <w:vertAlign w:val="superscript"/>
          <w:lang w:val="fr-FR"/>
        </w:rPr>
        <w:t>3</w:t>
      </w:r>
      <w:r w:rsidRPr="00BD15C9">
        <w:rPr>
          <w:lang w:val="fr-FR"/>
        </w:rPr>
        <w:t xml:space="preserve">. </w:t>
      </w:r>
    </w:p>
    <w:p w14:paraId="1BAB2FD7" w14:textId="6EFE0A71" w:rsidR="00C86B9A" w:rsidRPr="00BD15C9" w:rsidRDefault="00C86B9A" w:rsidP="002F6EDF">
      <w:pPr>
        <w:jc w:val="both"/>
        <w:rPr>
          <w:lang w:val="fr-FR"/>
        </w:rPr>
      </w:pPr>
      <w:r w:rsidRPr="00BD15C9">
        <w:rPr>
          <w:lang w:val="fr-FR"/>
        </w:rPr>
        <w:t xml:space="preserve">Dans les paragraphes suivants, </w:t>
      </w:r>
      <w:r w:rsidR="002F40DF">
        <w:rPr>
          <w:lang w:val="fr-FR"/>
        </w:rPr>
        <w:t>une tentative d’ébauche</w:t>
      </w:r>
      <w:r w:rsidRPr="00BD15C9">
        <w:rPr>
          <w:lang w:val="fr-FR"/>
        </w:rPr>
        <w:t xml:space="preserve"> de la </w:t>
      </w:r>
      <w:r w:rsidR="00B63A2B">
        <w:rPr>
          <w:lang w:val="fr-FR"/>
        </w:rPr>
        <w:t>thématique des</w:t>
      </w:r>
      <w:r w:rsidRPr="00BD15C9">
        <w:rPr>
          <w:lang w:val="fr-FR"/>
        </w:rPr>
        <w:t xml:space="preserve"> nanomatériaux</w:t>
      </w:r>
      <w:r w:rsidR="002F40DF">
        <w:rPr>
          <w:lang w:val="fr-FR"/>
        </w:rPr>
        <w:t xml:space="preserve"> a été dressée</w:t>
      </w:r>
      <w:r w:rsidRPr="00BD15C9">
        <w:rPr>
          <w:lang w:val="fr-FR"/>
        </w:rPr>
        <w:t>. Ce document ne se veut ni une présentation exhaustive ni un récapitulatif complet des conclusions la concernant.</w:t>
      </w:r>
    </w:p>
    <w:p w14:paraId="11571E47" w14:textId="6195078C" w:rsidR="00621EE0" w:rsidRPr="00BD15C9" w:rsidRDefault="00435A25" w:rsidP="00E55AA2">
      <w:pPr>
        <w:pStyle w:val="Titre2"/>
      </w:pPr>
      <w:bookmarkStart w:id="6" w:name="_Toc76034145"/>
      <w:r w:rsidRPr="00BD15C9">
        <w:t>Qu'est-ce qui rend les nanomatériaux si particuliers ?</w:t>
      </w:r>
      <w:bookmarkEnd w:id="6"/>
      <w:r w:rsidRPr="00BD15C9">
        <w:t xml:space="preserve"> </w:t>
      </w:r>
    </w:p>
    <w:p w14:paraId="56315518" w14:textId="62B6D449" w:rsidR="007322B2" w:rsidRPr="00BD15C9" w:rsidRDefault="001A4577" w:rsidP="00757057">
      <w:pPr>
        <w:jc w:val="both"/>
        <w:rPr>
          <w:lang w:val="fr-FR"/>
        </w:rPr>
      </w:pPr>
      <w:r w:rsidRPr="00BD15C9">
        <w:rPr>
          <w:lang w:val="fr-FR"/>
        </w:rPr>
        <w:t xml:space="preserve">Les matériaux qui contiennent des substances à l'état nanoparticulaire peuvent avoir des propriétés qui diffèrent considérablement des matériaux qui contiennent les mêmes substances </w:t>
      </w:r>
      <w:r w:rsidR="002F40DF">
        <w:rPr>
          <w:lang w:val="fr-FR"/>
        </w:rPr>
        <w:t xml:space="preserve">de taille </w:t>
      </w:r>
      <w:r w:rsidR="00780933">
        <w:rPr>
          <w:lang w:val="fr-FR"/>
        </w:rPr>
        <w:t>« </w:t>
      </w:r>
      <w:r w:rsidR="002F40DF">
        <w:rPr>
          <w:lang w:val="fr-FR"/>
        </w:rPr>
        <w:t>classique</w:t>
      </w:r>
      <w:r w:rsidR="00780933">
        <w:rPr>
          <w:lang w:val="fr-FR"/>
        </w:rPr>
        <w:t> »</w:t>
      </w:r>
      <w:r w:rsidRPr="00BD15C9">
        <w:rPr>
          <w:lang w:val="fr-FR"/>
        </w:rPr>
        <w:t xml:space="preserve"> – c'est d'ailleurs aussi la raison pour laquelle ils sont manufacturés. </w:t>
      </w:r>
    </w:p>
    <w:p w14:paraId="3D9A689D" w14:textId="54119BF9" w:rsidR="001A4577" w:rsidRPr="000E284D" w:rsidRDefault="001A4577" w:rsidP="00757057">
      <w:pPr>
        <w:jc w:val="both"/>
        <w:rPr>
          <w:lang w:val="fr-FR"/>
        </w:rPr>
      </w:pPr>
      <w:r w:rsidRPr="00BD15C9">
        <w:rPr>
          <w:lang w:val="fr-FR"/>
        </w:rPr>
        <w:t xml:space="preserve">Les substances à l'état nanoparticulaire </w:t>
      </w:r>
      <w:r w:rsidR="00FC24D2">
        <w:rPr>
          <w:lang w:val="fr-FR"/>
        </w:rPr>
        <w:t>ne sont pas régies par les lois</w:t>
      </w:r>
      <w:r w:rsidRPr="00BD15C9">
        <w:rPr>
          <w:lang w:val="fr-FR"/>
        </w:rPr>
        <w:t xml:space="preserve"> de la mécanique</w:t>
      </w:r>
      <w:r w:rsidR="002F40DF">
        <w:rPr>
          <w:lang w:val="fr-FR"/>
        </w:rPr>
        <w:t xml:space="preserve"> classique</w:t>
      </w:r>
      <w:r w:rsidRPr="00BD15C9">
        <w:rPr>
          <w:lang w:val="fr-FR"/>
        </w:rPr>
        <w:t xml:space="preserve">. Alors qu'en </w:t>
      </w:r>
      <w:r w:rsidR="00381CB7">
        <w:rPr>
          <w:lang w:val="fr-FR"/>
        </w:rPr>
        <w:t>« </w:t>
      </w:r>
      <w:r w:rsidRPr="00BD15C9">
        <w:rPr>
          <w:lang w:val="fr-FR"/>
        </w:rPr>
        <w:t>vrac</w:t>
      </w:r>
      <w:r w:rsidR="00381CB7">
        <w:rPr>
          <w:lang w:val="fr-FR"/>
        </w:rPr>
        <w:t> »</w:t>
      </w:r>
      <w:r w:rsidRPr="00BD15C9">
        <w:rPr>
          <w:lang w:val="fr-FR"/>
        </w:rPr>
        <w:t>, l'échange d'énergie entre les atomes ou les molécules se déroule de manière continue, pour les substances à l'état nanoparticulaire, cet échange se fait de manière discrète (non continue). Cette différence peut avoir des effets très importants, entre autres, sur les propriétés optiques, électriques et magnétiques de la substance. Les nanomatériaux peuvent donc s'avérer très différents des matériaux en vrac ayant pourtant la même composition chimique. C'est</w:t>
      </w:r>
      <w:r w:rsidR="00BD2C8D">
        <w:rPr>
          <w:lang w:val="fr-FR"/>
        </w:rPr>
        <w:t xml:space="preserve"> ainsi</w:t>
      </w:r>
      <w:r w:rsidRPr="00BD15C9">
        <w:rPr>
          <w:lang w:val="fr-FR"/>
        </w:rPr>
        <w:t xml:space="preserve"> que l'or normalement de couleur jaune, apparaît rouge à l'état nanoparticulaire. L'or sous forme nanoparticulaire avec des particules de 2,5 nm </w:t>
      </w:r>
      <w:r w:rsidRPr="00BD15C9">
        <w:rPr>
          <w:lang w:val="fr-FR"/>
        </w:rPr>
        <w:lastRenderedPageBreak/>
        <w:t>fusionne aussi à une température beaucoup plus basse que l'or massif (300</w:t>
      </w:r>
      <w:r w:rsidR="00780933">
        <w:rPr>
          <w:lang w:val="fr-FR"/>
        </w:rPr>
        <w:t xml:space="preserve"> </w:t>
      </w:r>
      <w:r w:rsidRPr="00BD15C9">
        <w:rPr>
          <w:lang w:val="fr-FR"/>
        </w:rPr>
        <w:t xml:space="preserve">°C </w:t>
      </w:r>
      <w:r w:rsidR="00FC24D2">
        <w:rPr>
          <w:lang w:val="fr-FR"/>
        </w:rPr>
        <w:t xml:space="preserve">et </w:t>
      </w:r>
      <w:r w:rsidRPr="00BD15C9">
        <w:rPr>
          <w:lang w:val="fr-FR"/>
        </w:rPr>
        <w:t>1064</w:t>
      </w:r>
      <w:r w:rsidR="00780933">
        <w:rPr>
          <w:lang w:val="fr-FR"/>
        </w:rPr>
        <w:t xml:space="preserve"> </w:t>
      </w:r>
      <w:r w:rsidRPr="00BD15C9">
        <w:rPr>
          <w:lang w:val="fr-FR"/>
        </w:rPr>
        <w:t>°C</w:t>
      </w:r>
      <w:r w:rsidR="00780933">
        <w:rPr>
          <w:lang w:val="fr-FR"/>
        </w:rPr>
        <w:t>, respectivement</w:t>
      </w:r>
      <w:r w:rsidRPr="00BD15C9">
        <w:rPr>
          <w:lang w:val="fr-FR"/>
        </w:rPr>
        <w:t>)</w:t>
      </w:r>
      <w:r w:rsidR="001B491E" w:rsidRPr="000E284D">
        <w:rPr>
          <w:vertAlign w:val="superscript"/>
          <w:lang w:val="fr-FR"/>
        </w:rPr>
        <w:t>4</w:t>
      </w:r>
      <w:r w:rsidRPr="000E284D">
        <w:rPr>
          <w:lang w:val="fr-FR"/>
        </w:rPr>
        <w:t xml:space="preserve">. </w:t>
      </w:r>
    </w:p>
    <w:p w14:paraId="67AC2247" w14:textId="35D2CCC2" w:rsidR="003271A3" w:rsidRPr="00BD15C9" w:rsidRDefault="00915A15" w:rsidP="00327295">
      <w:pPr>
        <w:jc w:val="both"/>
        <w:rPr>
          <w:lang w:val="fr-FR"/>
        </w:rPr>
      </w:pPr>
      <w:r w:rsidRPr="000E284D">
        <w:rPr>
          <w:lang w:val="fr-FR"/>
        </w:rPr>
        <w:t>Les substances à l'état nanoparticulaire ont, par définition, des dimensions inférieures à 100 nm. Comparativement, un cheveu humain a une épaisseur moyenne de 80.000 nm, une bactérie une taille moyenne de 1 000 nm et un virus une taille moyenne de 100 nm. Les barrières biologiques classiques, par exemple une membrane cellulaire, ne suffisent donc pas toujours pour retenir des particules nanoparticulaires</w:t>
      </w:r>
      <w:r w:rsidR="00103838" w:rsidRPr="000E284D">
        <w:rPr>
          <w:vertAlign w:val="superscript"/>
          <w:lang w:val="fr-FR"/>
        </w:rPr>
        <w:t>5</w:t>
      </w:r>
      <w:r w:rsidRPr="000E284D">
        <w:rPr>
          <w:lang w:val="fr-FR"/>
        </w:rPr>
        <w:t>.</w:t>
      </w:r>
    </w:p>
    <w:p w14:paraId="51ABF66D" w14:textId="073E974E" w:rsidR="00C86B9A" w:rsidRDefault="00C86B9A" w:rsidP="00C86B9A">
      <w:pPr>
        <w:jc w:val="both"/>
        <w:rPr>
          <w:lang w:val="fr-FR"/>
        </w:rPr>
      </w:pPr>
      <w:r w:rsidRPr="00BD15C9">
        <w:rPr>
          <w:lang w:val="fr-FR"/>
        </w:rPr>
        <w:t xml:space="preserve">De par leur petite taille, les nanomatériaux ont également une très grande surface par unité de volume, </w:t>
      </w:r>
      <w:r w:rsidR="00D65B93">
        <w:rPr>
          <w:lang w:val="fr-FR"/>
        </w:rPr>
        <w:t>appelé</w:t>
      </w:r>
      <w:r w:rsidR="004D4799">
        <w:rPr>
          <w:lang w:val="fr-FR"/>
        </w:rPr>
        <w:t>e</w:t>
      </w:r>
      <w:r w:rsidR="00D65B93">
        <w:rPr>
          <w:lang w:val="fr-FR"/>
        </w:rPr>
        <w:t xml:space="preserve"> surface spécifique</w:t>
      </w:r>
      <w:r w:rsidRPr="00BD15C9">
        <w:rPr>
          <w:lang w:val="fr-FR"/>
        </w:rPr>
        <w:t xml:space="preserve"> qui est encore considérablement </w:t>
      </w:r>
      <w:r w:rsidR="009B5D7A" w:rsidRPr="00BD15C9">
        <w:rPr>
          <w:lang w:val="fr-FR"/>
        </w:rPr>
        <w:t>augmentée</w:t>
      </w:r>
      <w:r w:rsidRPr="00BD15C9">
        <w:rPr>
          <w:lang w:val="fr-FR"/>
        </w:rPr>
        <w:t xml:space="preserve"> </w:t>
      </w:r>
      <w:r w:rsidR="00BD2C8D">
        <w:rPr>
          <w:lang w:val="fr-FR"/>
        </w:rPr>
        <w:t>du</w:t>
      </w:r>
      <w:r w:rsidRPr="00BD15C9">
        <w:rPr>
          <w:lang w:val="fr-FR"/>
        </w:rPr>
        <w:t xml:space="preserve"> fait de leur structure spécifique. Comparativement à des matériaux en vrac, cela les rend très réactifs. De par leur petite taille, l'effet de leur densité est également négligeable et il est ainsi possible de mettre en suspension des substances habituellement non miscibles. </w:t>
      </w:r>
    </w:p>
    <w:p w14:paraId="267F86B2" w14:textId="17AD9D37" w:rsidR="005352E2" w:rsidRPr="004D4799" w:rsidRDefault="005352E2" w:rsidP="00C86B9A">
      <w:pPr>
        <w:jc w:val="both"/>
        <w:rPr>
          <w:lang w:val="fr-FR"/>
        </w:rPr>
      </w:pPr>
      <w:r w:rsidRPr="004D4799">
        <w:rPr>
          <w:lang w:val="fr-FR"/>
        </w:rPr>
        <w:t>Ces propriétés spécifiques assurent les nombreuses utilisations des</w:t>
      </w:r>
      <w:r w:rsidR="004D4799" w:rsidRPr="004D4799">
        <w:rPr>
          <w:lang w:val="fr-FR"/>
        </w:rPr>
        <w:t xml:space="preserve"> nanomatériaux. </w:t>
      </w:r>
      <w:r w:rsidR="004D4799">
        <w:rPr>
          <w:lang w:val="fr-FR"/>
        </w:rPr>
        <w:t>L</w:t>
      </w:r>
      <w:r w:rsidRPr="004D4799">
        <w:rPr>
          <w:lang w:val="fr-FR"/>
        </w:rPr>
        <w:t>’usage de la nanotechnologie pour la médecine</w:t>
      </w:r>
      <w:r w:rsidR="0059314F">
        <w:rPr>
          <w:lang w:val="fr-FR"/>
        </w:rPr>
        <w:t xml:space="preserve"> </w:t>
      </w:r>
      <w:r w:rsidRPr="004D4799">
        <w:rPr>
          <w:lang w:val="fr-FR"/>
        </w:rPr>
        <w:t>(médicament) offre la possibilité d'atteindre certain</w:t>
      </w:r>
      <w:r w:rsidR="00D567F1">
        <w:rPr>
          <w:lang w:val="fr-FR"/>
        </w:rPr>
        <w:t>e</w:t>
      </w:r>
      <w:r w:rsidR="004D4799">
        <w:rPr>
          <w:lang w:val="fr-FR"/>
        </w:rPr>
        <w:t>s</w:t>
      </w:r>
      <w:r w:rsidRPr="004D4799">
        <w:rPr>
          <w:lang w:val="fr-FR"/>
        </w:rPr>
        <w:t xml:space="preserve"> </w:t>
      </w:r>
      <w:r w:rsidR="00D567F1">
        <w:rPr>
          <w:lang w:val="fr-FR"/>
        </w:rPr>
        <w:t>zones</w:t>
      </w:r>
      <w:r w:rsidR="00D567F1" w:rsidRPr="004D4799">
        <w:rPr>
          <w:lang w:val="fr-FR"/>
        </w:rPr>
        <w:t xml:space="preserve"> </w:t>
      </w:r>
      <w:r w:rsidRPr="004D4799">
        <w:rPr>
          <w:lang w:val="fr-FR"/>
        </w:rPr>
        <w:t>de façon fortement ciblée</w:t>
      </w:r>
      <w:r w:rsidR="00D567F1">
        <w:rPr>
          <w:lang w:val="fr-FR"/>
        </w:rPr>
        <w:t>s</w:t>
      </w:r>
      <w:r w:rsidRPr="004D4799">
        <w:rPr>
          <w:lang w:val="fr-FR"/>
        </w:rPr>
        <w:t xml:space="preserve"> dans le corps</w:t>
      </w:r>
      <w:r w:rsidR="00D567F1">
        <w:rPr>
          <w:lang w:val="fr-FR"/>
        </w:rPr>
        <w:t xml:space="preserve"> </w:t>
      </w:r>
      <w:r w:rsidRPr="004D4799">
        <w:rPr>
          <w:lang w:val="fr-FR"/>
        </w:rPr>
        <w:t>(l'organisme), par exemple dans le traitement de tumeurs.</w:t>
      </w:r>
    </w:p>
    <w:p w14:paraId="4D199E5F" w14:textId="471299A2" w:rsidR="006C0851" w:rsidRPr="00C95796" w:rsidRDefault="005352E2" w:rsidP="00780933">
      <w:pPr>
        <w:pStyle w:val="Titre2"/>
        <w:ind w:left="426"/>
      </w:pPr>
      <w:bookmarkStart w:id="7" w:name="_Ref74735527"/>
      <w:bookmarkStart w:id="8" w:name="_Toc76034146"/>
      <w:r w:rsidRPr="004D4799">
        <w:t xml:space="preserve">Mais il est important, aussi, d’assurer que l'utilisation de cette technologie n'aboutisse pas à des dégâts </w:t>
      </w:r>
      <w:r w:rsidR="00780933" w:rsidRPr="004D4799">
        <w:t xml:space="preserve">environnementaux </w:t>
      </w:r>
      <w:r w:rsidRPr="004D4799">
        <w:t>et</w:t>
      </w:r>
      <w:r w:rsidR="00780933" w:rsidRPr="00780933">
        <w:t xml:space="preserve"> </w:t>
      </w:r>
      <w:r w:rsidR="00780933" w:rsidRPr="004D4799">
        <w:t>humains</w:t>
      </w:r>
      <w:r w:rsidRPr="004D4799">
        <w:t>.</w:t>
      </w:r>
      <w:r w:rsidR="00D567F1">
        <w:t xml:space="preserve"> </w:t>
      </w:r>
      <w:r w:rsidRPr="00C95796">
        <w:t>Quel est</w:t>
      </w:r>
      <w:r w:rsidR="00780933">
        <w:t xml:space="preserve"> donc</w:t>
      </w:r>
      <w:r w:rsidRPr="00C95796">
        <w:t xml:space="preserve"> l’impact potentiel des nanomatériaux</w:t>
      </w:r>
      <w:r w:rsidR="00435A25" w:rsidRPr="00C95796">
        <w:t xml:space="preserve"> ?</w:t>
      </w:r>
      <w:bookmarkEnd w:id="7"/>
      <w:bookmarkEnd w:id="8"/>
    </w:p>
    <w:p w14:paraId="6ADD7621" w14:textId="0943658D" w:rsidR="00585523" w:rsidRPr="00BD15C9" w:rsidRDefault="00FA5082" w:rsidP="00FA5082">
      <w:pPr>
        <w:jc w:val="both"/>
        <w:rPr>
          <w:lang w:val="fr-FR"/>
        </w:rPr>
      </w:pPr>
      <w:r w:rsidRPr="00BD15C9">
        <w:rPr>
          <w:lang w:val="fr-FR"/>
        </w:rPr>
        <w:t xml:space="preserve">Les effets potentiels des nanomatériaux sur l'homme et l'environnement ne font actuellement pas encore l'objet d'un large consensus. </w:t>
      </w:r>
      <w:r w:rsidR="005352E2" w:rsidRPr="004D4799">
        <w:rPr>
          <w:lang w:val="fr-FR"/>
        </w:rPr>
        <w:t xml:space="preserve">En tenant compte des propriétés diverses d'une substance nanoparticulaire comparée à une substance en </w:t>
      </w:r>
      <w:r w:rsidR="00B65BFE" w:rsidRPr="004D4799">
        <w:rPr>
          <w:lang w:val="fr-FR"/>
        </w:rPr>
        <w:t>vrac</w:t>
      </w:r>
      <w:r w:rsidR="005352E2" w:rsidRPr="004D4799">
        <w:rPr>
          <w:lang w:val="fr-FR"/>
        </w:rPr>
        <w:t xml:space="preserve">, </w:t>
      </w:r>
      <w:r w:rsidR="00B65BFE" w:rsidRPr="004D4799">
        <w:rPr>
          <w:lang w:val="fr-FR"/>
        </w:rPr>
        <w:t>d</w:t>
      </w:r>
      <w:r w:rsidR="005352E2" w:rsidRPr="004D4799">
        <w:rPr>
          <w:lang w:val="fr-FR"/>
        </w:rPr>
        <w:t>es profils de risque différents devrai</w:t>
      </w:r>
      <w:r w:rsidR="004D4799">
        <w:rPr>
          <w:lang w:val="fr-FR"/>
        </w:rPr>
        <w:t>en</w:t>
      </w:r>
      <w:r w:rsidR="005352E2" w:rsidRPr="004D4799">
        <w:rPr>
          <w:lang w:val="fr-FR"/>
        </w:rPr>
        <w:t>t être évalué</w:t>
      </w:r>
      <w:r w:rsidR="004D4799">
        <w:rPr>
          <w:lang w:val="fr-FR"/>
        </w:rPr>
        <w:t>s</w:t>
      </w:r>
      <w:r w:rsidR="005352E2" w:rsidRPr="004D4799">
        <w:rPr>
          <w:lang w:val="fr-FR"/>
        </w:rPr>
        <w:t xml:space="preserve">. </w:t>
      </w:r>
      <w:r w:rsidR="00B65BFE" w:rsidRPr="004D4799">
        <w:rPr>
          <w:lang w:val="fr-FR"/>
        </w:rPr>
        <w:t xml:space="preserve">En effet </w:t>
      </w:r>
      <w:r w:rsidR="005352E2" w:rsidRPr="004D4799">
        <w:rPr>
          <w:lang w:val="fr-FR"/>
        </w:rPr>
        <w:t>:</w:t>
      </w:r>
    </w:p>
    <w:p w14:paraId="4D09C51A" w14:textId="0A13E9D9" w:rsidR="00585523" w:rsidRPr="00BD15C9" w:rsidRDefault="00585523" w:rsidP="00585523">
      <w:pPr>
        <w:pStyle w:val="Paragraphedeliste"/>
        <w:numPr>
          <w:ilvl w:val="0"/>
          <w:numId w:val="18"/>
        </w:numPr>
        <w:jc w:val="both"/>
        <w:rPr>
          <w:lang w:val="fr-FR"/>
        </w:rPr>
      </w:pPr>
      <w:r w:rsidRPr="00BD15C9">
        <w:rPr>
          <w:lang w:val="fr-FR"/>
        </w:rPr>
        <w:t>De par leur petite taille, les substances à l'état nanoparticulaire ont</w:t>
      </w:r>
      <w:r w:rsidR="004D4799">
        <w:rPr>
          <w:lang w:val="fr-FR"/>
        </w:rPr>
        <w:t xml:space="preserve"> </w:t>
      </w:r>
      <w:r w:rsidRPr="00BD15C9">
        <w:rPr>
          <w:lang w:val="fr-FR"/>
        </w:rPr>
        <w:t xml:space="preserve">la capacité de pénétrer plus profondément dans l'organisme et de pénétrer dans les cellules. </w:t>
      </w:r>
    </w:p>
    <w:p w14:paraId="0ADB4CB1" w14:textId="3A97DBC0" w:rsidR="007322B2" w:rsidRPr="00BD15C9" w:rsidRDefault="00585523" w:rsidP="007322B2">
      <w:pPr>
        <w:pStyle w:val="Paragraphedeliste"/>
        <w:numPr>
          <w:ilvl w:val="0"/>
          <w:numId w:val="18"/>
        </w:numPr>
        <w:jc w:val="both"/>
        <w:rPr>
          <w:rFonts w:ascii="Calibri" w:hAnsi="Calibri"/>
          <w:lang w:val="fr-FR"/>
        </w:rPr>
      </w:pPr>
      <w:r w:rsidRPr="00BD15C9">
        <w:rPr>
          <w:lang w:val="fr-FR"/>
        </w:rPr>
        <w:t>Les substances à l'état nanoparticulaire peuvent être porteuses d'impuretés et ainsi faire entrer des substances étrangères dans l'organisme ou l'environnement.</w:t>
      </w:r>
    </w:p>
    <w:p w14:paraId="1A19D867" w14:textId="679D4400" w:rsidR="00910BF1" w:rsidRPr="00BD15C9" w:rsidRDefault="00910BF1" w:rsidP="007322B2">
      <w:pPr>
        <w:pStyle w:val="Paragraphedeliste"/>
        <w:numPr>
          <w:ilvl w:val="0"/>
          <w:numId w:val="18"/>
        </w:numPr>
        <w:jc w:val="both"/>
        <w:rPr>
          <w:rFonts w:ascii="Calibri" w:hAnsi="Calibri"/>
          <w:lang w:val="fr-FR"/>
        </w:rPr>
      </w:pPr>
      <w:r w:rsidRPr="00BD15C9">
        <w:rPr>
          <w:lang w:val="fr-FR"/>
        </w:rPr>
        <w:t>La surface des particules peut être modifiée, notamment au niveau de sa structure, au niveau de sa composition…</w:t>
      </w:r>
    </w:p>
    <w:p w14:paraId="6C8FA070" w14:textId="1BB86730" w:rsidR="00915A15" w:rsidRPr="00BD15C9" w:rsidRDefault="00585523" w:rsidP="007322B2">
      <w:pPr>
        <w:pStyle w:val="Paragraphedeliste"/>
        <w:numPr>
          <w:ilvl w:val="0"/>
          <w:numId w:val="18"/>
        </w:numPr>
        <w:jc w:val="both"/>
        <w:rPr>
          <w:lang w:val="fr-FR"/>
        </w:rPr>
      </w:pPr>
      <w:r w:rsidRPr="00BD15C9">
        <w:rPr>
          <w:lang w:val="fr-FR"/>
        </w:rPr>
        <w:t>La structure des particules à proprement parler doit également être prise en compte dans la détermination des risques potentiels. Il existe en effet des produits dont il est connu qu'en raison de leur structure ils constituent un risque (par exemple</w:t>
      </w:r>
      <w:r w:rsidR="00B02AEE">
        <w:rPr>
          <w:lang w:val="fr-FR"/>
        </w:rPr>
        <w:t>,</w:t>
      </w:r>
      <w:r w:rsidRPr="00BD15C9">
        <w:rPr>
          <w:lang w:val="fr-FR"/>
        </w:rPr>
        <w:t xml:space="preserve"> l'amiante) et il est possible que ce soit également le cas pour certains nanomatériaux. </w:t>
      </w:r>
    </w:p>
    <w:p w14:paraId="21D0A9CF" w14:textId="2C815304" w:rsidR="002A3CF6" w:rsidRPr="00BD15C9" w:rsidRDefault="005969BB" w:rsidP="00AA0C4E">
      <w:pPr>
        <w:jc w:val="both"/>
        <w:rPr>
          <w:lang w:val="fr-FR"/>
        </w:rPr>
      </w:pPr>
      <w:r w:rsidRPr="00BD15C9">
        <w:rPr>
          <w:lang w:val="fr-FR"/>
        </w:rPr>
        <w:t xml:space="preserve">Vous trouverez un aperçu détaillé des effets potentiels des nanoparticules, basé sur le travail du SCENIHR (The Scientific Committee on </w:t>
      </w:r>
      <w:proofErr w:type="spellStart"/>
      <w:r w:rsidRPr="00BD15C9">
        <w:rPr>
          <w:lang w:val="fr-FR"/>
        </w:rPr>
        <w:t>Emerging</w:t>
      </w:r>
      <w:proofErr w:type="spellEnd"/>
      <w:r w:rsidRPr="00BD15C9">
        <w:rPr>
          <w:lang w:val="fr-FR"/>
        </w:rPr>
        <w:t xml:space="preserve"> and </w:t>
      </w:r>
      <w:proofErr w:type="spellStart"/>
      <w:r w:rsidRPr="00BD15C9">
        <w:rPr>
          <w:lang w:val="fr-FR"/>
        </w:rPr>
        <w:t>Newly</w:t>
      </w:r>
      <w:proofErr w:type="spellEnd"/>
      <w:r w:rsidRPr="00BD15C9">
        <w:rPr>
          <w:lang w:val="fr-FR"/>
        </w:rPr>
        <w:t xml:space="preserve"> </w:t>
      </w:r>
      <w:proofErr w:type="spellStart"/>
      <w:r w:rsidRPr="00BD15C9">
        <w:rPr>
          <w:lang w:val="fr-FR"/>
        </w:rPr>
        <w:t>Identified</w:t>
      </w:r>
      <w:proofErr w:type="spellEnd"/>
      <w:r w:rsidRPr="00BD15C9">
        <w:rPr>
          <w:lang w:val="fr-FR"/>
        </w:rPr>
        <w:t xml:space="preserve"> </w:t>
      </w:r>
      <w:proofErr w:type="spellStart"/>
      <w:r w:rsidRPr="00BD15C9">
        <w:rPr>
          <w:lang w:val="fr-FR"/>
        </w:rPr>
        <w:t>Health</w:t>
      </w:r>
      <w:proofErr w:type="spellEnd"/>
      <w:r w:rsidRPr="00BD15C9">
        <w:rPr>
          <w:lang w:val="fr-FR"/>
        </w:rPr>
        <w:t xml:space="preserve"> Risks) sur le site de la Commission </w:t>
      </w:r>
      <w:r w:rsidRPr="000E284D">
        <w:rPr>
          <w:lang w:val="fr-FR"/>
        </w:rPr>
        <w:t>européenne</w:t>
      </w:r>
      <w:r w:rsidR="002A3CF6" w:rsidRPr="000E284D">
        <w:rPr>
          <w:vertAlign w:val="superscript"/>
          <w:lang w:val="fr-FR"/>
        </w:rPr>
        <w:t>6</w:t>
      </w:r>
      <w:r w:rsidRPr="000E284D">
        <w:rPr>
          <w:lang w:val="fr-FR"/>
        </w:rPr>
        <w:t>.</w:t>
      </w:r>
    </w:p>
    <w:p w14:paraId="5D0ACB4B" w14:textId="4B036A84" w:rsidR="00585523" w:rsidRDefault="00896A1A" w:rsidP="007322B2">
      <w:pPr>
        <w:jc w:val="both"/>
        <w:rPr>
          <w:lang w:val="fr-FR"/>
        </w:rPr>
      </w:pPr>
      <w:r w:rsidRPr="00BD15C9">
        <w:rPr>
          <w:lang w:val="fr-FR"/>
        </w:rPr>
        <w:t>Pour disposer d'une analyse des risques univoque, il faudrait toutefois caractériser les propriétés chimiques et physiques des nanomatériaux de manière la plus complète possible. À cette condition seulement il sera possible d'étudier, d'interpréter et de comparer les résultats des différentes recherches scientifiques.</w:t>
      </w:r>
    </w:p>
    <w:p w14:paraId="5D1A2FDB" w14:textId="3052A7F4" w:rsidR="00935FCF" w:rsidRPr="00935FCF" w:rsidRDefault="00935FCF" w:rsidP="007322B2">
      <w:pPr>
        <w:jc w:val="both"/>
        <w:rPr>
          <w:lang w:val="fr-BE"/>
        </w:rPr>
      </w:pPr>
      <w:r w:rsidRPr="00935FCF">
        <w:rPr>
          <w:lang w:val="fr-BE"/>
        </w:rPr>
        <w:lastRenderedPageBreak/>
        <w:t xml:space="preserve">Il y va également de l'intérêt de tous que les risques potentiels soient identifiés à un stade précoce, ce qui ne peut que contribuer au développement d'une culture de développement durable et d'innovation. En combinaison avec le principe de </w:t>
      </w:r>
      <w:r w:rsidRPr="000E284D">
        <w:rPr>
          <w:lang w:val="fr-BE"/>
        </w:rPr>
        <w:t>précaution</w:t>
      </w:r>
      <w:r w:rsidRPr="000E284D">
        <w:rPr>
          <w:vertAlign w:val="superscript"/>
          <w:lang w:val="fr-BE"/>
        </w:rPr>
        <w:t>7</w:t>
      </w:r>
      <w:r w:rsidR="00B02AEE" w:rsidRPr="000E284D">
        <w:rPr>
          <w:lang w:val="fr-BE"/>
        </w:rPr>
        <w:t>,</w:t>
      </w:r>
      <w:r w:rsidR="00B02AEE">
        <w:rPr>
          <w:lang w:val="fr-BE"/>
        </w:rPr>
        <w:t xml:space="preserve"> </w:t>
      </w:r>
      <w:r w:rsidRPr="00935FCF">
        <w:rPr>
          <w:lang w:val="fr-BE"/>
        </w:rPr>
        <w:t xml:space="preserve">le concept de ‘Safe-by-design’ </w:t>
      </w:r>
      <w:r w:rsidRPr="00935FCF">
        <w:rPr>
          <w:vertAlign w:val="superscript"/>
          <w:lang w:val="fr-BE"/>
        </w:rPr>
        <w:t>8</w:t>
      </w:r>
      <w:r w:rsidRPr="00935FCF">
        <w:rPr>
          <w:lang w:val="fr-BE"/>
        </w:rPr>
        <w:t xml:space="preserve"> peut jouer un rôle important à ce niveau. Ce concept repose sur le principe qu'il faut minimiser les risques potentiels pour l'homme et l'environnement dès le développement des nouveaux matériaux plutôt que de les tester quand les produits sont déjà sur le marché.</w:t>
      </w:r>
    </w:p>
    <w:p w14:paraId="00CC5915" w14:textId="62AE148A" w:rsidR="00402A5B" w:rsidRPr="0090034E" w:rsidRDefault="00435A25" w:rsidP="00B76985">
      <w:pPr>
        <w:pStyle w:val="Titre2"/>
      </w:pPr>
      <w:bookmarkStart w:id="9" w:name="_Hlk70411627"/>
      <w:bookmarkStart w:id="10" w:name="_Toc76034147"/>
      <w:r w:rsidRPr="0090034E">
        <w:t>Que fait le législateur ?</w:t>
      </w:r>
      <w:bookmarkEnd w:id="10"/>
      <w:r w:rsidRPr="0090034E">
        <w:t xml:space="preserve"> </w:t>
      </w:r>
    </w:p>
    <w:p w14:paraId="3A8227F7" w14:textId="41BD15FA" w:rsidR="00530979" w:rsidRPr="00BD15C9" w:rsidRDefault="00EB4D74" w:rsidP="00D40229">
      <w:pPr>
        <w:jc w:val="both"/>
        <w:rPr>
          <w:lang w:val="fr-FR"/>
        </w:rPr>
      </w:pPr>
      <w:r w:rsidRPr="00BD15C9">
        <w:rPr>
          <w:lang w:val="fr-FR"/>
        </w:rPr>
        <w:t xml:space="preserve">Une première exigence pour arriver à un cadre législatif suffisant est d'élaborer des critères clairs et sans équivoque qui permettent l'identification des nanomatériaux. Un grand pas en avant a été franchi dans ce domaine en 2011, quand la Commission </w:t>
      </w:r>
      <w:r w:rsidR="00C3732A">
        <w:rPr>
          <w:lang w:val="fr-FR"/>
        </w:rPr>
        <w:t>E</w:t>
      </w:r>
      <w:r w:rsidRPr="00BD15C9">
        <w:rPr>
          <w:lang w:val="fr-FR"/>
        </w:rPr>
        <w:t>uropéenne a fait une recommandation de définition (Recommandation 2011/696/UE). Cette recommandation a pour objectif d'harmoniser les différentes législations en la matière.</w:t>
      </w:r>
    </w:p>
    <w:p w14:paraId="221FC08B" w14:textId="524A54C3" w:rsidR="003E45AC" w:rsidRPr="00BD15C9" w:rsidRDefault="00807F0D" w:rsidP="00D40229">
      <w:pPr>
        <w:jc w:val="both"/>
        <w:rPr>
          <w:lang w:val="fr-FR"/>
        </w:rPr>
      </w:pPr>
      <w:r w:rsidRPr="00BD15C9">
        <w:rPr>
          <w:lang w:val="fr-FR"/>
        </w:rPr>
        <w:t>Cette recommandation soulignait aussi que le développement technologique et les progrès scientifiques évoluant rapidement, il fallait prévoir sa révision d'ici décembre 2014 afin de s'assurer que la (recommandation de) définition répond</w:t>
      </w:r>
      <w:r w:rsidR="00B93653">
        <w:rPr>
          <w:lang w:val="fr-FR"/>
        </w:rPr>
        <w:t>e</w:t>
      </w:r>
      <w:r w:rsidRPr="00BD15C9">
        <w:rPr>
          <w:lang w:val="fr-FR"/>
        </w:rPr>
        <w:t xml:space="preserve"> à tous les besoins. </w:t>
      </w:r>
    </w:p>
    <w:p w14:paraId="14161F58" w14:textId="275C2F98" w:rsidR="005274F9" w:rsidRPr="00BD15C9" w:rsidRDefault="005274F9" w:rsidP="00D40229">
      <w:pPr>
        <w:jc w:val="both"/>
        <w:rPr>
          <w:lang w:val="fr-FR"/>
        </w:rPr>
      </w:pPr>
      <w:r w:rsidRPr="00BD15C9">
        <w:rPr>
          <w:lang w:val="fr-FR"/>
        </w:rPr>
        <w:t xml:space="preserve">Dans ce cadre, en 2014 et en 2015, le Joint </w:t>
      </w:r>
      <w:proofErr w:type="spellStart"/>
      <w:r w:rsidRPr="00BD15C9">
        <w:rPr>
          <w:lang w:val="fr-FR"/>
        </w:rPr>
        <w:t>Research</w:t>
      </w:r>
      <w:proofErr w:type="spellEnd"/>
      <w:r w:rsidRPr="00BD15C9">
        <w:rPr>
          <w:lang w:val="fr-FR"/>
        </w:rPr>
        <w:t xml:space="preserve"> Centre</w:t>
      </w:r>
      <w:r w:rsidR="00A32A02" w:rsidRPr="00BD15C9">
        <w:rPr>
          <w:vertAlign w:val="superscript"/>
          <w:lang w:val="fr-FR"/>
        </w:rPr>
        <w:t>9</w:t>
      </w:r>
      <w:r w:rsidRPr="00BD15C9">
        <w:rPr>
          <w:lang w:val="fr-FR"/>
        </w:rPr>
        <w:t xml:space="preserve"> a publié trois rapports scientifiques successifs:</w:t>
      </w:r>
    </w:p>
    <w:p w14:paraId="0E854DE1" w14:textId="7C09D9FF" w:rsidR="005274F9" w:rsidRPr="00BD15C9" w:rsidRDefault="005274F9" w:rsidP="00AA0C4E">
      <w:pPr>
        <w:pStyle w:val="Paragraphedeliste"/>
        <w:numPr>
          <w:ilvl w:val="0"/>
          <w:numId w:val="37"/>
        </w:numPr>
        <w:jc w:val="both"/>
        <w:rPr>
          <w:lang w:val="en-GB"/>
        </w:rPr>
      </w:pPr>
      <w:proofErr w:type="spellStart"/>
      <w:r w:rsidRPr="00BD15C9">
        <w:rPr>
          <w:lang w:val="en-GB"/>
        </w:rPr>
        <w:t>Partie</w:t>
      </w:r>
      <w:proofErr w:type="spellEnd"/>
      <w:r w:rsidRPr="00BD15C9">
        <w:rPr>
          <w:lang w:val="en-GB"/>
        </w:rPr>
        <w:t xml:space="preserve"> 1</w:t>
      </w:r>
      <w:r w:rsidR="00A821C3" w:rsidRPr="00BD15C9">
        <w:rPr>
          <w:lang w:val="en-GB"/>
        </w:rPr>
        <w:t> </w:t>
      </w:r>
      <w:r w:rsidRPr="00BD15C9">
        <w:rPr>
          <w:lang w:val="en-GB"/>
        </w:rPr>
        <w:t>: « Compilation of information concerning the experience with the definition »</w:t>
      </w:r>
      <w:r w:rsidR="003E45AC" w:rsidRPr="00BD15C9">
        <w:rPr>
          <w:vertAlign w:val="superscript"/>
          <w:lang w:val="en-GB"/>
        </w:rPr>
        <w:t xml:space="preserve">10 </w:t>
      </w:r>
    </w:p>
    <w:p w14:paraId="163F7D78" w14:textId="20FCF656" w:rsidR="005274F9" w:rsidRPr="00BD15C9" w:rsidRDefault="005274F9" w:rsidP="00AA0C4E">
      <w:pPr>
        <w:pStyle w:val="Paragraphedeliste"/>
        <w:numPr>
          <w:ilvl w:val="0"/>
          <w:numId w:val="37"/>
        </w:numPr>
        <w:jc w:val="both"/>
        <w:rPr>
          <w:lang w:val="en-GB"/>
        </w:rPr>
      </w:pPr>
      <w:proofErr w:type="spellStart"/>
      <w:r w:rsidRPr="00BD15C9">
        <w:rPr>
          <w:lang w:val="en-GB"/>
        </w:rPr>
        <w:t>Partie</w:t>
      </w:r>
      <w:proofErr w:type="spellEnd"/>
      <w:r w:rsidRPr="00BD15C9">
        <w:rPr>
          <w:lang w:val="en-GB"/>
        </w:rPr>
        <w:t xml:space="preserve"> 2</w:t>
      </w:r>
      <w:r w:rsidR="00A821C3" w:rsidRPr="00BD15C9">
        <w:rPr>
          <w:lang w:val="en-GB"/>
        </w:rPr>
        <w:t> </w:t>
      </w:r>
      <w:r w:rsidRPr="00BD15C9">
        <w:rPr>
          <w:lang w:val="en-GB"/>
        </w:rPr>
        <w:t>: « Assessment of collected information concerning the experience with the definition »</w:t>
      </w:r>
      <w:r w:rsidR="003E45AC" w:rsidRPr="00BD15C9">
        <w:rPr>
          <w:vertAlign w:val="superscript"/>
          <w:lang w:val="en-GB"/>
        </w:rPr>
        <w:t xml:space="preserve">11 </w:t>
      </w:r>
    </w:p>
    <w:p w14:paraId="3738D619" w14:textId="23830DE5" w:rsidR="005274F9" w:rsidRPr="00BD15C9" w:rsidRDefault="005274F9" w:rsidP="00AA0C4E">
      <w:pPr>
        <w:pStyle w:val="Paragraphedeliste"/>
        <w:numPr>
          <w:ilvl w:val="0"/>
          <w:numId w:val="37"/>
        </w:numPr>
        <w:jc w:val="both"/>
        <w:rPr>
          <w:lang w:val="en-GB"/>
        </w:rPr>
      </w:pPr>
      <w:proofErr w:type="spellStart"/>
      <w:r w:rsidRPr="00BD15C9">
        <w:rPr>
          <w:lang w:val="en-GB"/>
        </w:rPr>
        <w:t>Partie</w:t>
      </w:r>
      <w:proofErr w:type="spellEnd"/>
      <w:r w:rsidRPr="00BD15C9">
        <w:rPr>
          <w:lang w:val="en-GB"/>
        </w:rPr>
        <w:t xml:space="preserve"> 3</w:t>
      </w:r>
      <w:r w:rsidR="00A821C3" w:rsidRPr="00BD15C9">
        <w:rPr>
          <w:lang w:val="en-GB"/>
        </w:rPr>
        <w:t> </w:t>
      </w:r>
      <w:r w:rsidRPr="00BD15C9">
        <w:rPr>
          <w:lang w:val="en-GB"/>
        </w:rPr>
        <w:t>: « Scientific-technical evaluation of options to clarify the definition and to facilitate its implementation »</w:t>
      </w:r>
      <w:r w:rsidR="003E45AC" w:rsidRPr="00BD15C9">
        <w:rPr>
          <w:vertAlign w:val="superscript"/>
          <w:lang w:val="en-GB"/>
        </w:rPr>
        <w:t xml:space="preserve">12 </w:t>
      </w:r>
    </w:p>
    <w:p w14:paraId="674F0EBA" w14:textId="1ACC8F5D" w:rsidR="0075447C" w:rsidRPr="0075447C" w:rsidRDefault="0075447C" w:rsidP="002B3FEC">
      <w:pPr>
        <w:jc w:val="both"/>
        <w:rPr>
          <w:lang w:val="fr-FR"/>
        </w:rPr>
      </w:pPr>
      <w:r w:rsidRPr="0075447C">
        <w:rPr>
          <w:lang w:val="fr-FR"/>
        </w:rPr>
        <w:t>Ensuite, d</w:t>
      </w:r>
      <w:r w:rsidR="00A67457" w:rsidRPr="0075447C">
        <w:rPr>
          <w:lang w:val="fr-FR"/>
        </w:rPr>
        <w:t xml:space="preserve">es dispositions européennes spécifiques relatives aux nanomatériaux ont été reprises, notamment au niveau des biocides, des cosmétiques et des matériaux en contact avec des </w:t>
      </w:r>
      <w:r w:rsidR="00C3732A" w:rsidRPr="0075447C">
        <w:rPr>
          <w:lang w:val="fr-FR"/>
        </w:rPr>
        <w:t>denrée</w:t>
      </w:r>
      <w:r w:rsidR="00A67457" w:rsidRPr="0075447C">
        <w:rPr>
          <w:lang w:val="fr-FR"/>
        </w:rPr>
        <w:t xml:space="preserve">s alimentaires. </w:t>
      </w:r>
      <w:r w:rsidRPr="0075447C">
        <w:rPr>
          <w:lang w:val="fr-FR"/>
        </w:rPr>
        <w:t>De</w:t>
      </w:r>
      <w:r>
        <w:rPr>
          <w:lang w:val="fr-FR"/>
        </w:rPr>
        <w:t>p</w:t>
      </w:r>
      <w:r w:rsidRPr="0075447C">
        <w:rPr>
          <w:lang w:val="fr-FR"/>
        </w:rPr>
        <w:t>uis janvier 2020, selon le règlement REACH</w:t>
      </w:r>
      <w:r>
        <w:rPr>
          <w:lang w:val="fr-FR"/>
        </w:rPr>
        <w:t xml:space="preserve"> </w:t>
      </w:r>
      <w:r w:rsidRPr="00BD15C9">
        <w:rPr>
          <w:lang w:val="fr-FR"/>
        </w:rPr>
        <w:t>(Règlement 1907/2006)</w:t>
      </w:r>
      <w:r w:rsidRPr="0075447C">
        <w:rPr>
          <w:lang w:val="fr-FR"/>
        </w:rPr>
        <w:t xml:space="preserve">, il est demandé au Registrant de fournir les informations nécessaires à la caractérisation des </w:t>
      </w:r>
      <w:proofErr w:type="spellStart"/>
      <w:r w:rsidRPr="0075447C">
        <w:rPr>
          <w:lang w:val="fr-FR"/>
        </w:rPr>
        <w:t>nanoformes</w:t>
      </w:r>
      <w:proofErr w:type="spellEnd"/>
      <w:r w:rsidRPr="0075447C">
        <w:rPr>
          <w:lang w:val="fr-FR"/>
        </w:rPr>
        <w:t xml:space="preserve"> d’une substance </w:t>
      </w:r>
      <w:r w:rsidRPr="002B3FEC">
        <w:rPr>
          <w:lang w:val="fr-FR"/>
        </w:rPr>
        <w:t xml:space="preserve">(cf. Annexe VI, 2.4 du règlement REACH </w:t>
      </w:r>
      <w:r w:rsidRPr="0075447C">
        <w:rPr>
          <w:lang w:val="fr-FR"/>
        </w:rPr>
        <w:t xml:space="preserve">reprenant les exigences d’information) </w:t>
      </w:r>
      <w:r w:rsidRPr="00BD15C9">
        <w:rPr>
          <w:lang w:val="fr-FR"/>
        </w:rPr>
        <w:t>Étant donné que les nanomatériaux répondent à la définition de ‘substance‘ dans ces législations, les dispositions contenues dans ces dernières leur sont également applicables.</w:t>
      </w:r>
    </w:p>
    <w:p w14:paraId="1A60C921" w14:textId="169A9B7C" w:rsidR="00530979" w:rsidRPr="00BD15C9" w:rsidRDefault="00304CC6" w:rsidP="00D40229">
      <w:pPr>
        <w:jc w:val="both"/>
        <w:rPr>
          <w:lang w:val="fr-FR"/>
        </w:rPr>
      </w:pPr>
      <w:r w:rsidRPr="00BD15C9">
        <w:rPr>
          <w:lang w:val="fr-FR"/>
        </w:rPr>
        <w:t xml:space="preserve">Toutefois, la législation REACH actuelle présente plusieurs lacunes en ce qui concerne les nanomatériaux: </w:t>
      </w:r>
    </w:p>
    <w:p w14:paraId="35C095A7" w14:textId="77777777" w:rsidR="00DB322C" w:rsidRDefault="00A821C3" w:rsidP="00530979">
      <w:pPr>
        <w:pStyle w:val="Paragraphedeliste"/>
        <w:numPr>
          <w:ilvl w:val="0"/>
          <w:numId w:val="27"/>
        </w:numPr>
        <w:jc w:val="both"/>
        <w:rPr>
          <w:lang w:val="fr-FR"/>
        </w:rPr>
      </w:pPr>
      <w:r w:rsidRPr="00BD15C9">
        <w:rPr>
          <w:lang w:val="fr-FR"/>
        </w:rPr>
        <w:t>REACH n</w:t>
      </w:r>
      <w:r w:rsidR="00530979" w:rsidRPr="00BD15C9">
        <w:rPr>
          <w:lang w:val="fr-FR"/>
        </w:rPr>
        <w:t>e contient pas de définition permettant de spécifier ce qu'est un nanomatériau</w:t>
      </w:r>
      <w:r w:rsidR="00DE6231">
        <w:rPr>
          <w:lang w:val="fr-FR"/>
        </w:rPr>
        <w:t xml:space="preserve"> mais s’appuie sur la </w:t>
      </w:r>
      <w:r w:rsidR="00DE6231" w:rsidRPr="00BD15C9">
        <w:rPr>
          <w:lang w:val="fr-FR"/>
        </w:rPr>
        <w:t>Recommandation 2011/696/UE</w:t>
      </w:r>
      <w:r w:rsidR="0090034E">
        <w:rPr>
          <w:lang w:val="fr-FR"/>
        </w:rPr>
        <w:t>, comme mentionné ci-dessus</w:t>
      </w:r>
      <w:r w:rsidR="009828CF">
        <w:rPr>
          <w:lang w:val="fr-FR"/>
        </w:rPr>
        <w:t>. Cette recommandation est actuellement en révision.</w:t>
      </w:r>
      <w:bookmarkStart w:id="11" w:name="_Hlk70411608"/>
      <w:r w:rsidR="00DE6231" w:rsidRPr="00E55AA2">
        <w:rPr>
          <w:lang w:val="fr-FR"/>
        </w:rPr>
        <w:t xml:space="preserve"> </w:t>
      </w:r>
      <w:bookmarkEnd w:id="11"/>
    </w:p>
    <w:p w14:paraId="2C4513AD" w14:textId="2DBFE4FD" w:rsidR="00530979" w:rsidRPr="00BD15C9" w:rsidRDefault="00BD2C8D" w:rsidP="00530979">
      <w:pPr>
        <w:pStyle w:val="Paragraphedeliste"/>
        <w:numPr>
          <w:ilvl w:val="0"/>
          <w:numId w:val="27"/>
        </w:numPr>
        <w:jc w:val="both"/>
        <w:rPr>
          <w:lang w:val="fr-FR"/>
        </w:rPr>
      </w:pPr>
      <w:r>
        <w:rPr>
          <w:lang w:val="fr-FR"/>
        </w:rPr>
        <w:t>L</w:t>
      </w:r>
      <w:r w:rsidR="006330E0" w:rsidRPr="00BD15C9">
        <w:rPr>
          <w:lang w:val="fr-FR"/>
        </w:rPr>
        <w:t>es substances chimiques ne doivent être enregistrées dans REACH que si un producteur ou un importateur en fabrique ou en importe respectivement plus d'une tonne par an – une valeur seuil qui ne semble pas adaptée aux nanomatériaux.</w:t>
      </w:r>
    </w:p>
    <w:p w14:paraId="7110B1A8" w14:textId="6BC23DCF" w:rsidR="002C1CDC" w:rsidRDefault="002C1CDC" w:rsidP="00D40229">
      <w:pPr>
        <w:jc w:val="both"/>
        <w:rPr>
          <w:lang w:val="fr-FR"/>
        </w:rPr>
      </w:pPr>
      <w:r w:rsidRPr="00BD15C9">
        <w:rPr>
          <w:lang w:val="fr-FR"/>
        </w:rPr>
        <w:t>Un aperçu complet des décisions juridiques concernant les processus REACH relatives aux nanomatériaux peut être consulté sur ‘</w:t>
      </w:r>
      <w:proofErr w:type="spellStart"/>
      <w:r w:rsidRPr="00BD15C9">
        <w:rPr>
          <w:lang w:val="fr-FR"/>
        </w:rPr>
        <w:t>European</w:t>
      </w:r>
      <w:proofErr w:type="spellEnd"/>
      <w:r w:rsidRPr="00BD15C9">
        <w:rPr>
          <w:lang w:val="fr-FR"/>
        </w:rPr>
        <w:t xml:space="preserve"> Union </w:t>
      </w:r>
      <w:proofErr w:type="spellStart"/>
      <w:r w:rsidRPr="00BD15C9">
        <w:rPr>
          <w:lang w:val="fr-FR"/>
        </w:rPr>
        <w:t>Observatory</w:t>
      </w:r>
      <w:proofErr w:type="spellEnd"/>
      <w:r w:rsidRPr="00BD15C9">
        <w:rPr>
          <w:lang w:val="fr-FR"/>
        </w:rPr>
        <w:t xml:space="preserve"> for </w:t>
      </w:r>
      <w:proofErr w:type="spellStart"/>
      <w:r w:rsidRPr="00BD15C9">
        <w:rPr>
          <w:lang w:val="fr-FR"/>
        </w:rPr>
        <w:t>Nanomaterials</w:t>
      </w:r>
      <w:proofErr w:type="spellEnd"/>
      <w:r w:rsidRPr="00BD15C9">
        <w:rPr>
          <w:lang w:val="fr-FR"/>
        </w:rPr>
        <w:t>’ (EUON)</w:t>
      </w:r>
      <w:r w:rsidR="00884BA0" w:rsidRPr="00BD15C9">
        <w:rPr>
          <w:vertAlign w:val="superscript"/>
          <w:lang w:val="fr-FR"/>
        </w:rPr>
        <w:t>13</w:t>
      </w:r>
      <w:r w:rsidRPr="00BD15C9">
        <w:rPr>
          <w:lang w:val="fr-FR"/>
        </w:rPr>
        <w:t xml:space="preserve">. Cet observatoire est une initiative de la Commission européenne dont l'objectif est de rassembler des informations sur les nanomatériaux mis sur le marché européen (voir aussi </w:t>
      </w:r>
      <w:r w:rsidR="001D0556" w:rsidRPr="00BD15C9">
        <w:rPr>
          <w:i/>
          <w:lang w:val="fr-FR"/>
        </w:rPr>
        <w:t>§1.5 Registres nationaux</w:t>
      </w:r>
      <w:r w:rsidRPr="00BD15C9">
        <w:rPr>
          <w:lang w:val="fr-FR"/>
        </w:rPr>
        <w:t>).</w:t>
      </w:r>
    </w:p>
    <w:p w14:paraId="15CA2F9A" w14:textId="60733C2B" w:rsidR="00935FCF" w:rsidRPr="00C46825" w:rsidRDefault="00935FCF" w:rsidP="00D40229">
      <w:pPr>
        <w:jc w:val="both"/>
        <w:rPr>
          <w:lang w:val="fr-BE"/>
        </w:rPr>
      </w:pPr>
      <w:r w:rsidRPr="00DF0E87">
        <w:rPr>
          <w:bCs/>
          <w:lang w:val="fr-BE"/>
        </w:rPr>
        <w:lastRenderedPageBreak/>
        <w:t xml:space="preserve">Une révision spécifique des informations requises dans REACH pour les nanomatériaux </w:t>
      </w:r>
      <w:r w:rsidR="008E20BB" w:rsidRPr="00DF0E87">
        <w:rPr>
          <w:bCs/>
          <w:lang w:val="fr-BE"/>
        </w:rPr>
        <w:t>a</w:t>
      </w:r>
      <w:r w:rsidRPr="00DF0E87">
        <w:rPr>
          <w:bCs/>
          <w:lang w:val="fr-BE"/>
        </w:rPr>
        <w:t xml:space="preserve"> été adoptée par la Commission Européenne </w:t>
      </w:r>
      <w:r w:rsidR="008E20BB">
        <w:rPr>
          <w:bCs/>
          <w:lang w:val="fr-BE"/>
        </w:rPr>
        <w:t>en d</w:t>
      </w:r>
      <w:r w:rsidRPr="001C46ED">
        <w:rPr>
          <w:bCs/>
          <w:lang w:val="fr-BE"/>
        </w:rPr>
        <w:t>écembre 2018. Les modifications clarifient quelles informations les entreprises plaçant sur le marché des substances sous forme nanométrique doivent être insérées dans leur dossier d’enregistrement.</w:t>
      </w:r>
      <w:r w:rsidRPr="00124921">
        <w:rPr>
          <w:b/>
          <w:bCs/>
          <w:lang w:val="fr-BE"/>
        </w:rPr>
        <w:t xml:space="preserve"> </w:t>
      </w:r>
      <w:r w:rsidR="008E20BB">
        <w:rPr>
          <w:lang w:val="fr-BE"/>
        </w:rPr>
        <w:t>C</w:t>
      </w:r>
      <w:r w:rsidR="008E20BB" w:rsidRPr="00DF0E87">
        <w:rPr>
          <w:lang w:val="fr-BE"/>
        </w:rPr>
        <w:t xml:space="preserve">es </w:t>
      </w:r>
      <w:r w:rsidRPr="00DF0E87">
        <w:rPr>
          <w:lang w:val="fr-BE"/>
        </w:rPr>
        <w:t xml:space="preserve">nouvelles règles </w:t>
      </w:r>
      <w:r w:rsidR="00E92D4E">
        <w:rPr>
          <w:lang w:val="fr-BE"/>
        </w:rPr>
        <w:t>sont entrées e</w:t>
      </w:r>
      <w:r w:rsidRPr="001C46ED">
        <w:rPr>
          <w:lang w:val="fr-BE"/>
        </w:rPr>
        <w:t>n application le 1</w:t>
      </w:r>
      <w:r w:rsidRPr="001C46ED">
        <w:rPr>
          <w:vertAlign w:val="superscript"/>
          <w:lang w:val="fr-BE"/>
        </w:rPr>
        <w:t>er</w:t>
      </w:r>
      <w:r w:rsidRPr="001C46ED">
        <w:rPr>
          <w:lang w:val="fr-BE"/>
        </w:rPr>
        <w:t xml:space="preserve"> Janvier 2020</w:t>
      </w:r>
      <w:r w:rsidR="003A6743" w:rsidRPr="001C46ED">
        <w:rPr>
          <w:lang w:val="fr-BE"/>
        </w:rPr>
        <w:t xml:space="preserve"> (</w:t>
      </w:r>
      <w:hyperlink r:id="rId14" w:history="1">
        <w:r w:rsidR="003A6743" w:rsidRPr="00DF0E87">
          <w:rPr>
            <w:rStyle w:val="Lienhypertexte"/>
            <w:lang w:val="fr-BE"/>
          </w:rPr>
          <w:t>https://echa.europa.eu/fr/-/get-ready-for-new-reach-requirements-for-nanomaterials</w:t>
        </w:r>
      </w:hyperlink>
      <w:r w:rsidR="003A6743" w:rsidRPr="00DF0E87">
        <w:rPr>
          <w:lang w:val="fr-BE"/>
        </w:rPr>
        <w:t>).</w:t>
      </w:r>
    </w:p>
    <w:p w14:paraId="470BC857" w14:textId="2505E4E4" w:rsidR="002C1CDC" w:rsidRPr="00BD15C9" w:rsidRDefault="00435A25" w:rsidP="00B76985">
      <w:pPr>
        <w:pStyle w:val="Titre2"/>
      </w:pPr>
      <w:bookmarkStart w:id="12" w:name="_Toc76034148"/>
      <w:bookmarkEnd w:id="9"/>
      <w:r w:rsidRPr="00BD15C9">
        <w:t>Registres nationaux</w:t>
      </w:r>
      <w:bookmarkEnd w:id="12"/>
    </w:p>
    <w:p w14:paraId="2A119AA8" w14:textId="7564AD6F" w:rsidR="006330E0" w:rsidRPr="00BD15C9" w:rsidRDefault="005C42AF" w:rsidP="006330E0">
      <w:pPr>
        <w:jc w:val="both"/>
        <w:rPr>
          <w:lang w:val="fr-FR"/>
        </w:rPr>
      </w:pPr>
      <w:r w:rsidRPr="00BD15C9">
        <w:rPr>
          <w:rFonts w:ascii="Calibri" w:hAnsi="Calibri" w:cs="Calibri"/>
          <w:color w:val="000000"/>
          <w:lang w:val="fr-FR"/>
        </w:rPr>
        <w:t>L'absence de données fiables relatives à l'utilisation des nanomatériaux est en contraste criant avec le développement de plus en plus rapide du marché de ces matériaux</w:t>
      </w:r>
      <w:r w:rsidR="00DC24A2" w:rsidRPr="00BD15C9">
        <w:rPr>
          <w:lang w:val="fr-FR"/>
        </w:rPr>
        <w:t xml:space="preserve">. </w:t>
      </w:r>
    </w:p>
    <w:p w14:paraId="0066EBD6" w14:textId="18AA2072" w:rsidR="005C42AF" w:rsidRPr="00BD15C9" w:rsidRDefault="005C42AF" w:rsidP="006330E0">
      <w:pPr>
        <w:jc w:val="both"/>
        <w:rPr>
          <w:lang w:val="fr-FR"/>
        </w:rPr>
      </w:pPr>
      <w:r w:rsidRPr="00BD15C9">
        <w:rPr>
          <w:lang w:val="fr-FR"/>
        </w:rPr>
        <w:t>Du fait de l'absence de ces données (quel produit, quelle quantité, quelles utilisations…)</w:t>
      </w:r>
      <w:r w:rsidR="00DF11DA">
        <w:rPr>
          <w:lang w:val="fr-FR"/>
        </w:rPr>
        <w:t>,</w:t>
      </w:r>
      <w:r w:rsidRPr="00BD15C9">
        <w:rPr>
          <w:lang w:val="fr-FR"/>
        </w:rPr>
        <w:t xml:space="preserve"> il s'avère très difficile, voire</w:t>
      </w:r>
      <w:r w:rsidR="00A821C3" w:rsidRPr="00BD15C9">
        <w:rPr>
          <w:lang w:val="fr-FR"/>
        </w:rPr>
        <w:t xml:space="preserve"> impossible, pour les autorités</w:t>
      </w:r>
      <w:r w:rsidRPr="00BD15C9">
        <w:rPr>
          <w:rFonts w:ascii="Calibri" w:hAnsi="Calibri" w:cs="Calibri"/>
          <w:color w:val="000000"/>
          <w:lang w:val="fr-FR"/>
        </w:rPr>
        <w:t xml:space="preserve"> compétentes d'estimer les expositions potentielles aux nanomatériaux</w:t>
      </w:r>
      <w:r w:rsidRPr="00BD15C9">
        <w:rPr>
          <w:lang w:val="fr-FR"/>
        </w:rPr>
        <w:t xml:space="preserve">. </w:t>
      </w:r>
    </w:p>
    <w:p w14:paraId="07607F68" w14:textId="0C66D62F" w:rsidR="00C57943" w:rsidRPr="00BD15C9" w:rsidRDefault="0008102A" w:rsidP="00AA0C4E">
      <w:pPr>
        <w:jc w:val="both"/>
        <w:rPr>
          <w:lang w:val="fr-FR"/>
        </w:rPr>
      </w:pPr>
      <w:r w:rsidRPr="00BD15C9">
        <w:rPr>
          <w:lang w:val="fr-FR"/>
        </w:rPr>
        <w:t>Dans la résolution du 24 avril 2009 (</w:t>
      </w:r>
      <w:r w:rsidR="00C57943" w:rsidRPr="00BD15C9">
        <w:rPr>
          <w:rFonts w:ascii="Calibri" w:hAnsi="Calibri" w:cs="Calibri"/>
          <w:color w:val="000000"/>
          <w:lang w:val="fr-FR"/>
        </w:rPr>
        <w:t>Résolution du Parlement européen du 24 avril 2009 sur les aspects réglementaires des nanomatériaux (2008/2208(INI)</w:t>
      </w:r>
      <w:r w:rsidR="000C4612" w:rsidRPr="00BD15C9">
        <w:rPr>
          <w:rFonts w:ascii="Calibri" w:hAnsi="Calibri" w:cs="Calibri"/>
          <w:color w:val="000000"/>
          <w:vertAlign w:val="superscript"/>
          <w:lang w:val="fr-FR"/>
        </w:rPr>
        <w:t>14</w:t>
      </w:r>
      <w:r w:rsidR="00A821C3" w:rsidRPr="00BD15C9">
        <w:rPr>
          <w:rFonts w:ascii="Calibri" w:hAnsi="Calibri" w:cs="Calibri"/>
          <w:color w:val="000000"/>
          <w:lang w:val="fr-FR"/>
        </w:rPr>
        <w:t xml:space="preserve">. </w:t>
      </w:r>
      <w:r w:rsidR="00C57943" w:rsidRPr="00BD15C9">
        <w:rPr>
          <w:rFonts w:ascii="Calibri" w:hAnsi="Calibri" w:cs="Calibri"/>
          <w:color w:val="000000"/>
          <w:lang w:val="fr-FR"/>
        </w:rPr>
        <w:t xml:space="preserve">Sous le point 11 de cette résolution, il est demandé à la Commission </w:t>
      </w:r>
      <w:r w:rsidRPr="00BD15C9">
        <w:rPr>
          <w:lang w:val="fr-FR"/>
        </w:rPr>
        <w:t xml:space="preserve">européenne « d'étudier la nécessité de réviser le règlement REACH en ce qui concerne notamment : </w:t>
      </w:r>
    </w:p>
    <w:p w14:paraId="1C046FDB" w14:textId="1B6CAE83" w:rsidR="00C57943" w:rsidRPr="00BD15C9" w:rsidRDefault="00C57943" w:rsidP="00AA0C4E">
      <w:pPr>
        <w:pStyle w:val="Paragraphedeliste"/>
        <w:numPr>
          <w:ilvl w:val="0"/>
          <w:numId w:val="27"/>
        </w:numPr>
        <w:jc w:val="both"/>
        <w:rPr>
          <w:lang w:val="fr-FR"/>
        </w:rPr>
      </w:pPr>
      <w:r w:rsidRPr="00BD15C9">
        <w:rPr>
          <w:lang w:val="fr-FR"/>
        </w:rPr>
        <w:t xml:space="preserve">l'enregistrement simplifié des nanomatériaux manufacturés ou importés pour une quantité inférieure à une tonne, </w:t>
      </w:r>
    </w:p>
    <w:p w14:paraId="7143EB70" w14:textId="2C7236C2" w:rsidR="00C57943" w:rsidRPr="00BD15C9" w:rsidRDefault="00C57943" w:rsidP="00AA0C4E">
      <w:pPr>
        <w:pStyle w:val="Paragraphedeliste"/>
        <w:numPr>
          <w:ilvl w:val="0"/>
          <w:numId w:val="27"/>
        </w:numPr>
        <w:jc w:val="both"/>
        <w:rPr>
          <w:lang w:val="fr-FR"/>
        </w:rPr>
      </w:pPr>
      <w:r w:rsidRPr="00BD15C9">
        <w:rPr>
          <w:lang w:val="fr-FR"/>
        </w:rPr>
        <w:t xml:space="preserve">l'examen de tous les nanomatériaux, considérés comme étant de nouvelles substances, </w:t>
      </w:r>
    </w:p>
    <w:p w14:paraId="55AC2172" w14:textId="34AB7EED" w:rsidR="00C57943" w:rsidRPr="00BD15C9" w:rsidRDefault="00C57943" w:rsidP="00AA0C4E">
      <w:pPr>
        <w:pStyle w:val="Paragraphedeliste"/>
        <w:numPr>
          <w:ilvl w:val="0"/>
          <w:numId w:val="27"/>
        </w:numPr>
        <w:jc w:val="both"/>
        <w:rPr>
          <w:lang w:val="fr-FR"/>
        </w:rPr>
      </w:pPr>
      <w:r w:rsidRPr="00BD15C9">
        <w:rPr>
          <w:lang w:val="fr-FR"/>
        </w:rPr>
        <w:t xml:space="preserve">un rapport sur la sécurité chimique comportant une évaluation de l'exposition pour tous les nanomatériaux enregistrés, </w:t>
      </w:r>
    </w:p>
    <w:p w14:paraId="191A2A2A" w14:textId="50056E37" w:rsidR="00C57943" w:rsidRPr="00BD15C9" w:rsidRDefault="00C57943" w:rsidP="00AA0C4E">
      <w:pPr>
        <w:pStyle w:val="Paragraphedeliste"/>
        <w:numPr>
          <w:ilvl w:val="0"/>
          <w:numId w:val="27"/>
        </w:numPr>
        <w:jc w:val="both"/>
        <w:rPr>
          <w:lang w:val="fr-FR"/>
        </w:rPr>
      </w:pPr>
      <w:r w:rsidRPr="00BD15C9">
        <w:rPr>
          <w:lang w:val="fr-FR"/>
        </w:rPr>
        <w:t>des exigences de notification pour tous les nanomatériaux mis sur le marché, qu'ils soient commercialisés en tant que tels ou qu'ils entrent dans la composition de préparations ou d'articles ; »</w:t>
      </w:r>
    </w:p>
    <w:p w14:paraId="7CAFA3B8" w14:textId="64759240" w:rsidR="00D81DD7" w:rsidRPr="00BD15C9" w:rsidRDefault="001D0556" w:rsidP="00C666CE">
      <w:pPr>
        <w:jc w:val="both"/>
        <w:rPr>
          <w:rFonts w:ascii="Calibri" w:hAnsi="Calibri" w:cs="Calibri"/>
          <w:color w:val="000000"/>
          <w:lang w:val="fr-FR"/>
        </w:rPr>
      </w:pPr>
      <w:r w:rsidRPr="00BD15C9">
        <w:rPr>
          <w:rFonts w:ascii="Calibri" w:hAnsi="Calibri" w:cs="Calibri"/>
          <w:color w:val="000000"/>
          <w:lang w:val="fr-FR"/>
        </w:rPr>
        <w:t xml:space="preserve">La création d'un registre des nanomatériaux constituait une option au niveau de l'étude relative à l'impact des législations potentielles pour améliorer la transparence sur les nanomatériaux </w:t>
      </w:r>
      <w:r w:rsidR="00666043">
        <w:rPr>
          <w:rFonts w:ascii="Calibri" w:hAnsi="Calibri" w:cs="Calibri"/>
          <w:color w:val="000000"/>
          <w:lang w:val="fr-FR"/>
        </w:rPr>
        <w:t xml:space="preserve">présents </w:t>
      </w:r>
      <w:r w:rsidRPr="00BD15C9">
        <w:rPr>
          <w:rFonts w:ascii="Calibri" w:hAnsi="Calibri" w:cs="Calibri"/>
          <w:color w:val="000000"/>
          <w:lang w:val="fr-FR"/>
        </w:rPr>
        <w:t>sur le marché</w:t>
      </w:r>
      <w:r w:rsidR="00BE2E7A" w:rsidRPr="00BD15C9">
        <w:rPr>
          <w:rFonts w:ascii="Calibri" w:hAnsi="Calibri" w:cs="Calibri"/>
          <w:color w:val="000000"/>
          <w:vertAlign w:val="superscript"/>
          <w:lang w:val="fr-FR"/>
        </w:rPr>
        <w:t>15</w:t>
      </w:r>
      <w:r w:rsidRPr="00BD15C9">
        <w:rPr>
          <w:rFonts w:ascii="Calibri" w:hAnsi="Calibri" w:cs="Calibri"/>
          <w:color w:val="000000"/>
          <w:lang w:val="fr-FR"/>
        </w:rPr>
        <w:t xml:space="preserve">. </w:t>
      </w:r>
    </w:p>
    <w:p w14:paraId="4A2A3C57" w14:textId="2CB2FEBB" w:rsidR="00690A7D" w:rsidRPr="00BD15C9" w:rsidRDefault="00690A7D" w:rsidP="00C666CE">
      <w:pPr>
        <w:jc w:val="both"/>
        <w:rPr>
          <w:rFonts w:ascii="Calibri" w:hAnsi="Calibri" w:cs="Calibri"/>
          <w:color w:val="000000"/>
          <w:lang w:val="fr-FR"/>
        </w:rPr>
      </w:pPr>
      <w:r w:rsidRPr="00BD15C9">
        <w:rPr>
          <w:rFonts w:ascii="Calibri" w:hAnsi="Calibri" w:cs="Calibri"/>
          <w:color w:val="000000"/>
          <w:lang w:val="fr-FR"/>
        </w:rPr>
        <w:t xml:space="preserve">Finalement, la </w:t>
      </w:r>
      <w:r w:rsidRPr="00BD15C9">
        <w:rPr>
          <w:lang w:val="fr-FR"/>
        </w:rPr>
        <w:t>Commission UE a opté pour la création de l'Observatoire européen sur les nanomatériaux (EUON), un lieu de collecte - à ce jour - des informations existantes sur les nanomatériaux</w:t>
      </w:r>
      <w:r w:rsidR="00E3193A" w:rsidRPr="00BD15C9">
        <w:rPr>
          <w:vertAlign w:val="superscript"/>
          <w:lang w:val="fr-FR"/>
        </w:rPr>
        <w:t>16, 17</w:t>
      </w:r>
      <w:r w:rsidRPr="00BD15C9">
        <w:rPr>
          <w:rFonts w:ascii="Calibri" w:hAnsi="Calibri" w:cs="Calibri"/>
          <w:color w:val="000000"/>
          <w:lang w:val="fr-FR"/>
        </w:rPr>
        <w:t>.</w:t>
      </w:r>
    </w:p>
    <w:p w14:paraId="208CDB0E" w14:textId="149C5418" w:rsidR="00C666CE" w:rsidRPr="00BD15C9" w:rsidRDefault="002916EB" w:rsidP="00C666CE">
      <w:pPr>
        <w:jc w:val="both"/>
        <w:rPr>
          <w:lang w:val="fr-FR"/>
        </w:rPr>
      </w:pPr>
      <w:r w:rsidRPr="00BD15C9">
        <w:rPr>
          <w:lang w:val="fr-FR"/>
        </w:rPr>
        <w:t xml:space="preserve">L'EUON </w:t>
      </w:r>
      <w:r w:rsidRPr="00505EDD">
        <w:rPr>
          <w:lang w:val="fr-FR"/>
        </w:rPr>
        <w:t>ne peut pas être considéré comme le remplaçant d'un registre à caractère obligatoire étant donné qu'il ne fournit pas d'information spécifique permettant de procéder à une bonne estimation de l'exposition potentielle</w:t>
      </w:r>
      <w:r w:rsidRPr="00BD15C9">
        <w:rPr>
          <w:lang w:val="fr-FR"/>
        </w:rPr>
        <w:t xml:space="preserve"> aux nanomatériaux (produits, quantités, utilisations, producteurs…) et étant donné qu'il n'est toujours</w:t>
      </w:r>
      <w:r w:rsidR="00396683">
        <w:rPr>
          <w:lang w:val="fr-FR"/>
        </w:rPr>
        <w:t xml:space="preserve"> pas</w:t>
      </w:r>
      <w:r w:rsidRPr="00BD15C9">
        <w:rPr>
          <w:lang w:val="fr-FR"/>
        </w:rPr>
        <w:t xml:space="preserve"> clairement établi qui est responsable de l'exactitude des informations publiées. </w:t>
      </w:r>
    </w:p>
    <w:p w14:paraId="56BC5EB5" w14:textId="22C55F00" w:rsidR="00435A25" w:rsidRPr="00BD15C9" w:rsidRDefault="00C666CE" w:rsidP="006330E0">
      <w:pPr>
        <w:jc w:val="both"/>
        <w:rPr>
          <w:lang w:val="fr-FR"/>
        </w:rPr>
      </w:pPr>
      <w:r w:rsidRPr="00BD15C9">
        <w:rPr>
          <w:lang w:val="fr-FR"/>
        </w:rPr>
        <w:t>Entre-temps, plusieurs états membres ont pris l'initiative de lancer leur propre registre national. Un aperçu des différents registres nationaux et de leurs modalités spécifiques peut également être retrouvé sur EUON</w:t>
      </w:r>
      <w:r w:rsidR="00F02A05" w:rsidRPr="00BD15C9">
        <w:rPr>
          <w:vertAlign w:val="superscript"/>
          <w:lang w:val="fr-FR"/>
        </w:rPr>
        <w:t>18</w:t>
      </w:r>
      <w:r w:rsidRPr="00BD15C9">
        <w:rPr>
          <w:lang w:val="fr-FR"/>
        </w:rPr>
        <w:t xml:space="preserve">. </w:t>
      </w:r>
    </w:p>
    <w:p w14:paraId="138A2F8E" w14:textId="2D34DB75" w:rsidR="00DC24A2" w:rsidRPr="00BD15C9" w:rsidRDefault="00DC24A2" w:rsidP="006330E0">
      <w:pPr>
        <w:jc w:val="both"/>
        <w:rPr>
          <w:lang w:val="fr-FR"/>
        </w:rPr>
      </w:pPr>
      <w:r w:rsidRPr="00BD15C9">
        <w:rPr>
          <w:lang w:val="fr-FR"/>
        </w:rPr>
        <w:lastRenderedPageBreak/>
        <w:t>Au sein de l'UE, la France a été le premier pays dans lequel, dans le cadre d'un enregistrement obligatoire, les déclarants ont été obligés d'également identifier les utilisations des substances à l'état nanoparticulaire.</w:t>
      </w:r>
    </w:p>
    <w:p w14:paraId="374F2058" w14:textId="19BE4817" w:rsidR="00DC24A2" w:rsidRPr="00BD15C9" w:rsidRDefault="00DC24A2" w:rsidP="006330E0">
      <w:pPr>
        <w:jc w:val="both"/>
        <w:rPr>
          <w:lang w:val="fr-FR"/>
        </w:rPr>
      </w:pPr>
      <w:r w:rsidRPr="00BD15C9">
        <w:rPr>
          <w:lang w:val="fr-FR"/>
        </w:rPr>
        <w:t>À la suite des points de vue adoptés par la Belgique au cours de la présidence du Conseil européen en 2010, en 2011, le SPF Santé publique, Sécurité de la Chaîne alimentaire et Environnement a lancé une étude sur les possibilités de création d'un registre des nanomatériaux mis sur le marché belge, et cela, en coordination avec d'autres départements fédéraux concernés et en collaboration avec d'autres états membres de l'Union européenne</w:t>
      </w:r>
      <w:r w:rsidR="007802EF" w:rsidRPr="00BD15C9">
        <w:rPr>
          <w:vertAlign w:val="superscript"/>
          <w:lang w:val="fr-FR"/>
        </w:rPr>
        <w:t>19</w:t>
      </w:r>
      <w:r w:rsidRPr="00BD15C9">
        <w:rPr>
          <w:lang w:val="fr-FR"/>
        </w:rPr>
        <w:t xml:space="preserve">. </w:t>
      </w:r>
    </w:p>
    <w:p w14:paraId="1C5ADEE1" w14:textId="49619EA4" w:rsidR="00CC2D17" w:rsidRDefault="00CE5D26" w:rsidP="006330E0">
      <w:pPr>
        <w:jc w:val="both"/>
        <w:rPr>
          <w:lang w:val="fr-FR"/>
        </w:rPr>
      </w:pPr>
      <w:r w:rsidRPr="00BD15C9">
        <w:rPr>
          <w:lang w:val="fr-FR"/>
        </w:rPr>
        <w:t>Cette étude a mené à l'arrêté royal (AR) du 27 mai 2014, relatif à la mise sur le marché des substances manufacturées à l'état nanoparticulaire</w:t>
      </w:r>
      <w:r w:rsidR="00493366" w:rsidRPr="00BD15C9">
        <w:rPr>
          <w:vertAlign w:val="superscript"/>
          <w:lang w:val="fr-FR"/>
        </w:rPr>
        <w:t>20</w:t>
      </w:r>
      <w:r w:rsidRPr="00BD15C9">
        <w:rPr>
          <w:lang w:val="fr-FR"/>
        </w:rPr>
        <w:t>. Selon cet AR, les substances manufacturées à l'état nanoparticulaire et mises sur le marché en tant que substances devaient être enregistrées avant le 1</w:t>
      </w:r>
      <w:r w:rsidRPr="00BD15C9">
        <w:rPr>
          <w:vertAlign w:val="superscript"/>
          <w:lang w:val="fr-FR"/>
        </w:rPr>
        <w:t>er</w:t>
      </w:r>
      <w:r w:rsidRPr="00BD15C9">
        <w:rPr>
          <w:lang w:val="fr-FR"/>
        </w:rPr>
        <w:t xml:space="preserve"> janvier 2016. Le 15 septembre 2015, le logiciel d'enregistrement des nanomatériaux a été lancé </w:t>
      </w:r>
      <w:r w:rsidR="00AE165A" w:rsidRPr="00BD15C9">
        <w:rPr>
          <w:vertAlign w:val="superscript"/>
          <w:lang w:val="fr-FR"/>
        </w:rPr>
        <w:t>21</w:t>
      </w:r>
      <w:r w:rsidRPr="00BD15C9">
        <w:rPr>
          <w:lang w:val="fr-FR"/>
        </w:rPr>
        <w:t xml:space="preserve">. </w:t>
      </w:r>
      <w:r w:rsidR="00CC2D17">
        <w:rPr>
          <w:lang w:val="fr-FR"/>
        </w:rPr>
        <w:t>Suite à la modification de cet arrêté royal le 22 décembre 2017, la date limite d’enregistrement pour les mélanges a été reportée au 31 décembre 2017. Tous les mélanges déjà présent</w:t>
      </w:r>
      <w:r w:rsidR="006B655F">
        <w:rPr>
          <w:lang w:val="fr-FR"/>
        </w:rPr>
        <w:t>s</w:t>
      </w:r>
      <w:r w:rsidR="00CC2D17">
        <w:rPr>
          <w:lang w:val="fr-FR"/>
        </w:rPr>
        <w:t xml:space="preserve"> sur le marché belge devai</w:t>
      </w:r>
      <w:r w:rsidR="006B655F">
        <w:rPr>
          <w:lang w:val="fr-FR"/>
        </w:rPr>
        <w:t>en</w:t>
      </w:r>
      <w:r w:rsidR="00CC2D17">
        <w:rPr>
          <w:lang w:val="fr-FR"/>
        </w:rPr>
        <w:t>t donc être enregistré</w:t>
      </w:r>
      <w:r w:rsidR="006B655F">
        <w:rPr>
          <w:lang w:val="fr-FR"/>
        </w:rPr>
        <w:t>s</w:t>
      </w:r>
      <w:r w:rsidR="00CC2D17">
        <w:rPr>
          <w:lang w:val="fr-FR"/>
        </w:rPr>
        <w:t xml:space="preserve"> au plus tard fin 2017.</w:t>
      </w:r>
    </w:p>
    <w:p w14:paraId="410FDC55" w14:textId="77777777" w:rsidR="001A254B" w:rsidRPr="00BD15C9" w:rsidRDefault="001A254B" w:rsidP="006330E0">
      <w:pPr>
        <w:jc w:val="both"/>
        <w:rPr>
          <w:lang w:val="fr-FR"/>
        </w:rPr>
      </w:pPr>
    </w:p>
    <w:p w14:paraId="095554C3" w14:textId="61C03BA6" w:rsidR="007676DD" w:rsidRPr="00BD15C9" w:rsidRDefault="00435A25" w:rsidP="00BB22C7">
      <w:pPr>
        <w:pStyle w:val="Titre1"/>
        <w:rPr>
          <w:lang w:val="fr-FR"/>
        </w:rPr>
      </w:pPr>
      <w:bookmarkStart w:id="13" w:name="_Toc76034149"/>
      <w:r w:rsidRPr="00BD15C9">
        <w:rPr>
          <w:lang w:val="fr-FR"/>
        </w:rPr>
        <w:t>Le registre belge des nanomatériaux</w:t>
      </w:r>
      <w:bookmarkEnd w:id="13"/>
    </w:p>
    <w:p w14:paraId="34AF359F" w14:textId="2A618969" w:rsidR="00E87A34" w:rsidRPr="00A92709" w:rsidRDefault="00D24B07" w:rsidP="00A92709">
      <w:pPr>
        <w:pStyle w:val="Titre2"/>
      </w:pPr>
      <w:bookmarkStart w:id="14" w:name="_Toc76034150"/>
      <w:r w:rsidRPr="00BD15C9">
        <w:t>Objectifs</w:t>
      </w:r>
      <w:bookmarkEnd w:id="14"/>
    </w:p>
    <w:p w14:paraId="31D75FAB" w14:textId="712507F5" w:rsidR="007676DD" w:rsidRPr="00BD15C9" w:rsidRDefault="005B6005" w:rsidP="005B6005">
      <w:pPr>
        <w:jc w:val="both"/>
        <w:rPr>
          <w:lang w:val="fr-FR"/>
        </w:rPr>
      </w:pPr>
      <w:r w:rsidRPr="00BD15C9">
        <w:rPr>
          <w:lang w:val="fr-FR"/>
        </w:rPr>
        <w:t xml:space="preserve">L'AR relatif à la mise sur le marché des substances manufacturées à l'état nanoparticulaire a été signé le 27 mai 2014. </w:t>
      </w:r>
    </w:p>
    <w:p w14:paraId="2E7DE8E1" w14:textId="332D3616" w:rsidR="005B6005" w:rsidRPr="00BD15C9" w:rsidRDefault="005B6005" w:rsidP="005B6005">
      <w:pPr>
        <w:jc w:val="both"/>
        <w:rPr>
          <w:lang w:val="fr-FR"/>
        </w:rPr>
      </w:pPr>
      <w:r w:rsidRPr="00BD15C9">
        <w:rPr>
          <w:lang w:val="fr-FR"/>
        </w:rPr>
        <w:t xml:space="preserve">Cet arrêté royal repose, d'une part sur la loi du 21 décembre 1998 relative aux normes de produits ayant pour but la promotion de modes de production et de consommation durables, ainsi que la protection de l'environnement, de la santé publique et des travailleurs et, d'autre part sur la loi du 4 août 1996 relative au bien-être des travailleurs lors de l'exécution de leur travail. </w:t>
      </w:r>
    </w:p>
    <w:p w14:paraId="2F5BDDB3" w14:textId="77777777" w:rsidR="00576467" w:rsidRPr="00BD15C9" w:rsidRDefault="00933736" w:rsidP="007676DD">
      <w:pPr>
        <w:rPr>
          <w:lang w:val="fr-FR"/>
        </w:rPr>
      </w:pPr>
      <w:r w:rsidRPr="00BD15C9">
        <w:rPr>
          <w:lang w:val="fr-FR"/>
        </w:rPr>
        <w:t>La création du registre poursuit les objectifs suivants :</w:t>
      </w:r>
    </w:p>
    <w:p w14:paraId="25FFFDCF" w14:textId="3FD82C11" w:rsidR="00550952" w:rsidRPr="00666043" w:rsidRDefault="00F83FD0" w:rsidP="001F569C">
      <w:pPr>
        <w:ind w:left="567"/>
        <w:jc w:val="both"/>
        <w:rPr>
          <w:lang w:val="fr-FR"/>
        </w:rPr>
      </w:pPr>
      <w:r w:rsidRPr="00666043">
        <w:rPr>
          <w:lang w:val="fr-FR"/>
        </w:rPr>
        <w:t xml:space="preserve">1° </w:t>
      </w:r>
      <w:r w:rsidR="001F124F">
        <w:rPr>
          <w:lang w:val="fr-FR"/>
        </w:rPr>
        <w:t>V</w:t>
      </w:r>
      <w:r w:rsidRPr="00666043">
        <w:rPr>
          <w:lang w:val="fr-FR"/>
        </w:rPr>
        <w:t>eiller à ce que l’évolution de cette technologie innovante s’effectue en harmonie avec la préservation de la santé humaine;</w:t>
      </w:r>
    </w:p>
    <w:p w14:paraId="6782590C" w14:textId="631F57F9" w:rsidR="00550952" w:rsidRPr="00666043" w:rsidRDefault="00F83FD0" w:rsidP="001F569C">
      <w:pPr>
        <w:ind w:left="567"/>
        <w:jc w:val="both"/>
        <w:rPr>
          <w:lang w:val="fr-FR"/>
        </w:rPr>
      </w:pPr>
      <w:r w:rsidRPr="00666043">
        <w:rPr>
          <w:lang w:val="fr-FR"/>
        </w:rPr>
        <w:t xml:space="preserve">2° </w:t>
      </w:r>
      <w:r w:rsidR="001F124F">
        <w:rPr>
          <w:lang w:val="fr-FR"/>
        </w:rPr>
        <w:t>A</w:t>
      </w:r>
      <w:r w:rsidRPr="00666043">
        <w:rPr>
          <w:lang w:val="fr-FR"/>
        </w:rPr>
        <w:t>cquérir une meilleure connaissance du marché, des caractéristiques des nanomatériaux, du risque potentiel d’exposition des personnes à ces substances, ainsi que de la vitesse et l’ampleur de l’évolution vers des nanomatériaux plus complexes;</w:t>
      </w:r>
    </w:p>
    <w:p w14:paraId="06F4A43A" w14:textId="7D46AF05" w:rsidR="00550952" w:rsidRPr="00666043" w:rsidRDefault="00F83FD0" w:rsidP="001F569C">
      <w:pPr>
        <w:ind w:left="567"/>
        <w:jc w:val="both"/>
        <w:rPr>
          <w:lang w:val="fr-FR"/>
        </w:rPr>
      </w:pPr>
      <w:r w:rsidRPr="00666043">
        <w:rPr>
          <w:lang w:val="fr-FR"/>
        </w:rPr>
        <w:t xml:space="preserve">3° </w:t>
      </w:r>
      <w:r w:rsidR="001F124F">
        <w:rPr>
          <w:lang w:val="fr-FR"/>
        </w:rPr>
        <w:t>A</w:t>
      </w:r>
      <w:r w:rsidRPr="00666043">
        <w:rPr>
          <w:lang w:val="fr-FR"/>
        </w:rPr>
        <w:t>ssurer la transparence et renforcer la confiance du public et des travailleurs vis-à-vis de ces substances;</w:t>
      </w:r>
    </w:p>
    <w:p w14:paraId="69476F80" w14:textId="1BB54280" w:rsidR="00550952" w:rsidRPr="00666043" w:rsidRDefault="00F83FD0" w:rsidP="001F569C">
      <w:pPr>
        <w:ind w:left="567"/>
        <w:jc w:val="both"/>
        <w:rPr>
          <w:lang w:val="fr-FR"/>
        </w:rPr>
      </w:pPr>
      <w:r w:rsidRPr="00666043">
        <w:rPr>
          <w:lang w:val="fr-FR"/>
        </w:rPr>
        <w:t xml:space="preserve">4° </w:t>
      </w:r>
      <w:r w:rsidR="001F124F">
        <w:rPr>
          <w:lang w:val="fr-FR"/>
        </w:rPr>
        <w:t>A</w:t>
      </w:r>
      <w:r w:rsidRPr="00666043">
        <w:rPr>
          <w:lang w:val="fr-FR"/>
        </w:rPr>
        <w:t>ssurer la traçabilité et, par conséquent, rendre l’intervention des autorités possible en cas de risque pour la santé publique ou la sécurité des travailleurs;</w:t>
      </w:r>
    </w:p>
    <w:p w14:paraId="28E91543" w14:textId="13C4E51F" w:rsidR="00550952" w:rsidRPr="00666043" w:rsidRDefault="00F83FD0" w:rsidP="001F569C">
      <w:pPr>
        <w:ind w:left="567"/>
        <w:jc w:val="both"/>
        <w:rPr>
          <w:lang w:val="fr-FR"/>
        </w:rPr>
      </w:pPr>
      <w:r w:rsidRPr="00666043">
        <w:rPr>
          <w:lang w:val="fr-FR"/>
        </w:rPr>
        <w:t xml:space="preserve">5° </w:t>
      </w:r>
      <w:r w:rsidR="001F124F">
        <w:rPr>
          <w:lang w:val="fr-FR"/>
        </w:rPr>
        <w:t>M</w:t>
      </w:r>
      <w:r w:rsidRPr="00666043">
        <w:rPr>
          <w:lang w:val="fr-FR"/>
        </w:rPr>
        <w:t>ettre en place une base de connaissances qui pourrait être nécessaire à l’évolution r</w:t>
      </w:r>
      <w:r w:rsidR="00BD2C8D" w:rsidRPr="00666043">
        <w:rPr>
          <w:lang w:val="fr-FR"/>
        </w:rPr>
        <w:t>é</w:t>
      </w:r>
      <w:r w:rsidRPr="00666043">
        <w:rPr>
          <w:lang w:val="fr-FR"/>
        </w:rPr>
        <w:t>glementaire future au niveau national et européen en ce qui concerne ces substances.</w:t>
      </w:r>
    </w:p>
    <w:p w14:paraId="585EDE91" w14:textId="2A7CB68B" w:rsidR="00550952" w:rsidRPr="00666043" w:rsidRDefault="00550952" w:rsidP="00550952">
      <w:pPr>
        <w:jc w:val="both"/>
        <w:rPr>
          <w:lang w:val="fr-FR"/>
        </w:rPr>
      </w:pPr>
      <w:r w:rsidRPr="00666043">
        <w:rPr>
          <w:lang w:val="fr-FR"/>
        </w:rPr>
        <w:lastRenderedPageBreak/>
        <w:t>Concrètement, ce registre devrait notamment permettre d’assurer la traçabilité des produits contenant des substances manufacturées à l’état nanoparticulaire, de manière à :</w:t>
      </w:r>
    </w:p>
    <w:p w14:paraId="2A212810" w14:textId="039687B8" w:rsidR="00550952" w:rsidRPr="00666043" w:rsidRDefault="00F83FD0" w:rsidP="001F569C">
      <w:pPr>
        <w:ind w:left="567"/>
        <w:jc w:val="both"/>
        <w:rPr>
          <w:lang w:val="fr-FR"/>
        </w:rPr>
      </w:pPr>
      <w:r w:rsidRPr="00666043">
        <w:rPr>
          <w:lang w:val="fr-FR"/>
        </w:rPr>
        <w:t xml:space="preserve">1° </w:t>
      </w:r>
      <w:r w:rsidR="001F124F">
        <w:rPr>
          <w:lang w:val="fr-FR"/>
        </w:rPr>
        <w:t>P</w:t>
      </w:r>
      <w:r w:rsidRPr="00666043">
        <w:rPr>
          <w:lang w:val="fr-FR"/>
        </w:rPr>
        <w:t>ouvoir agir sans perdre de temps, si un type de nanomatériau s’avérait dangereux pour la santé publique;</w:t>
      </w:r>
    </w:p>
    <w:p w14:paraId="61738AEF" w14:textId="40E14CD3" w:rsidR="00550952" w:rsidRPr="00666043" w:rsidRDefault="00F83FD0" w:rsidP="001F569C">
      <w:pPr>
        <w:ind w:left="567"/>
        <w:jc w:val="both"/>
        <w:rPr>
          <w:lang w:val="fr-FR"/>
        </w:rPr>
      </w:pPr>
      <w:r w:rsidRPr="00666043">
        <w:rPr>
          <w:lang w:val="fr-FR"/>
        </w:rPr>
        <w:t xml:space="preserve">2° </w:t>
      </w:r>
      <w:r w:rsidR="001F124F">
        <w:rPr>
          <w:lang w:val="fr-FR"/>
        </w:rPr>
        <w:t>F</w:t>
      </w:r>
      <w:r w:rsidRPr="00666043">
        <w:rPr>
          <w:lang w:val="fr-FR"/>
        </w:rPr>
        <w:t>ournir aux autorités chargées de la sécurité des travailleurs les informations pertinentes pour qu’elles puissent opérer les contrôles nécessaires;</w:t>
      </w:r>
    </w:p>
    <w:p w14:paraId="3F9AF95E" w14:textId="1E4D1039" w:rsidR="00550952" w:rsidRPr="00666043" w:rsidRDefault="00F83FD0" w:rsidP="001F569C">
      <w:pPr>
        <w:ind w:left="567"/>
        <w:jc w:val="both"/>
        <w:rPr>
          <w:lang w:val="fr-FR"/>
        </w:rPr>
      </w:pPr>
      <w:r w:rsidRPr="00666043">
        <w:rPr>
          <w:lang w:val="fr-FR"/>
        </w:rPr>
        <w:t xml:space="preserve">3° </w:t>
      </w:r>
      <w:r w:rsidR="001F124F">
        <w:rPr>
          <w:lang w:val="fr-FR"/>
        </w:rPr>
        <w:t>L</w:t>
      </w:r>
      <w:r w:rsidRPr="00666043">
        <w:rPr>
          <w:lang w:val="fr-FR"/>
        </w:rPr>
        <w:t>e cas échéant, publier les informations réunies (données non confidentielles ou données agrégées), de manière à informer la population de la présence croissante de nanomatériaux</w:t>
      </w:r>
      <w:r w:rsidR="00084820" w:rsidRPr="00666043">
        <w:rPr>
          <w:lang w:val="fr-FR"/>
        </w:rPr>
        <w:t xml:space="preserve">, </w:t>
      </w:r>
      <w:r w:rsidRPr="00666043">
        <w:rPr>
          <w:lang w:val="fr-FR"/>
        </w:rPr>
        <w:t>mais aussi à éviter les malentendus et amalgames.</w:t>
      </w:r>
    </w:p>
    <w:p w14:paraId="6FA3048D" w14:textId="32CB0D22" w:rsidR="00550952" w:rsidRPr="00666043" w:rsidRDefault="00550952" w:rsidP="00550952">
      <w:pPr>
        <w:jc w:val="both"/>
        <w:rPr>
          <w:lang w:val="fr-FR"/>
        </w:rPr>
      </w:pPr>
      <w:r w:rsidRPr="00666043">
        <w:rPr>
          <w:lang w:val="fr-FR"/>
        </w:rPr>
        <w:t>Par ailleurs, le registre devrait permettre aux autorités de réunir les informations de base concernant les substances manufacturées à l’état nanoparticulaire présentes sur le marché belge, de manière à :</w:t>
      </w:r>
    </w:p>
    <w:p w14:paraId="604A274F" w14:textId="0D741ED2" w:rsidR="00550952" w:rsidRPr="00666043" w:rsidRDefault="00550952" w:rsidP="001F569C">
      <w:pPr>
        <w:ind w:left="567"/>
        <w:jc w:val="both"/>
        <w:rPr>
          <w:lang w:val="fr-FR"/>
        </w:rPr>
      </w:pPr>
      <w:r w:rsidRPr="00666043">
        <w:rPr>
          <w:lang w:val="fr-FR"/>
        </w:rPr>
        <w:t xml:space="preserve">1° </w:t>
      </w:r>
      <w:r w:rsidR="001F124F">
        <w:rPr>
          <w:lang w:val="fr-FR"/>
        </w:rPr>
        <w:t>D</w:t>
      </w:r>
      <w:r w:rsidRPr="00666043">
        <w:rPr>
          <w:lang w:val="fr-FR"/>
        </w:rPr>
        <w:t>isposer de bases pour la recherche scientifique relative à la toxicité éventuelle des différents types de substances manufacturées à l’état nanoparticulaire concernées</w:t>
      </w:r>
      <w:r w:rsidR="00BD15C9" w:rsidRPr="00666043">
        <w:rPr>
          <w:lang w:val="fr-FR"/>
        </w:rPr>
        <w:t> </w:t>
      </w:r>
      <w:r w:rsidRPr="00666043">
        <w:rPr>
          <w:lang w:val="fr-FR"/>
        </w:rPr>
        <w:t>;</w:t>
      </w:r>
    </w:p>
    <w:p w14:paraId="340AA648" w14:textId="3ACF1609" w:rsidR="00550952" w:rsidRPr="00666043" w:rsidRDefault="00F83FD0" w:rsidP="001F569C">
      <w:pPr>
        <w:ind w:left="567"/>
        <w:jc w:val="both"/>
        <w:rPr>
          <w:lang w:val="fr-FR"/>
        </w:rPr>
      </w:pPr>
      <w:r w:rsidRPr="00666043">
        <w:rPr>
          <w:lang w:val="fr-FR"/>
        </w:rPr>
        <w:t xml:space="preserve">2° </w:t>
      </w:r>
      <w:r w:rsidR="001F124F">
        <w:rPr>
          <w:lang w:val="fr-FR"/>
        </w:rPr>
        <w:t>L</w:t>
      </w:r>
      <w:r w:rsidRPr="00666043">
        <w:rPr>
          <w:lang w:val="fr-FR"/>
        </w:rPr>
        <w:t>e cas échéant, être en mesure de cibler les r</w:t>
      </w:r>
      <w:r w:rsidR="00BD2C8D" w:rsidRPr="00666043">
        <w:rPr>
          <w:lang w:val="fr-FR"/>
        </w:rPr>
        <w:t>é</w:t>
      </w:r>
      <w:r w:rsidRPr="00666043">
        <w:rPr>
          <w:lang w:val="fr-FR"/>
        </w:rPr>
        <w:t>glementations qui s’av</w:t>
      </w:r>
      <w:r w:rsidR="00BD2C8D" w:rsidRPr="00666043">
        <w:rPr>
          <w:lang w:val="fr-FR"/>
        </w:rPr>
        <w:t>é</w:t>
      </w:r>
      <w:r w:rsidRPr="00666043">
        <w:rPr>
          <w:lang w:val="fr-FR"/>
        </w:rPr>
        <w:t>reraient nécessaires pour protéger la santé publique et la santé des travailleurs vis-à-vis de certains types de substances manufacturées à l’état nanoparticulaire.</w:t>
      </w:r>
    </w:p>
    <w:p w14:paraId="1C4C0D8A" w14:textId="77777777" w:rsidR="0035467E" w:rsidRPr="00BD15C9" w:rsidRDefault="0035467E" w:rsidP="00F15D1C">
      <w:pPr>
        <w:jc w:val="both"/>
        <w:rPr>
          <w:lang w:val="fr-FR"/>
        </w:rPr>
      </w:pPr>
      <w:r w:rsidRPr="00BD15C9">
        <w:rPr>
          <w:lang w:val="fr-FR"/>
        </w:rPr>
        <w:t>Le présent rapport vise à assurer la transparence et renforcer la confiance du public et des travailleurs vis-à-vis des nanomatériaux.</w:t>
      </w:r>
    </w:p>
    <w:p w14:paraId="2CB02267" w14:textId="4FFB2596" w:rsidR="00D24B07" w:rsidRPr="00BD15C9" w:rsidRDefault="000932CA" w:rsidP="00B76985">
      <w:pPr>
        <w:pStyle w:val="Titre2"/>
      </w:pPr>
      <w:bookmarkStart w:id="15" w:name="_Toc76034151"/>
      <w:r w:rsidRPr="00BD15C9">
        <w:t>Notions clés et définitions</w:t>
      </w:r>
      <w:bookmarkEnd w:id="15"/>
    </w:p>
    <w:p w14:paraId="7C2496E4" w14:textId="4F1B9540" w:rsidR="00235400" w:rsidRPr="00BD15C9" w:rsidRDefault="00235400" w:rsidP="00C95796">
      <w:pPr>
        <w:pStyle w:val="Titre3"/>
      </w:pPr>
      <w:bookmarkStart w:id="16" w:name="_Toc76034152"/>
      <w:r w:rsidRPr="00BD15C9">
        <w:t>Définition d'une substance à l'état nanoparticulaire</w:t>
      </w:r>
      <w:bookmarkEnd w:id="16"/>
    </w:p>
    <w:p w14:paraId="22BDA1FD" w14:textId="384F4533" w:rsidR="00235400" w:rsidRPr="00BD15C9" w:rsidRDefault="00235400" w:rsidP="00235400">
      <w:pPr>
        <w:jc w:val="both"/>
        <w:rPr>
          <w:lang w:val="fr-FR"/>
        </w:rPr>
      </w:pPr>
      <w:r w:rsidRPr="00BD15C9">
        <w:rPr>
          <w:lang w:val="fr-FR"/>
        </w:rPr>
        <w:t>L'AR du 27 mai 2014 donne une définition de ce qu'est une substance à l'état nanoparticulaire. Cette définition repose, en grande partie, sur la recommandation de définition de la Commission européenne (Recommandation 2011/696/EU), mais exclut, bien sûr, les nanomatériaux naturels et les nanomatériaux qui sont des sous-produits d'une activité humaine.</w:t>
      </w:r>
    </w:p>
    <w:p w14:paraId="5FFC35CF" w14:textId="62EA9CC1" w:rsidR="00235400" w:rsidRPr="00BD15C9" w:rsidRDefault="00235400" w:rsidP="00235400">
      <w:pPr>
        <w:jc w:val="both"/>
        <w:rPr>
          <w:lang w:val="fr-FR"/>
        </w:rPr>
      </w:pPr>
      <w:r w:rsidRPr="00BD15C9">
        <w:rPr>
          <w:lang w:val="fr-FR"/>
        </w:rPr>
        <w:t>Une substance contenant des particules non liées ou sous forme d'agrégat ou d'agglomérat, dont une proportion de minimum cinquante pour cent, dans la distribution de tailles en nombre, présente une ou plusieurs dimensions externes se situant entre un nanomètre et cent nanomètres, à l'exclusion des substances naturelles non modifiées chimiquement, et des substances dont la fraction entre un nanomètre et cent nanomètres est un sous-produit d'une activité humaine. Sont assimilés aux substances manufacturées à l'état nanoparticulaire les fullerènes, les flocons de graphène et les nanotubes de carbone à paroi simple présentant une ou plusieurs dimensions externes inférieures à un nanomètre.</w:t>
      </w:r>
    </w:p>
    <w:p w14:paraId="69A92A4D" w14:textId="6747F7E2" w:rsidR="00235400" w:rsidRPr="00BD15C9" w:rsidRDefault="00235400" w:rsidP="00C95796">
      <w:pPr>
        <w:pStyle w:val="Titre3"/>
      </w:pPr>
      <w:bookmarkStart w:id="17" w:name="_Ref74734426"/>
      <w:bookmarkStart w:id="18" w:name="_Toc76034153"/>
      <w:r w:rsidRPr="00BD15C9">
        <w:t>Exemptions d'enregistrement</w:t>
      </w:r>
      <w:bookmarkEnd w:id="17"/>
      <w:bookmarkEnd w:id="18"/>
    </w:p>
    <w:p w14:paraId="19C8BF97" w14:textId="36777166" w:rsidR="00235400" w:rsidRPr="00BD15C9" w:rsidRDefault="00235400" w:rsidP="00235400">
      <w:pPr>
        <w:jc w:val="both"/>
        <w:rPr>
          <w:lang w:val="fr-FR"/>
        </w:rPr>
      </w:pPr>
      <w:r w:rsidRPr="00BD15C9">
        <w:rPr>
          <w:lang w:val="fr-FR"/>
        </w:rPr>
        <w:t>Dans l'AR du 27 mai, les substances manufacturées à l'état nanoparticulaire sont exemptées d'enregistrement si ces substances tombent dans le champ d'application d'une autre législation. Cela concerne plus concrèteme</w:t>
      </w:r>
      <w:r w:rsidR="00BD15C9">
        <w:rPr>
          <w:lang w:val="fr-FR"/>
        </w:rPr>
        <w:t>nt.</w:t>
      </w:r>
    </w:p>
    <w:p w14:paraId="3762985A" w14:textId="6135668B" w:rsidR="00F83FD0" w:rsidRPr="002927B8" w:rsidRDefault="00F83FD0" w:rsidP="00C66265">
      <w:pPr>
        <w:pStyle w:val="Paragraphedeliste"/>
        <w:numPr>
          <w:ilvl w:val="0"/>
          <w:numId w:val="28"/>
        </w:numPr>
        <w:jc w:val="both"/>
        <w:rPr>
          <w:lang w:val="fr-FR"/>
        </w:rPr>
      </w:pPr>
      <w:r w:rsidRPr="002927B8">
        <w:rPr>
          <w:lang w:val="fr-FR"/>
        </w:rPr>
        <w:lastRenderedPageBreak/>
        <w:t>Les produits biocides et les articles traités qui entrent dans le champ d’application du Règlement (UE) n° 528/2012 du Parlement européen et du Conseil du 22 mai 2012 concernant la mise à disposition sur le marché et l’utilisation des produits biocides, et les produits biocides qui ont fait l’objet d’un enregistrement ou une autorisation conformément aux dispositions de l’arrêté royal du 22 mai 2003 concernant la mise sur le marché et l’utilisation des produits biocides</w:t>
      </w:r>
      <w:r w:rsidR="00BD15C9" w:rsidRPr="002927B8">
        <w:rPr>
          <w:lang w:val="fr-FR"/>
        </w:rPr>
        <w:t xml:space="preserve"> </w:t>
      </w:r>
      <w:r w:rsidRPr="002927B8">
        <w:rPr>
          <w:lang w:val="fr-FR"/>
        </w:rPr>
        <w:t>;</w:t>
      </w:r>
    </w:p>
    <w:p w14:paraId="71B1E889" w14:textId="191BF1C3" w:rsidR="00F83FD0" w:rsidRPr="002927B8" w:rsidRDefault="00F83FD0" w:rsidP="00C66265">
      <w:pPr>
        <w:pStyle w:val="Paragraphedeliste"/>
        <w:numPr>
          <w:ilvl w:val="0"/>
          <w:numId w:val="28"/>
        </w:numPr>
        <w:jc w:val="both"/>
        <w:rPr>
          <w:lang w:val="fr-FR"/>
        </w:rPr>
      </w:pPr>
      <w:r w:rsidRPr="002927B8">
        <w:rPr>
          <w:lang w:val="fr-FR"/>
        </w:rPr>
        <w:t>Les médicaments qui entrent dans le champ d’application du Règlement (CE) n° 726/2004 du Parlement européen et du Conseil du 31 mars 2004 établissant des procédures communautaires pour l’autorisation et la surveillance en ce qui concerne les médicaments à usage humain et à usage vétérinaire, et instituant une Agence européenne des médicaments</w:t>
      </w:r>
      <w:r w:rsidR="00BD15C9" w:rsidRPr="002927B8">
        <w:rPr>
          <w:lang w:val="fr-FR"/>
        </w:rPr>
        <w:t xml:space="preserve"> </w:t>
      </w:r>
      <w:r w:rsidRPr="002927B8">
        <w:rPr>
          <w:lang w:val="fr-FR"/>
        </w:rPr>
        <w:t>;</w:t>
      </w:r>
    </w:p>
    <w:p w14:paraId="579A024B" w14:textId="13A0C115" w:rsidR="00F83FD0" w:rsidRPr="002927B8" w:rsidRDefault="00F83FD0" w:rsidP="00C66265">
      <w:pPr>
        <w:pStyle w:val="Paragraphedeliste"/>
        <w:numPr>
          <w:ilvl w:val="0"/>
          <w:numId w:val="28"/>
        </w:numPr>
        <w:jc w:val="both"/>
        <w:rPr>
          <w:lang w:val="fr-FR"/>
        </w:rPr>
      </w:pPr>
      <w:r w:rsidRPr="002927B8">
        <w:rPr>
          <w:lang w:val="fr-FR"/>
        </w:rPr>
        <w:t>Les médicaments à usage humain et les médicaments à usage vétérinaire qui entrent dans le champ d’application de l’arrêté royal du 14 décembre 2006 relatif aux médicaments à usage humain et vétérinaire</w:t>
      </w:r>
      <w:r w:rsidR="00BD15C9" w:rsidRPr="002927B8">
        <w:rPr>
          <w:lang w:val="fr-FR"/>
        </w:rPr>
        <w:t xml:space="preserve"> </w:t>
      </w:r>
      <w:r w:rsidRPr="002927B8">
        <w:rPr>
          <w:lang w:val="fr-FR"/>
        </w:rPr>
        <w:t>;</w:t>
      </w:r>
    </w:p>
    <w:p w14:paraId="4E04A75F" w14:textId="5441A8EA" w:rsidR="00F83FD0" w:rsidRPr="002927B8" w:rsidRDefault="00F83FD0" w:rsidP="00C66265">
      <w:pPr>
        <w:pStyle w:val="Paragraphedeliste"/>
        <w:numPr>
          <w:ilvl w:val="0"/>
          <w:numId w:val="28"/>
        </w:numPr>
        <w:jc w:val="both"/>
        <w:rPr>
          <w:lang w:val="fr-FR"/>
        </w:rPr>
      </w:pPr>
      <w:r w:rsidRPr="002927B8">
        <w:rPr>
          <w:lang w:val="fr-FR"/>
        </w:rPr>
        <w:t>Les denrées alimentaires et les matières et objets destinés à entrer en contact avec les denrées alimentaires, visés à l’article 1er, 1° et 2°, b) de la loi du 24 janvier 1977 relative à la protection de la santé des consommateurs en ce qui concerne les denrées alimentaires et les autres produits</w:t>
      </w:r>
      <w:r w:rsidR="00BD15C9" w:rsidRPr="002927B8">
        <w:rPr>
          <w:lang w:val="fr-FR"/>
        </w:rPr>
        <w:t xml:space="preserve"> </w:t>
      </w:r>
      <w:r w:rsidRPr="002927B8">
        <w:rPr>
          <w:lang w:val="fr-FR"/>
        </w:rPr>
        <w:t>;</w:t>
      </w:r>
    </w:p>
    <w:p w14:paraId="2DD73385" w14:textId="58ABDCC7" w:rsidR="00F83FD0" w:rsidRPr="002927B8" w:rsidRDefault="00F83FD0" w:rsidP="00C66265">
      <w:pPr>
        <w:pStyle w:val="Paragraphedeliste"/>
        <w:numPr>
          <w:ilvl w:val="0"/>
          <w:numId w:val="28"/>
        </w:numPr>
        <w:jc w:val="both"/>
        <w:rPr>
          <w:lang w:val="fr-FR"/>
        </w:rPr>
      </w:pPr>
      <w:r w:rsidRPr="002927B8">
        <w:rPr>
          <w:lang w:val="fr-FR"/>
        </w:rPr>
        <w:t>Les aliments pour animaux, tels que définis à l’article 3 du Règlement (CE) n° 178/2002 du Parlement européen et du Conseil du 28 janvier 2002 établissant les principes généraux et les prescriptions générales de la législation alimentaire, instituant l’Autorité européenne de sécurité des aliments et fixant des procédures relatives à la sécurité des denrées alimentaires</w:t>
      </w:r>
      <w:r w:rsidR="00BD15C9" w:rsidRPr="002927B8">
        <w:rPr>
          <w:lang w:val="fr-FR"/>
        </w:rPr>
        <w:t xml:space="preserve"> </w:t>
      </w:r>
      <w:r w:rsidRPr="002927B8">
        <w:rPr>
          <w:lang w:val="fr-FR"/>
        </w:rPr>
        <w:t>;</w:t>
      </w:r>
    </w:p>
    <w:p w14:paraId="5D7CBC88" w14:textId="75FA050D" w:rsidR="00F83FD0" w:rsidRPr="002927B8" w:rsidRDefault="00F83FD0" w:rsidP="00C66265">
      <w:pPr>
        <w:pStyle w:val="Paragraphedeliste"/>
        <w:numPr>
          <w:ilvl w:val="0"/>
          <w:numId w:val="28"/>
        </w:numPr>
        <w:jc w:val="both"/>
        <w:rPr>
          <w:lang w:val="fr-FR"/>
        </w:rPr>
      </w:pPr>
      <w:r w:rsidRPr="002927B8">
        <w:rPr>
          <w:lang w:val="fr-FR"/>
        </w:rPr>
        <w:t>Les médicaments et aliments médicamenteux pour animaux qui entrent dans le champ d’application de la loi du 21 juin 1983 relative aux aliments médicamenteux pour animaux</w:t>
      </w:r>
      <w:r w:rsidR="00BD15C9" w:rsidRPr="002927B8">
        <w:rPr>
          <w:lang w:val="fr-FR"/>
        </w:rPr>
        <w:t xml:space="preserve"> </w:t>
      </w:r>
      <w:r w:rsidRPr="002927B8">
        <w:rPr>
          <w:lang w:val="fr-FR"/>
        </w:rPr>
        <w:t>;</w:t>
      </w:r>
    </w:p>
    <w:p w14:paraId="2D84E90A" w14:textId="601682FB" w:rsidR="00F83FD0" w:rsidRPr="002927B8" w:rsidRDefault="00F83FD0" w:rsidP="00C66265">
      <w:pPr>
        <w:pStyle w:val="Paragraphedeliste"/>
        <w:numPr>
          <w:ilvl w:val="0"/>
          <w:numId w:val="28"/>
        </w:numPr>
        <w:jc w:val="both"/>
        <w:rPr>
          <w:lang w:val="fr-FR"/>
        </w:rPr>
      </w:pPr>
      <w:r w:rsidRPr="002927B8">
        <w:rPr>
          <w:lang w:val="fr-FR"/>
        </w:rPr>
        <w:t>Les auxiliaires technologiques et autres produits pouvant être utilisés pour la transformation d’ingrédients d’origine agricole produits selon le mode de production biologique, visés par la partie B de l’annexe VIII du Règlement (CE) n° 889/2008 de la Commission du 5 septembre 2008 portant modalités d’application du Règlement (CE) n° 834/2007 du Conseil relatif à la production biologique et à l’étiquetage des produits biologiques en ce qui concerne la production biologique, l’étiquetage et les contrôles</w:t>
      </w:r>
      <w:r w:rsidR="00BD15C9" w:rsidRPr="002927B8">
        <w:rPr>
          <w:lang w:val="fr-FR"/>
        </w:rPr>
        <w:t xml:space="preserve"> </w:t>
      </w:r>
      <w:r w:rsidRPr="002927B8">
        <w:rPr>
          <w:lang w:val="fr-FR"/>
        </w:rPr>
        <w:t>;</w:t>
      </w:r>
    </w:p>
    <w:p w14:paraId="15F5FC8C" w14:textId="14ED0A5E" w:rsidR="00F83FD0" w:rsidRPr="002927B8" w:rsidRDefault="00F83FD0" w:rsidP="00C66265">
      <w:pPr>
        <w:pStyle w:val="Paragraphedeliste"/>
        <w:numPr>
          <w:ilvl w:val="0"/>
          <w:numId w:val="28"/>
        </w:numPr>
        <w:jc w:val="both"/>
        <w:rPr>
          <w:lang w:val="fr-FR"/>
        </w:rPr>
      </w:pPr>
      <w:r w:rsidRPr="002927B8">
        <w:rPr>
          <w:lang w:val="fr-FR"/>
        </w:rPr>
        <w:t>Les pigments, lorsqu’ils sont mis sur le marché au sein d’un mélange, un article ou un objet complexe.</w:t>
      </w:r>
    </w:p>
    <w:p w14:paraId="4FDB666B" w14:textId="358D3681" w:rsidR="00D24B07" w:rsidRPr="00BD15C9" w:rsidRDefault="00A21CD7" w:rsidP="00C95796">
      <w:pPr>
        <w:pStyle w:val="Titre3"/>
      </w:pPr>
      <w:bookmarkStart w:id="19" w:name="_Toc76034154"/>
      <w:r w:rsidRPr="00BD15C9">
        <w:t xml:space="preserve">Types de </w:t>
      </w:r>
      <w:r w:rsidR="00F82C9B">
        <w:t>comptes</w:t>
      </w:r>
      <w:bookmarkEnd w:id="19"/>
    </w:p>
    <w:p w14:paraId="2EF50804" w14:textId="77777777" w:rsidR="004432B2" w:rsidRPr="00BD15C9" w:rsidRDefault="004432B2" w:rsidP="00E67896">
      <w:pPr>
        <w:jc w:val="both"/>
        <w:rPr>
          <w:lang w:val="fr-FR"/>
        </w:rPr>
      </w:pPr>
      <w:r w:rsidRPr="00BD15C9">
        <w:rPr>
          <w:lang w:val="fr-FR"/>
        </w:rPr>
        <w:t xml:space="preserve">Dans le logiciel du registre belge, le déclarant crée lui-même son compte et prend lui-même en charge la gestion des utilisateurs et des mots de passe. </w:t>
      </w:r>
    </w:p>
    <w:p w14:paraId="09413F93" w14:textId="77777777" w:rsidR="00E67896" w:rsidRPr="00BD15C9" w:rsidRDefault="00E67896" w:rsidP="00E67896">
      <w:pPr>
        <w:jc w:val="both"/>
        <w:rPr>
          <w:lang w:val="fr-FR"/>
        </w:rPr>
      </w:pPr>
      <w:r w:rsidRPr="00BD15C9">
        <w:rPr>
          <w:lang w:val="fr-FR"/>
        </w:rPr>
        <w:t xml:space="preserve">Un </w:t>
      </w:r>
      <w:r w:rsidRPr="00BD15C9">
        <w:rPr>
          <w:u w:val="single"/>
          <w:lang w:val="fr-FR"/>
        </w:rPr>
        <w:t>compte</w:t>
      </w:r>
      <w:r w:rsidRPr="00BD15C9">
        <w:rPr>
          <w:lang w:val="fr-FR"/>
        </w:rPr>
        <w:t xml:space="preserve"> contient les informations nécessaires pour pouvoir identifier le déclarant, comme décrit dans la section 1 de l'annexe 1 ou 6 de l'AR du 27 mai 2014. Via son compte, le déclarant a accès au logiciel et peut soumettre un ou plusieurs enregistrements. </w:t>
      </w:r>
    </w:p>
    <w:p w14:paraId="27308DC5" w14:textId="16007F94" w:rsidR="00D24B07" w:rsidRPr="00BD15C9" w:rsidRDefault="00D24B07" w:rsidP="00D24B07">
      <w:pPr>
        <w:jc w:val="both"/>
        <w:rPr>
          <w:lang w:val="fr-FR"/>
        </w:rPr>
      </w:pPr>
      <w:r w:rsidRPr="00BD15C9">
        <w:rPr>
          <w:lang w:val="fr-FR"/>
        </w:rPr>
        <w:t>Dans le logiciel du registre, le déclarant a le choix entre 3 types de compte</w:t>
      </w:r>
      <w:r w:rsidR="00084820">
        <w:rPr>
          <w:lang w:val="fr-FR"/>
        </w:rPr>
        <w:t xml:space="preserve">s </w:t>
      </w:r>
      <w:r w:rsidRPr="00BD15C9">
        <w:rPr>
          <w:lang w:val="fr-FR"/>
        </w:rPr>
        <w:t>:</w:t>
      </w:r>
    </w:p>
    <w:p w14:paraId="0CBB8E38" w14:textId="74336BF4" w:rsidR="00D24B07" w:rsidRPr="00BD15C9" w:rsidRDefault="001F124F" w:rsidP="00D24B07">
      <w:pPr>
        <w:jc w:val="both"/>
        <w:rPr>
          <w:lang w:val="fr-FR"/>
        </w:rPr>
      </w:pPr>
      <w:r w:rsidRPr="001F569C">
        <w:rPr>
          <w:lang w:val="fr-FR"/>
        </w:rPr>
        <w:t xml:space="preserve">Le </w:t>
      </w:r>
      <w:r w:rsidR="00D24B07" w:rsidRPr="00BD15C9">
        <w:rPr>
          <w:u w:val="single"/>
          <w:lang w:val="fr-FR"/>
        </w:rPr>
        <w:t>Déclarant</w:t>
      </w:r>
      <w:r w:rsidR="00D62302" w:rsidRPr="00BD15C9">
        <w:rPr>
          <w:u w:val="single"/>
          <w:lang w:val="fr-FR"/>
        </w:rPr>
        <w:t> </w:t>
      </w:r>
      <w:r w:rsidR="00D24B07" w:rsidRPr="00BD15C9">
        <w:rPr>
          <w:lang w:val="fr-FR"/>
        </w:rPr>
        <w:t xml:space="preserve">: ce compte est obligatoire en vertu des dispositions de l'AR du 27 mai 2014 pour l'enregistrement des produits qu'il met sur le marché. Cette obligation découle du fait que le déclarant met lui-même des produits sur le marché belge, ou du fait qu'il agit en qualité de </w:t>
      </w:r>
      <w:r w:rsidR="00D24B07" w:rsidRPr="00BD15C9">
        <w:rPr>
          <w:u w:val="single"/>
          <w:lang w:val="fr-FR"/>
        </w:rPr>
        <w:t>représentant</w:t>
      </w:r>
      <w:r w:rsidR="00A21CD7" w:rsidRPr="00BD15C9">
        <w:rPr>
          <w:lang w:val="fr-FR"/>
        </w:rPr>
        <w:t xml:space="preserve"> d'une autre entreprise. Dans la suite du rapport, ces deux types de compte</w:t>
      </w:r>
      <w:r w:rsidR="00084820">
        <w:rPr>
          <w:lang w:val="fr-FR"/>
        </w:rPr>
        <w:t xml:space="preserve">s </w:t>
      </w:r>
      <w:r w:rsidR="00A21CD7" w:rsidRPr="00BD15C9">
        <w:rPr>
          <w:lang w:val="fr-FR"/>
        </w:rPr>
        <w:t>seront toujours considérés ensemble.</w:t>
      </w:r>
    </w:p>
    <w:p w14:paraId="124BB10B" w14:textId="6F4A99FA" w:rsidR="004432B2" w:rsidRPr="00BD15C9" w:rsidRDefault="00A21CD7" w:rsidP="00D24B07">
      <w:pPr>
        <w:jc w:val="both"/>
        <w:rPr>
          <w:lang w:val="fr-FR"/>
        </w:rPr>
      </w:pPr>
      <w:r w:rsidRPr="00BD15C9">
        <w:rPr>
          <w:lang w:val="fr-FR"/>
        </w:rPr>
        <w:lastRenderedPageBreak/>
        <w:t xml:space="preserve">Le </w:t>
      </w:r>
      <w:r w:rsidR="004C1861" w:rsidRPr="00BD15C9">
        <w:rPr>
          <w:u w:val="single"/>
          <w:lang w:val="fr-FR"/>
        </w:rPr>
        <w:t>Fournisseur étranger</w:t>
      </w:r>
      <w:r w:rsidR="00D62302" w:rsidRPr="00BD15C9">
        <w:rPr>
          <w:u w:val="single"/>
          <w:lang w:val="fr-FR"/>
        </w:rPr>
        <w:t> </w:t>
      </w:r>
      <w:r w:rsidRPr="00BD15C9">
        <w:rPr>
          <w:lang w:val="fr-FR"/>
        </w:rPr>
        <w:t xml:space="preserve">: en vertu des dispositions de l'AR du 27 mai </w:t>
      </w:r>
      <w:r w:rsidR="009B5D7A" w:rsidRPr="00BD15C9">
        <w:rPr>
          <w:lang w:val="fr-FR"/>
        </w:rPr>
        <w:t>2014,</w:t>
      </w:r>
      <w:r w:rsidRPr="00BD15C9">
        <w:rPr>
          <w:lang w:val="fr-FR"/>
        </w:rPr>
        <w:t xml:space="preserve"> il n'est pas soumis à l'obligation d'enregistrement parce qu'il ne met pas lui-même ses produits sur le marché belge. Il a la possibilité d'enregistrer ses produits dans le registre, en n'indiquant, à côté de l'identification de son entreprise, que les caractéristiques physiques et chimiques du nanomatériau comme stipulé à la section 2 de l’annexe 1 de l'AR du 27 mai 2014. Un fournisseur étranger ne doit pas enregistrer les quantités, les utilisations, les noms de marque ou les utilisateurs professionnels de ses produits. </w:t>
      </w:r>
    </w:p>
    <w:p w14:paraId="7CD3BD66" w14:textId="490F0C6A" w:rsidR="00875427" w:rsidRPr="00BD15C9" w:rsidRDefault="00875427" w:rsidP="00D24B07">
      <w:pPr>
        <w:jc w:val="both"/>
        <w:rPr>
          <w:lang w:val="fr-FR"/>
        </w:rPr>
      </w:pPr>
      <w:r w:rsidRPr="00BD15C9">
        <w:rPr>
          <w:lang w:val="fr-FR"/>
        </w:rPr>
        <w:t xml:space="preserve">Le Fournisseur étranger peut alors transmettre son numéro d'enregistrement à son/ses client(s) (soumis à l'obligation d'enregistrement). Ceux-ci peuvent ensuite enregistrer leurs produits en utilisant la procédure d'enregistrement ‘réduit’ (voir aussi </w:t>
      </w:r>
      <w:r w:rsidRPr="00BD15C9">
        <w:rPr>
          <w:i/>
          <w:lang w:val="fr-FR"/>
        </w:rPr>
        <w:t>§</w:t>
      </w:r>
      <w:r w:rsidR="0075447C">
        <w:rPr>
          <w:i/>
          <w:lang w:val="fr-FR"/>
        </w:rPr>
        <w:fldChar w:fldCharType="begin"/>
      </w:r>
      <w:r w:rsidR="0075447C">
        <w:rPr>
          <w:i/>
          <w:lang w:val="fr-FR"/>
        </w:rPr>
        <w:instrText xml:space="preserve"> REF _Ref74734378 \w \h </w:instrText>
      </w:r>
      <w:r w:rsidR="0075447C">
        <w:rPr>
          <w:i/>
          <w:lang w:val="fr-FR"/>
        </w:rPr>
      </w:r>
      <w:r w:rsidR="0075447C">
        <w:rPr>
          <w:i/>
          <w:lang w:val="fr-FR"/>
        </w:rPr>
        <w:fldChar w:fldCharType="separate"/>
      </w:r>
      <w:r w:rsidR="0075447C">
        <w:rPr>
          <w:i/>
          <w:lang w:val="fr-FR"/>
        </w:rPr>
        <w:t>3.2.4</w:t>
      </w:r>
      <w:r w:rsidR="0075447C">
        <w:rPr>
          <w:i/>
          <w:lang w:val="fr-FR"/>
        </w:rPr>
        <w:fldChar w:fldCharType="end"/>
      </w:r>
      <w:r w:rsidRPr="00BD15C9">
        <w:rPr>
          <w:i/>
          <w:lang w:val="fr-FR"/>
        </w:rPr>
        <w:t>Types d'enregistrement</w:t>
      </w:r>
      <w:r w:rsidRPr="00BD15C9">
        <w:rPr>
          <w:lang w:val="fr-FR"/>
        </w:rPr>
        <w:t xml:space="preserve">). De cette manière, ces clients ne doivent pas reprendre les caractéristiques physico-chimiques des substances manufacturées à l'état nanoparticulaire. </w:t>
      </w:r>
    </w:p>
    <w:p w14:paraId="6215DA0E" w14:textId="77777777" w:rsidR="00827288" w:rsidRPr="00BD15C9" w:rsidRDefault="00B3201E" w:rsidP="00D24B07">
      <w:pPr>
        <w:jc w:val="both"/>
        <w:rPr>
          <w:lang w:val="fr-FR"/>
        </w:rPr>
      </w:pPr>
      <w:r w:rsidRPr="00BD15C9">
        <w:rPr>
          <w:lang w:val="fr-FR"/>
        </w:rPr>
        <w:t xml:space="preserve">Le terme ’étranger’ mentionné dans le cadre de ce type de compte, indique que le fournisseur ne met pas ses produits sur le marché belge (mais bien à l'étranger), ce qui n'a rien à voir, in se, avec la nationalité de l'entreprise. </w:t>
      </w:r>
    </w:p>
    <w:p w14:paraId="7B5B296B" w14:textId="46197B83" w:rsidR="00D24B07" w:rsidRPr="00BD15C9" w:rsidRDefault="000932CA" w:rsidP="00C95796">
      <w:pPr>
        <w:pStyle w:val="Titre3"/>
      </w:pPr>
      <w:bookmarkStart w:id="20" w:name="_Ref74734346"/>
      <w:bookmarkStart w:id="21" w:name="_Ref74734358"/>
      <w:bookmarkStart w:id="22" w:name="_Ref74734369"/>
      <w:bookmarkStart w:id="23" w:name="_Ref74734378"/>
      <w:bookmarkStart w:id="24" w:name="_Ref74735039"/>
      <w:bookmarkStart w:id="25" w:name="_Toc76034155"/>
      <w:r w:rsidRPr="00BD15C9">
        <w:t>Types d'enregistrement</w:t>
      </w:r>
      <w:bookmarkEnd w:id="20"/>
      <w:bookmarkEnd w:id="21"/>
      <w:bookmarkEnd w:id="22"/>
      <w:bookmarkEnd w:id="23"/>
      <w:bookmarkEnd w:id="24"/>
      <w:bookmarkEnd w:id="25"/>
    </w:p>
    <w:p w14:paraId="7350E202" w14:textId="60566629" w:rsidR="000932CA" w:rsidRPr="00BD15C9" w:rsidRDefault="000932CA" w:rsidP="00B76985">
      <w:pPr>
        <w:jc w:val="both"/>
        <w:rPr>
          <w:lang w:val="fr-FR"/>
        </w:rPr>
      </w:pPr>
      <w:r w:rsidRPr="00BD15C9">
        <w:rPr>
          <w:lang w:val="fr-FR"/>
        </w:rPr>
        <w:t xml:space="preserve">Plusieurs types d'enregistrement sont possibles. Outre un </w:t>
      </w:r>
      <w:r w:rsidRPr="00B76985">
        <w:rPr>
          <w:b/>
          <w:lang w:val="fr-FR"/>
        </w:rPr>
        <w:t xml:space="preserve">enregistrement </w:t>
      </w:r>
      <w:r w:rsidR="009B5D7A" w:rsidRPr="00B76985">
        <w:rPr>
          <w:b/>
          <w:lang w:val="fr-FR"/>
        </w:rPr>
        <w:t>complet</w:t>
      </w:r>
      <w:r w:rsidR="009B5D7A" w:rsidRPr="00BD15C9">
        <w:rPr>
          <w:lang w:val="fr-FR"/>
        </w:rPr>
        <w:t>,</w:t>
      </w:r>
      <w:r w:rsidRPr="00BD15C9">
        <w:rPr>
          <w:lang w:val="fr-FR"/>
        </w:rPr>
        <w:t xml:space="preserve"> il est aussi possible de faire :</w:t>
      </w:r>
    </w:p>
    <w:p w14:paraId="00FB558D" w14:textId="744B27D5" w:rsidR="006330E0" w:rsidRPr="00BD15C9" w:rsidRDefault="00F21B9A" w:rsidP="006330E0">
      <w:pPr>
        <w:pStyle w:val="Paragraphedeliste"/>
        <w:numPr>
          <w:ilvl w:val="0"/>
          <w:numId w:val="23"/>
        </w:numPr>
        <w:ind w:left="426"/>
        <w:jc w:val="both"/>
        <w:rPr>
          <w:lang w:val="fr-FR"/>
        </w:rPr>
      </w:pPr>
      <w:r>
        <w:rPr>
          <w:lang w:val="fr-FR"/>
        </w:rPr>
        <w:t>U</w:t>
      </w:r>
      <w:r w:rsidR="000932CA" w:rsidRPr="00BD15C9">
        <w:rPr>
          <w:lang w:val="fr-FR"/>
        </w:rPr>
        <w:t xml:space="preserve">n </w:t>
      </w:r>
      <w:r w:rsidR="000932CA" w:rsidRPr="00B76985">
        <w:rPr>
          <w:b/>
          <w:lang w:val="fr-FR"/>
        </w:rPr>
        <w:t xml:space="preserve">enregistrement </w:t>
      </w:r>
      <w:r w:rsidR="00D62302" w:rsidRPr="00B76985">
        <w:rPr>
          <w:b/>
          <w:u w:val="single"/>
          <w:lang w:val="fr-FR"/>
        </w:rPr>
        <w:t>réduit</w:t>
      </w:r>
      <w:r w:rsidR="000932CA" w:rsidRPr="00BD15C9">
        <w:rPr>
          <w:lang w:val="fr-FR"/>
        </w:rPr>
        <w:t xml:space="preserve"> : il concerne l'enregistrement d'une substance pour laquelle des informations ont déjà été enregistrées, par un autre Déclarant ou par un Fournisseur étranger. Dans ce type d'enregistrement, le déclarant peut remplacer les caractéristiques physico-chimiques de la substance à l'état nanoparticulaire, comme prévu à la section 2 de l'annexe 1 de l'AR du 27 mai 2014, par la saisie du numéro d'enregistrement de l'enregistrement déjà effectué.</w:t>
      </w:r>
    </w:p>
    <w:p w14:paraId="450DA836" w14:textId="19002863" w:rsidR="000932CA" w:rsidRPr="00BD15C9" w:rsidRDefault="00084820" w:rsidP="006330E0">
      <w:pPr>
        <w:pStyle w:val="Paragraphedeliste"/>
        <w:numPr>
          <w:ilvl w:val="0"/>
          <w:numId w:val="23"/>
        </w:numPr>
        <w:ind w:left="426"/>
        <w:jc w:val="both"/>
        <w:rPr>
          <w:lang w:val="fr-FR"/>
        </w:rPr>
      </w:pPr>
      <w:r>
        <w:rPr>
          <w:lang w:val="fr-FR"/>
        </w:rPr>
        <w:t>U</w:t>
      </w:r>
      <w:r w:rsidR="000932CA" w:rsidRPr="00BD15C9">
        <w:rPr>
          <w:lang w:val="fr-FR"/>
        </w:rPr>
        <w:t xml:space="preserve">n </w:t>
      </w:r>
      <w:r w:rsidR="000932CA" w:rsidRPr="00B76985">
        <w:rPr>
          <w:b/>
          <w:lang w:val="fr-FR"/>
        </w:rPr>
        <w:t xml:space="preserve">enregistrement </w:t>
      </w:r>
      <w:r w:rsidR="000932CA" w:rsidRPr="00B76985">
        <w:rPr>
          <w:b/>
          <w:u w:val="single"/>
          <w:lang w:val="fr-FR"/>
        </w:rPr>
        <w:t>simplifié</w:t>
      </w:r>
      <w:r w:rsidR="000932CA" w:rsidRPr="00BD15C9">
        <w:rPr>
          <w:lang w:val="fr-FR"/>
        </w:rPr>
        <w:t xml:space="preserve"> : ce type d'enregistrement est utilisé pour les substances à l'état nanoparticulaire exclusivement destinées à la recherche et au développement scientifique ou à la recherche et au développement axé sur des produits ou des processus. Ce type d'enregistrement ne demande, outre l'identité du Déclarant, que l'identification chimique des substances manufacturées à l'état nanoparticulaire et une déclaration sur l'honneur </w:t>
      </w:r>
      <w:r w:rsidR="00B9481C">
        <w:rPr>
          <w:lang w:val="fr-FR"/>
        </w:rPr>
        <w:t>certifiant</w:t>
      </w:r>
      <w:r w:rsidR="000932CA" w:rsidRPr="00BD15C9">
        <w:rPr>
          <w:lang w:val="fr-FR"/>
        </w:rPr>
        <w:t xml:space="preserve"> que la substance concernée n'est pas mise sur le marché à des fins commerciales. </w:t>
      </w:r>
    </w:p>
    <w:p w14:paraId="37FAFCFB" w14:textId="77777777" w:rsidR="00E67896" w:rsidRPr="00BD15C9" w:rsidRDefault="00E67896" w:rsidP="001F569C">
      <w:pPr>
        <w:jc w:val="both"/>
        <w:rPr>
          <w:lang w:val="fr-FR"/>
        </w:rPr>
      </w:pPr>
      <w:r w:rsidRPr="00BD15C9">
        <w:rPr>
          <w:lang w:val="fr-FR"/>
        </w:rPr>
        <w:t xml:space="preserve">Le type de compte ‘Fournisseur étranger’ ne permet pas de faire des enregistrements simplifiés. </w:t>
      </w:r>
    </w:p>
    <w:p w14:paraId="32C7F490" w14:textId="159EEF36" w:rsidR="00F43BD0" w:rsidRPr="00BD15C9" w:rsidRDefault="00F43BD0" w:rsidP="00C95796">
      <w:pPr>
        <w:pStyle w:val="Titre3"/>
      </w:pPr>
      <w:bookmarkStart w:id="26" w:name="_Ref74735158"/>
      <w:bookmarkStart w:id="27" w:name="_Toc76034156"/>
      <w:r w:rsidRPr="00BD15C9">
        <w:t>Définition des rôles de la chaîne d'approvisionnement</w:t>
      </w:r>
      <w:bookmarkEnd w:id="26"/>
      <w:bookmarkEnd w:id="27"/>
    </w:p>
    <w:p w14:paraId="3BFE07D0" w14:textId="77777777" w:rsidR="00F43BD0" w:rsidRPr="00BD15C9" w:rsidRDefault="00F43BD0" w:rsidP="00F43BD0">
      <w:pPr>
        <w:jc w:val="both"/>
        <w:rPr>
          <w:lang w:val="fr-FR"/>
        </w:rPr>
      </w:pPr>
      <w:r w:rsidRPr="00BD15C9">
        <w:rPr>
          <w:lang w:val="fr-FR"/>
        </w:rPr>
        <w:t xml:space="preserve">Quand le Déclarant mentionne la quantité d'une substance à l'état nanoparticulaire mise sur le marché, il peut également indiquer son rôle dans la chaîne d'approvisionnement. </w:t>
      </w:r>
    </w:p>
    <w:p w14:paraId="1B7E85B0" w14:textId="77777777" w:rsidR="005A58CD" w:rsidRPr="00BD15C9" w:rsidRDefault="005A58CD" w:rsidP="005A58CD">
      <w:pPr>
        <w:autoSpaceDE w:val="0"/>
        <w:autoSpaceDN w:val="0"/>
        <w:adjustRightInd w:val="0"/>
        <w:spacing w:after="0" w:line="240" w:lineRule="auto"/>
        <w:rPr>
          <w:rFonts w:ascii="Calibri" w:hAnsi="Calibri" w:cs="Calibri"/>
          <w:color w:val="000000"/>
          <w:lang w:val="fr-FR"/>
        </w:rPr>
      </w:pPr>
      <w:r w:rsidRPr="00BD15C9">
        <w:rPr>
          <w:rFonts w:ascii="Calibri" w:hAnsi="Calibri" w:cs="Calibri"/>
          <w:color w:val="000000"/>
          <w:lang w:val="fr-FR"/>
        </w:rPr>
        <w:t xml:space="preserve">Les différents rôles compris dans la chaîne d'approvisionnement sont les suivants : </w:t>
      </w:r>
    </w:p>
    <w:p w14:paraId="5FDB8395" w14:textId="77777777" w:rsidR="005A58CD" w:rsidRPr="00BD15C9" w:rsidRDefault="005A58CD" w:rsidP="005A58CD">
      <w:pPr>
        <w:pStyle w:val="Paragraphedeliste"/>
        <w:numPr>
          <w:ilvl w:val="0"/>
          <w:numId w:val="22"/>
        </w:numPr>
        <w:autoSpaceDE w:val="0"/>
        <w:autoSpaceDN w:val="0"/>
        <w:adjustRightInd w:val="0"/>
        <w:spacing w:after="58" w:line="240" w:lineRule="auto"/>
        <w:ind w:left="426"/>
        <w:jc w:val="both"/>
        <w:rPr>
          <w:rFonts w:ascii="Calibri" w:hAnsi="Calibri" w:cs="Calibri"/>
          <w:color w:val="000000"/>
          <w:lang w:val="fr-FR"/>
        </w:rPr>
      </w:pPr>
      <w:r w:rsidRPr="00BD15C9">
        <w:rPr>
          <w:rFonts w:ascii="Calibri" w:hAnsi="Calibri" w:cs="Calibri"/>
          <w:color w:val="000000"/>
          <w:u w:val="single"/>
          <w:lang w:val="fr-FR"/>
        </w:rPr>
        <w:t>Producteur</w:t>
      </w:r>
      <w:r w:rsidR="00F32C23" w:rsidRPr="00BD15C9">
        <w:rPr>
          <w:rFonts w:ascii="Calibri" w:hAnsi="Calibri" w:cs="Calibri"/>
          <w:color w:val="000000"/>
          <w:lang w:val="fr-FR"/>
        </w:rPr>
        <w:t xml:space="preserve"> : produit une substance à l'état nanoparticulaire, en tant que telle ou contenue dans un mélange et la met sur le marché</w:t>
      </w:r>
    </w:p>
    <w:p w14:paraId="0353D262" w14:textId="77777777" w:rsidR="005A58CD" w:rsidRPr="00BD15C9" w:rsidRDefault="005A58CD" w:rsidP="005A58CD">
      <w:pPr>
        <w:pStyle w:val="Paragraphedeliste"/>
        <w:numPr>
          <w:ilvl w:val="0"/>
          <w:numId w:val="22"/>
        </w:numPr>
        <w:autoSpaceDE w:val="0"/>
        <w:autoSpaceDN w:val="0"/>
        <w:adjustRightInd w:val="0"/>
        <w:spacing w:after="58" w:line="240" w:lineRule="auto"/>
        <w:ind w:left="426"/>
        <w:jc w:val="both"/>
        <w:rPr>
          <w:rFonts w:ascii="Calibri" w:hAnsi="Calibri" w:cs="Calibri"/>
          <w:color w:val="000000"/>
          <w:lang w:val="fr-FR"/>
        </w:rPr>
      </w:pPr>
      <w:r w:rsidRPr="00BD15C9">
        <w:rPr>
          <w:rFonts w:ascii="Calibri" w:hAnsi="Calibri" w:cs="Calibri"/>
          <w:color w:val="000000"/>
          <w:u w:val="single"/>
          <w:lang w:val="fr-FR"/>
        </w:rPr>
        <w:t>Distributeur</w:t>
      </w:r>
      <w:r w:rsidR="00F32C23" w:rsidRPr="00BD15C9">
        <w:rPr>
          <w:rFonts w:ascii="Calibri" w:hAnsi="Calibri" w:cs="Calibri"/>
          <w:color w:val="000000"/>
          <w:lang w:val="fr-FR"/>
        </w:rPr>
        <w:t xml:space="preserve"> : stocke des substances à l'état nanoparticulaire, en tant que telles ou contenues dans un mélange et les met sur le marché</w:t>
      </w:r>
    </w:p>
    <w:p w14:paraId="41BAB89E" w14:textId="0C62E0FC" w:rsidR="005A58CD" w:rsidRPr="00BD15C9" w:rsidRDefault="00D62302" w:rsidP="005A58CD">
      <w:pPr>
        <w:pStyle w:val="Paragraphedeliste"/>
        <w:numPr>
          <w:ilvl w:val="0"/>
          <w:numId w:val="22"/>
        </w:numPr>
        <w:autoSpaceDE w:val="0"/>
        <w:autoSpaceDN w:val="0"/>
        <w:adjustRightInd w:val="0"/>
        <w:spacing w:after="58" w:line="240" w:lineRule="auto"/>
        <w:ind w:left="426"/>
        <w:jc w:val="both"/>
        <w:rPr>
          <w:rFonts w:ascii="Calibri" w:hAnsi="Calibri" w:cs="Calibri"/>
          <w:color w:val="000000"/>
          <w:lang w:val="fr-FR"/>
        </w:rPr>
      </w:pPr>
      <w:r w:rsidRPr="00BD15C9">
        <w:rPr>
          <w:rFonts w:ascii="Calibri" w:hAnsi="Calibri" w:cs="Calibri"/>
          <w:color w:val="000000"/>
          <w:u w:val="single"/>
          <w:lang w:val="fr-FR"/>
        </w:rPr>
        <w:t>Importateur</w:t>
      </w:r>
      <w:r w:rsidR="00F32C23" w:rsidRPr="00BD15C9">
        <w:rPr>
          <w:rFonts w:ascii="Calibri" w:hAnsi="Calibri" w:cs="Calibri"/>
          <w:color w:val="000000"/>
          <w:lang w:val="fr-FR"/>
        </w:rPr>
        <w:t xml:space="preserve"> : est responsable de l'introduction physique sur le marché de la substance manufacturée à l'état nanoparticulaire, en tant que telle ou contenue dans un mélange</w:t>
      </w:r>
    </w:p>
    <w:p w14:paraId="33495606" w14:textId="78706A66" w:rsidR="005A58CD" w:rsidRPr="00BD15C9" w:rsidRDefault="005A58CD" w:rsidP="005A58CD">
      <w:pPr>
        <w:pStyle w:val="Paragraphedeliste"/>
        <w:numPr>
          <w:ilvl w:val="0"/>
          <w:numId w:val="22"/>
        </w:numPr>
        <w:autoSpaceDE w:val="0"/>
        <w:autoSpaceDN w:val="0"/>
        <w:adjustRightInd w:val="0"/>
        <w:spacing w:after="0" w:line="240" w:lineRule="auto"/>
        <w:ind w:left="426"/>
        <w:jc w:val="both"/>
        <w:rPr>
          <w:rFonts w:ascii="Calibri" w:hAnsi="Calibri" w:cs="Calibri"/>
          <w:color w:val="000000"/>
          <w:lang w:val="fr-FR"/>
        </w:rPr>
      </w:pPr>
      <w:r w:rsidRPr="00BD15C9">
        <w:rPr>
          <w:rFonts w:ascii="Calibri" w:hAnsi="Calibri" w:cs="Calibri"/>
          <w:color w:val="000000"/>
          <w:u w:val="single"/>
          <w:lang w:val="fr-FR"/>
        </w:rPr>
        <w:lastRenderedPageBreak/>
        <w:t>Formulateur</w:t>
      </w:r>
      <w:r w:rsidRPr="00BD15C9">
        <w:rPr>
          <w:rFonts w:ascii="Calibri" w:hAnsi="Calibri" w:cs="Calibri"/>
          <w:color w:val="000000"/>
          <w:lang w:val="fr-FR"/>
        </w:rPr>
        <w:t xml:space="preserve"> : fabrique des mélanges et les fourni</w:t>
      </w:r>
      <w:r w:rsidR="00084820">
        <w:rPr>
          <w:rFonts w:ascii="Calibri" w:hAnsi="Calibri" w:cs="Calibri"/>
          <w:color w:val="000000"/>
          <w:lang w:val="fr-FR"/>
        </w:rPr>
        <w:t>s</w:t>
      </w:r>
      <w:r w:rsidRPr="00BD15C9">
        <w:rPr>
          <w:rFonts w:ascii="Calibri" w:hAnsi="Calibri" w:cs="Calibri"/>
          <w:color w:val="000000"/>
          <w:lang w:val="fr-FR"/>
        </w:rPr>
        <w:t xml:space="preserve"> généralement plus en aval de la chaîne d'approvisionnement directement au consommateur. Il mélange des substances manufacturées à l'état nanoparticulaire, en tant que telles ou contenues dans un mélange, sans modifier les propriétés de ces substances. Des exemples de ces types de mélange sont les peintures, les adhésifs, produits cosmétiques, les lubrifiants, les détergents… </w:t>
      </w:r>
    </w:p>
    <w:p w14:paraId="1F75FFBF" w14:textId="485DDD8B" w:rsidR="005A58CD" w:rsidRPr="00BD15C9" w:rsidRDefault="005A58CD" w:rsidP="00E67896">
      <w:pPr>
        <w:pStyle w:val="Paragraphedeliste"/>
        <w:numPr>
          <w:ilvl w:val="0"/>
          <w:numId w:val="22"/>
        </w:numPr>
        <w:autoSpaceDE w:val="0"/>
        <w:autoSpaceDN w:val="0"/>
        <w:adjustRightInd w:val="0"/>
        <w:spacing w:after="61" w:line="240" w:lineRule="auto"/>
        <w:ind w:left="426"/>
        <w:jc w:val="both"/>
        <w:rPr>
          <w:rFonts w:ascii="Calibri" w:hAnsi="Calibri" w:cs="Calibri"/>
          <w:color w:val="000000"/>
          <w:lang w:val="fr-FR"/>
        </w:rPr>
      </w:pPr>
      <w:proofErr w:type="spellStart"/>
      <w:r w:rsidRPr="00BD15C9">
        <w:rPr>
          <w:rFonts w:ascii="Calibri" w:hAnsi="Calibri" w:cs="Calibri"/>
          <w:color w:val="000000"/>
          <w:u w:val="single"/>
          <w:lang w:val="fr-FR"/>
        </w:rPr>
        <w:t>Reconditionneur</w:t>
      </w:r>
      <w:proofErr w:type="spellEnd"/>
      <w:r w:rsidRPr="00BD15C9">
        <w:rPr>
          <w:rFonts w:ascii="Calibri" w:hAnsi="Calibri" w:cs="Calibri"/>
          <w:color w:val="000000"/>
          <w:lang w:val="fr-FR"/>
        </w:rPr>
        <w:t xml:space="preserve"> : il transfère des substances ou des mélanges d'un contenant à un autre, généralement dans le cadre d'un reconditionnement ou d'un changement de marque</w:t>
      </w:r>
    </w:p>
    <w:p w14:paraId="0CE0F484" w14:textId="495FAA18" w:rsidR="005A58CD" w:rsidRPr="001F569C" w:rsidRDefault="005A58CD" w:rsidP="005A58CD">
      <w:pPr>
        <w:pStyle w:val="Paragraphedeliste"/>
        <w:numPr>
          <w:ilvl w:val="0"/>
          <w:numId w:val="22"/>
        </w:numPr>
        <w:autoSpaceDE w:val="0"/>
        <w:autoSpaceDN w:val="0"/>
        <w:adjustRightInd w:val="0"/>
        <w:spacing w:after="0" w:line="240" w:lineRule="auto"/>
        <w:ind w:left="426"/>
        <w:rPr>
          <w:rFonts w:ascii="Calibri" w:hAnsi="Calibri" w:cs="Calibri"/>
          <w:color w:val="000000"/>
          <w:u w:val="single"/>
          <w:lang w:val="fr-FR"/>
        </w:rPr>
      </w:pPr>
      <w:r w:rsidRPr="00BD15C9">
        <w:rPr>
          <w:rFonts w:ascii="Calibri" w:hAnsi="Calibri" w:cs="Calibri"/>
          <w:color w:val="000000"/>
          <w:u w:val="single"/>
          <w:lang w:val="fr-FR"/>
        </w:rPr>
        <w:t>Autre :</w:t>
      </w:r>
      <w:r w:rsidR="00F32C23" w:rsidRPr="00BD15C9">
        <w:rPr>
          <w:rFonts w:ascii="Calibri" w:hAnsi="Calibri" w:cs="Calibri"/>
          <w:color w:val="000000"/>
          <w:lang w:val="fr-FR"/>
        </w:rPr>
        <w:t xml:space="preserve"> à spécifier </w:t>
      </w:r>
    </w:p>
    <w:p w14:paraId="760D4603" w14:textId="77777777" w:rsidR="001A254B" w:rsidRPr="001F569C" w:rsidRDefault="001A254B" w:rsidP="001F569C">
      <w:pPr>
        <w:autoSpaceDE w:val="0"/>
        <w:autoSpaceDN w:val="0"/>
        <w:adjustRightInd w:val="0"/>
        <w:spacing w:after="0" w:line="240" w:lineRule="auto"/>
        <w:ind w:left="66"/>
        <w:rPr>
          <w:rFonts w:ascii="Calibri" w:hAnsi="Calibri" w:cs="Calibri"/>
          <w:color w:val="000000"/>
          <w:u w:val="single"/>
          <w:lang w:val="fr-FR"/>
        </w:rPr>
      </w:pPr>
    </w:p>
    <w:p w14:paraId="2D113349" w14:textId="58796E3D" w:rsidR="006361A5" w:rsidRPr="00BD15C9" w:rsidRDefault="006361A5" w:rsidP="00BB22C7">
      <w:pPr>
        <w:pStyle w:val="Titre1"/>
        <w:rPr>
          <w:lang w:val="fr-FR"/>
        </w:rPr>
      </w:pPr>
      <w:bookmarkStart w:id="28" w:name="_Toc76034157"/>
      <w:r w:rsidRPr="00BD15C9">
        <w:rPr>
          <w:lang w:val="fr-FR"/>
        </w:rPr>
        <w:t>Étendue du présent rapport</w:t>
      </w:r>
      <w:bookmarkEnd w:id="28"/>
    </w:p>
    <w:p w14:paraId="1C700D45" w14:textId="30725E60" w:rsidR="006361A5" w:rsidRPr="00BD15C9" w:rsidRDefault="006361A5" w:rsidP="006361A5">
      <w:pPr>
        <w:jc w:val="both"/>
        <w:rPr>
          <w:lang w:val="fr-FR"/>
        </w:rPr>
      </w:pPr>
      <w:r w:rsidRPr="00BD15C9">
        <w:rPr>
          <w:lang w:val="fr-FR"/>
        </w:rPr>
        <w:t xml:space="preserve">Le présent rapport concerne l'année de commerce / année </w:t>
      </w:r>
      <w:r w:rsidR="002600CE" w:rsidRPr="00BD15C9">
        <w:rPr>
          <w:lang w:val="fr-FR"/>
        </w:rPr>
        <w:t>calendaire</w:t>
      </w:r>
      <w:r w:rsidRPr="00BD15C9">
        <w:rPr>
          <w:lang w:val="fr-FR"/>
        </w:rPr>
        <w:t xml:space="preserve"> </w:t>
      </w:r>
      <w:r w:rsidR="00920F8A" w:rsidRPr="00BD15C9">
        <w:rPr>
          <w:lang w:val="fr-FR"/>
        </w:rPr>
        <w:t>20</w:t>
      </w:r>
      <w:r w:rsidR="0086058B">
        <w:rPr>
          <w:lang w:val="fr-FR"/>
        </w:rPr>
        <w:t>20</w:t>
      </w:r>
      <w:r w:rsidRPr="00BD15C9">
        <w:rPr>
          <w:lang w:val="fr-FR"/>
        </w:rPr>
        <w:t xml:space="preserve">. Il a été rédigé après le 31 mars </w:t>
      </w:r>
      <w:r w:rsidR="00920F8A" w:rsidRPr="00BD15C9">
        <w:rPr>
          <w:lang w:val="fr-FR"/>
        </w:rPr>
        <w:t>20</w:t>
      </w:r>
      <w:r w:rsidR="00920F8A">
        <w:rPr>
          <w:lang w:val="fr-FR"/>
        </w:rPr>
        <w:t>2</w:t>
      </w:r>
      <w:r w:rsidR="0086058B">
        <w:rPr>
          <w:lang w:val="fr-FR"/>
        </w:rPr>
        <w:t>1</w:t>
      </w:r>
      <w:r w:rsidR="00920F8A" w:rsidRPr="00BD15C9">
        <w:rPr>
          <w:lang w:val="fr-FR"/>
        </w:rPr>
        <w:t xml:space="preserve"> </w:t>
      </w:r>
      <w:r w:rsidRPr="00BD15C9">
        <w:rPr>
          <w:lang w:val="fr-FR"/>
        </w:rPr>
        <w:t>(délai d'introduction de la mise à jour annuelle) et ne contient que des informations relatives aux substances à l'état nanoparticulaire mises sur le marché en tant que substances</w:t>
      </w:r>
      <w:r w:rsidR="006619CD">
        <w:rPr>
          <w:lang w:val="fr-FR"/>
        </w:rPr>
        <w:t>.</w:t>
      </w:r>
      <w:r w:rsidR="00F715B8">
        <w:rPr>
          <w:lang w:val="fr-FR"/>
        </w:rPr>
        <w:t xml:space="preserve"> </w:t>
      </w:r>
      <w:r w:rsidRPr="00BD15C9">
        <w:rPr>
          <w:lang w:val="fr-FR"/>
        </w:rPr>
        <w:t xml:space="preserve"> </w:t>
      </w:r>
    </w:p>
    <w:p w14:paraId="4247F475" w14:textId="17FEF0FC" w:rsidR="00F715B8" w:rsidRDefault="006361A5" w:rsidP="006361A5">
      <w:pPr>
        <w:jc w:val="both"/>
        <w:rPr>
          <w:lang w:val="fr-FR"/>
        </w:rPr>
      </w:pPr>
      <w:r w:rsidRPr="00BD15C9">
        <w:rPr>
          <w:lang w:val="fr-FR"/>
        </w:rPr>
        <w:t xml:space="preserve">La période de référence du présent rapport va du </w:t>
      </w:r>
      <w:r w:rsidR="00F715B8">
        <w:rPr>
          <w:lang w:val="fr-FR"/>
        </w:rPr>
        <w:t>1</w:t>
      </w:r>
      <w:r w:rsidR="00F715B8" w:rsidRPr="00B76985">
        <w:rPr>
          <w:vertAlign w:val="superscript"/>
          <w:lang w:val="fr-FR"/>
        </w:rPr>
        <w:t>er</w:t>
      </w:r>
      <w:r w:rsidR="00F715B8">
        <w:rPr>
          <w:lang w:val="fr-FR"/>
        </w:rPr>
        <w:t xml:space="preserve"> avril </w:t>
      </w:r>
      <w:r w:rsidR="00920F8A">
        <w:rPr>
          <w:lang w:val="fr-FR"/>
        </w:rPr>
        <w:t>20</w:t>
      </w:r>
      <w:r w:rsidR="0086058B">
        <w:rPr>
          <w:lang w:val="fr-FR"/>
        </w:rPr>
        <w:t>20</w:t>
      </w:r>
      <w:r w:rsidR="00920F8A" w:rsidRPr="00BD15C9">
        <w:rPr>
          <w:lang w:val="fr-FR"/>
        </w:rPr>
        <w:t xml:space="preserve"> </w:t>
      </w:r>
      <w:r w:rsidRPr="00BD15C9">
        <w:rPr>
          <w:lang w:val="fr-FR"/>
        </w:rPr>
        <w:t xml:space="preserve">au 31 mars </w:t>
      </w:r>
      <w:r w:rsidR="00920F8A" w:rsidRPr="00BD15C9">
        <w:rPr>
          <w:lang w:val="fr-FR"/>
        </w:rPr>
        <w:t>20</w:t>
      </w:r>
      <w:r w:rsidR="00920F8A">
        <w:rPr>
          <w:lang w:val="fr-FR"/>
        </w:rPr>
        <w:t>2</w:t>
      </w:r>
      <w:r w:rsidR="0086058B">
        <w:rPr>
          <w:lang w:val="fr-FR"/>
        </w:rPr>
        <w:t>1</w:t>
      </w:r>
      <w:r w:rsidR="00920F8A" w:rsidRPr="00BD15C9">
        <w:rPr>
          <w:lang w:val="fr-FR"/>
        </w:rPr>
        <w:t xml:space="preserve"> </w:t>
      </w:r>
      <w:r w:rsidRPr="00BD15C9">
        <w:rPr>
          <w:lang w:val="fr-FR"/>
        </w:rPr>
        <w:t>inclus.</w:t>
      </w:r>
    </w:p>
    <w:p w14:paraId="11B9CE7C" w14:textId="3EB9AF77" w:rsidR="006361A5" w:rsidRPr="00B76985" w:rsidRDefault="00F715B8" w:rsidP="006361A5">
      <w:pPr>
        <w:jc w:val="both"/>
        <w:rPr>
          <w:lang w:val="fr-BE"/>
        </w:rPr>
      </w:pPr>
      <w:r w:rsidRPr="00D87D06">
        <w:rPr>
          <w:lang w:val="fr-FR"/>
        </w:rPr>
        <w:t>En outre</w:t>
      </w:r>
      <w:r w:rsidRPr="00F715B8">
        <w:rPr>
          <w:lang w:val="fr-FR"/>
        </w:rPr>
        <w:t xml:space="preserve">, </w:t>
      </w:r>
      <w:r w:rsidRPr="00D87D06">
        <w:rPr>
          <w:lang w:val="fr-FR"/>
        </w:rPr>
        <w:t xml:space="preserve">où cela se révèle relevant, un </w:t>
      </w:r>
      <w:r w:rsidRPr="00F715B8">
        <w:rPr>
          <w:lang w:val="fr-FR"/>
        </w:rPr>
        <w:t>aperç</w:t>
      </w:r>
      <w:r w:rsidRPr="00D87D06">
        <w:rPr>
          <w:lang w:val="fr-FR"/>
        </w:rPr>
        <w:t xml:space="preserve">u de la période </w:t>
      </w:r>
      <w:r w:rsidRPr="00F715B8">
        <w:rPr>
          <w:lang w:val="fr-FR"/>
        </w:rPr>
        <w:t>complète</w:t>
      </w:r>
      <w:r>
        <w:rPr>
          <w:lang w:val="fr-FR"/>
        </w:rPr>
        <w:t xml:space="preserve"> du registre sera donné</w:t>
      </w:r>
      <w:r w:rsidR="00F82C9B">
        <w:rPr>
          <w:lang w:val="fr-FR"/>
        </w:rPr>
        <w:t xml:space="preserve"> (depuis 2016)</w:t>
      </w:r>
      <w:r>
        <w:rPr>
          <w:lang w:val="fr-FR"/>
        </w:rPr>
        <w:t>.</w:t>
      </w:r>
      <w:r w:rsidRPr="00D87D06">
        <w:rPr>
          <w:lang w:val="fr-BE"/>
        </w:rPr>
        <w:t xml:space="preserve"> </w:t>
      </w:r>
      <w:r w:rsidR="00D87D06" w:rsidRPr="00D87D06">
        <w:rPr>
          <w:lang w:val="fr-BE"/>
        </w:rPr>
        <w:t xml:space="preserve">Ceci afin de prévenir </w:t>
      </w:r>
      <w:r w:rsidR="00D87D06" w:rsidRPr="00B76985">
        <w:rPr>
          <w:lang w:val="fr-BE"/>
        </w:rPr>
        <w:t xml:space="preserve">que certains groupes de données, en particulier les enregistrements uniques comme les enregistrements </w:t>
      </w:r>
      <w:r w:rsidR="006619CD" w:rsidRPr="006619CD">
        <w:rPr>
          <w:lang w:val="fr-BE"/>
        </w:rPr>
        <w:t>simplifié</w:t>
      </w:r>
      <w:r w:rsidR="00D87D06" w:rsidRPr="00B76985">
        <w:rPr>
          <w:lang w:val="fr-BE"/>
        </w:rPr>
        <w:t xml:space="preserve">s ou les enregistrements soumis par les </w:t>
      </w:r>
      <w:r w:rsidR="00D87D06" w:rsidRPr="00D87D06">
        <w:rPr>
          <w:lang w:val="fr-BE"/>
        </w:rPr>
        <w:t>fournisseurs</w:t>
      </w:r>
      <w:r w:rsidR="00D87D06" w:rsidRPr="00B76985">
        <w:rPr>
          <w:lang w:val="fr-BE"/>
        </w:rPr>
        <w:t xml:space="preserve"> étrangers, </w:t>
      </w:r>
      <w:r w:rsidR="006619CD">
        <w:rPr>
          <w:lang w:val="fr-BE"/>
        </w:rPr>
        <w:t>disparaissent</w:t>
      </w:r>
      <w:r w:rsidR="00D87D06">
        <w:rPr>
          <w:lang w:val="fr-BE"/>
        </w:rPr>
        <w:t>.</w:t>
      </w:r>
    </w:p>
    <w:p w14:paraId="65EA180C" w14:textId="212B2AFC" w:rsidR="006361A5" w:rsidRPr="00BD15C9" w:rsidRDefault="006361A5" w:rsidP="006361A5">
      <w:pPr>
        <w:jc w:val="both"/>
        <w:rPr>
          <w:lang w:val="fr-FR"/>
        </w:rPr>
      </w:pPr>
      <w:r w:rsidRPr="00BD15C9">
        <w:rPr>
          <w:lang w:val="fr-FR"/>
        </w:rPr>
        <w:t xml:space="preserve">Le présent rapport </w:t>
      </w:r>
      <w:r w:rsidR="00920F8A">
        <w:rPr>
          <w:lang w:val="fr-FR"/>
        </w:rPr>
        <w:t>souhaite</w:t>
      </w:r>
      <w:r w:rsidRPr="00BD15C9">
        <w:rPr>
          <w:lang w:val="fr-FR"/>
        </w:rPr>
        <w:t xml:space="preserve"> contribuer à une meilleure connaissance de la situation concernant les nanomatériaux sur le marché belge et contient principalement des données agrégées afin de préserver le caractère confidentiel des enregistrements soumis.</w:t>
      </w:r>
    </w:p>
    <w:p w14:paraId="60A962EB" w14:textId="25DC9778" w:rsidR="00863B2F" w:rsidRDefault="00863B2F" w:rsidP="006361A5">
      <w:pPr>
        <w:jc w:val="both"/>
        <w:rPr>
          <w:lang w:val="fr-FR"/>
        </w:rPr>
      </w:pPr>
      <w:r w:rsidRPr="00BD15C9">
        <w:rPr>
          <w:lang w:val="fr-FR"/>
        </w:rPr>
        <w:t xml:space="preserve">Toute comparaison entre les chiffres de ce rapport et des rapports d'autres registres (nationaux) doit se faire avec circonspection étant donné que le champ d'application des registres n'est pas toujours le même (voir p. ex. </w:t>
      </w:r>
      <w:r w:rsidR="00F82360" w:rsidRPr="00BD15C9">
        <w:rPr>
          <w:i/>
          <w:lang w:val="fr-FR"/>
        </w:rPr>
        <w:t xml:space="preserve">§ </w:t>
      </w:r>
      <w:r w:rsidR="0075447C">
        <w:rPr>
          <w:i/>
          <w:lang w:val="fr-FR"/>
        </w:rPr>
        <w:fldChar w:fldCharType="begin"/>
      </w:r>
      <w:r w:rsidR="0075447C">
        <w:rPr>
          <w:i/>
          <w:lang w:val="fr-FR"/>
        </w:rPr>
        <w:instrText xml:space="preserve"> REF _Ref74734426 \w \h </w:instrText>
      </w:r>
      <w:r w:rsidR="0075447C">
        <w:rPr>
          <w:i/>
          <w:lang w:val="fr-FR"/>
        </w:rPr>
      </w:r>
      <w:r w:rsidR="0075447C">
        <w:rPr>
          <w:i/>
          <w:lang w:val="fr-FR"/>
        </w:rPr>
        <w:fldChar w:fldCharType="separate"/>
      </w:r>
      <w:r w:rsidR="0075447C">
        <w:rPr>
          <w:i/>
          <w:lang w:val="fr-FR"/>
        </w:rPr>
        <w:t>3.2.2</w:t>
      </w:r>
      <w:r w:rsidR="0075447C">
        <w:rPr>
          <w:i/>
          <w:lang w:val="fr-FR"/>
        </w:rPr>
        <w:fldChar w:fldCharType="end"/>
      </w:r>
      <w:r w:rsidR="00F82360" w:rsidRPr="00BD15C9">
        <w:rPr>
          <w:i/>
          <w:lang w:val="fr-FR"/>
        </w:rPr>
        <w:t>Exemptions d'enregistrement</w:t>
      </w:r>
      <w:r w:rsidRPr="00BD15C9">
        <w:rPr>
          <w:lang w:val="fr-FR"/>
        </w:rPr>
        <w:t>).</w:t>
      </w:r>
    </w:p>
    <w:p w14:paraId="249E1D17" w14:textId="77777777" w:rsidR="001A254B" w:rsidRPr="00BD15C9" w:rsidRDefault="001A254B" w:rsidP="006361A5">
      <w:pPr>
        <w:jc w:val="both"/>
        <w:rPr>
          <w:lang w:val="fr-FR"/>
        </w:rPr>
      </w:pPr>
    </w:p>
    <w:p w14:paraId="5D44B40D" w14:textId="73B15C21" w:rsidR="00CD3FBB" w:rsidRPr="00BD15C9" w:rsidRDefault="006361A5" w:rsidP="00BB22C7">
      <w:pPr>
        <w:pStyle w:val="Titre1"/>
        <w:rPr>
          <w:lang w:val="fr-FR"/>
        </w:rPr>
      </w:pPr>
      <w:bookmarkStart w:id="29" w:name="_Toc76034158"/>
      <w:r w:rsidRPr="00BD15C9">
        <w:rPr>
          <w:lang w:val="fr-FR"/>
        </w:rPr>
        <w:t>Informations relatives aux déclarants</w:t>
      </w:r>
      <w:bookmarkEnd w:id="29"/>
    </w:p>
    <w:p w14:paraId="2FBC3908" w14:textId="13A60042" w:rsidR="00032BD0" w:rsidRPr="00BD15C9" w:rsidRDefault="00032BD0" w:rsidP="00032BD0">
      <w:pPr>
        <w:jc w:val="both"/>
        <w:rPr>
          <w:lang w:val="fr-FR"/>
        </w:rPr>
      </w:pPr>
      <w:r w:rsidRPr="00BD15C9">
        <w:rPr>
          <w:lang w:val="fr-FR"/>
        </w:rPr>
        <w:t>Le tableau ci-dessous donne un aperçu des enregistrements soumis avant le 1</w:t>
      </w:r>
      <w:r w:rsidRPr="00BD15C9">
        <w:rPr>
          <w:vertAlign w:val="superscript"/>
          <w:lang w:val="fr-FR"/>
        </w:rPr>
        <w:t>er</w:t>
      </w:r>
      <w:r w:rsidRPr="00BD15C9">
        <w:rPr>
          <w:lang w:val="fr-FR"/>
        </w:rPr>
        <w:t xml:space="preserve"> avril </w:t>
      </w:r>
      <w:r w:rsidR="008F378C" w:rsidRPr="00BD15C9">
        <w:rPr>
          <w:lang w:val="fr-FR"/>
        </w:rPr>
        <w:t>20</w:t>
      </w:r>
      <w:r w:rsidR="008F378C">
        <w:rPr>
          <w:lang w:val="fr-FR"/>
        </w:rPr>
        <w:t>21</w:t>
      </w:r>
      <w:r w:rsidR="008F378C" w:rsidRPr="00BD15C9">
        <w:rPr>
          <w:lang w:val="fr-FR"/>
        </w:rPr>
        <w:t xml:space="preserve"> </w:t>
      </w:r>
      <w:r w:rsidRPr="00BD15C9">
        <w:rPr>
          <w:lang w:val="fr-FR"/>
        </w:rPr>
        <w:t>et de la répartition des différentes nationalités et des différents types de compte</w:t>
      </w:r>
      <w:r w:rsidR="00AE4CCB">
        <w:rPr>
          <w:lang w:val="fr-FR"/>
        </w:rPr>
        <w:t xml:space="preserve">s </w:t>
      </w:r>
      <w:r w:rsidRPr="00BD15C9">
        <w:rPr>
          <w:lang w:val="fr-FR"/>
        </w:rPr>
        <w:t xml:space="preserve">dans le registre. </w:t>
      </w:r>
    </w:p>
    <w:p w14:paraId="62E4A75E" w14:textId="6EE6C052" w:rsidR="00032BD0" w:rsidRPr="00BD15C9" w:rsidRDefault="00032BD0" w:rsidP="00032BD0">
      <w:pPr>
        <w:jc w:val="both"/>
        <w:rPr>
          <w:lang w:val="fr-FR"/>
        </w:rPr>
      </w:pPr>
      <w:r w:rsidRPr="00BD15C9">
        <w:rPr>
          <w:lang w:val="fr-FR"/>
        </w:rPr>
        <w:t xml:space="preserve">Un compte est </w:t>
      </w:r>
      <w:r w:rsidRPr="00BD15C9">
        <w:rPr>
          <w:u w:val="single"/>
          <w:lang w:val="fr-FR"/>
        </w:rPr>
        <w:t>actif</w:t>
      </w:r>
      <w:r w:rsidRPr="00BD15C9">
        <w:rPr>
          <w:lang w:val="fr-FR"/>
        </w:rPr>
        <w:t xml:space="preserve"> quand il a fait l'objet d'au moins un enregistrement</w:t>
      </w:r>
      <w:r w:rsidR="00C5690D">
        <w:rPr>
          <w:lang w:val="fr-FR"/>
        </w:rPr>
        <w:t xml:space="preserve"> ou mise à jour</w:t>
      </w:r>
      <w:r w:rsidRPr="00BD15C9">
        <w:rPr>
          <w:lang w:val="fr-FR"/>
        </w:rPr>
        <w:t xml:space="preserve"> sur la période de référence (de quel type que ce soit). L'enregistrement concerné ne doit pas nécessairement avoir été complété et introduit. </w:t>
      </w:r>
    </w:p>
    <w:p w14:paraId="168FCE5D" w14:textId="669417E6" w:rsidR="003C40BA" w:rsidRPr="00BD15C9" w:rsidRDefault="00032BD0" w:rsidP="00032BD0">
      <w:pPr>
        <w:jc w:val="both"/>
        <w:rPr>
          <w:lang w:val="fr-FR"/>
        </w:rPr>
      </w:pPr>
      <w:r w:rsidRPr="00BD15C9">
        <w:rPr>
          <w:lang w:val="fr-FR"/>
        </w:rPr>
        <w:t>Les nationalités reposent sur l'endroit où se situe le siège social mentionné dans l'enregistrement et sont regroupées en</w:t>
      </w:r>
      <w:r w:rsidR="000D6BAD">
        <w:rPr>
          <w:lang w:val="fr-FR"/>
        </w:rPr>
        <w:t> :</w:t>
      </w:r>
    </w:p>
    <w:p w14:paraId="062A1554" w14:textId="77777777" w:rsidR="00032BD0" w:rsidRPr="00BD15C9" w:rsidRDefault="00032BD0" w:rsidP="00032BD0">
      <w:pPr>
        <w:pStyle w:val="Paragraphedeliste"/>
        <w:numPr>
          <w:ilvl w:val="0"/>
          <w:numId w:val="1"/>
        </w:numPr>
        <w:jc w:val="both"/>
        <w:rPr>
          <w:lang w:val="fr-FR"/>
        </w:rPr>
      </w:pPr>
      <w:r w:rsidRPr="00BD15C9">
        <w:rPr>
          <w:lang w:val="fr-FR"/>
        </w:rPr>
        <w:t>Belge (Be)</w:t>
      </w:r>
    </w:p>
    <w:p w14:paraId="1780F509" w14:textId="77777777" w:rsidR="00032BD0" w:rsidRPr="00BD15C9" w:rsidRDefault="00032BD0" w:rsidP="00032BD0">
      <w:pPr>
        <w:pStyle w:val="Paragraphedeliste"/>
        <w:numPr>
          <w:ilvl w:val="0"/>
          <w:numId w:val="1"/>
        </w:numPr>
        <w:jc w:val="both"/>
        <w:rPr>
          <w:lang w:val="fr-FR"/>
        </w:rPr>
      </w:pPr>
      <w:r w:rsidRPr="00BD15C9">
        <w:rPr>
          <w:lang w:val="fr-FR"/>
        </w:rPr>
        <w:t>qui fait partie de l'Espace Économique européen (EEE), mais pas situé en Belgique</w:t>
      </w:r>
    </w:p>
    <w:p w14:paraId="4945129E" w14:textId="77777777" w:rsidR="00032BD0" w:rsidRPr="00BD15C9" w:rsidRDefault="00032BD0" w:rsidP="00032BD0">
      <w:pPr>
        <w:pStyle w:val="Paragraphedeliste"/>
        <w:numPr>
          <w:ilvl w:val="0"/>
          <w:numId w:val="1"/>
        </w:numPr>
        <w:jc w:val="both"/>
        <w:rPr>
          <w:lang w:val="fr-FR"/>
        </w:rPr>
      </w:pPr>
      <w:r w:rsidRPr="00BD15C9">
        <w:rPr>
          <w:lang w:val="fr-FR"/>
        </w:rPr>
        <w:t>pas situé dans l'Espace Économique Européen (non-EEE)</w:t>
      </w:r>
    </w:p>
    <w:p w14:paraId="533D5F06" w14:textId="26A904D7" w:rsidR="00CE56BC" w:rsidRDefault="00CE56BC" w:rsidP="00CD3FBB">
      <w:pPr>
        <w:jc w:val="both"/>
        <w:rPr>
          <w:lang w:val="fr-FR"/>
        </w:rPr>
      </w:pPr>
    </w:p>
    <w:p w14:paraId="3D2B740A" w14:textId="44F575ED" w:rsidR="00C71629" w:rsidRPr="00B76985" w:rsidRDefault="00C71629" w:rsidP="00CD3FBB">
      <w:pPr>
        <w:jc w:val="both"/>
        <w:rPr>
          <w:b/>
          <w:lang w:val="fr-FR"/>
        </w:rPr>
      </w:pPr>
      <w:r w:rsidRPr="00B76985">
        <w:rPr>
          <w:b/>
          <w:lang w:val="fr-FR"/>
        </w:rPr>
        <w:lastRenderedPageBreak/>
        <w:t>Depuis le début :</w:t>
      </w:r>
    </w:p>
    <w:p w14:paraId="0F1BEC83" w14:textId="2E89F9C6" w:rsidR="00C71629" w:rsidRDefault="00C71629" w:rsidP="00CD3FBB">
      <w:pPr>
        <w:jc w:val="both"/>
        <w:rPr>
          <w:lang w:val="fr-FR"/>
        </w:rPr>
      </w:pPr>
      <w:r w:rsidRPr="00C71629">
        <w:rPr>
          <w:lang w:val="fr-FR"/>
        </w:rPr>
        <w:t>Depuis le début du registre</w:t>
      </w:r>
      <w:r>
        <w:rPr>
          <w:lang w:val="fr-FR"/>
        </w:rPr>
        <w:t>,</w:t>
      </w:r>
      <w:r w:rsidRPr="00C71629">
        <w:rPr>
          <w:lang w:val="fr-FR"/>
        </w:rPr>
        <w:t xml:space="preserve"> jusqu'au 1er avril </w:t>
      </w:r>
      <w:r w:rsidR="00A2154C" w:rsidRPr="00C71629">
        <w:rPr>
          <w:lang w:val="fr-FR"/>
        </w:rPr>
        <w:t>20</w:t>
      </w:r>
      <w:r w:rsidR="00A2154C">
        <w:rPr>
          <w:lang w:val="fr-FR"/>
        </w:rPr>
        <w:t>2</w:t>
      </w:r>
      <w:r w:rsidR="00CD0D68">
        <w:rPr>
          <w:lang w:val="fr-FR"/>
        </w:rPr>
        <w:t>1</w:t>
      </w:r>
      <w:r w:rsidRPr="00C71629">
        <w:rPr>
          <w:lang w:val="fr-FR"/>
        </w:rPr>
        <w:t>, 1</w:t>
      </w:r>
      <w:r w:rsidR="00585CD3">
        <w:rPr>
          <w:lang w:val="fr-FR"/>
        </w:rPr>
        <w:t>87</w:t>
      </w:r>
      <w:r>
        <w:rPr>
          <w:lang w:val="fr-FR"/>
        </w:rPr>
        <w:t xml:space="preserve"> comptes ont créé au moins un enregistrement</w:t>
      </w:r>
      <w:r w:rsidRPr="00C71629">
        <w:rPr>
          <w:lang w:val="fr-FR"/>
        </w:rPr>
        <w:t xml:space="preserve">, ils sont donc considérés comme des comptes actifs.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795"/>
        <w:gridCol w:w="1796"/>
        <w:gridCol w:w="1796"/>
      </w:tblGrid>
      <w:tr w:rsidR="003A3775" w:rsidRPr="007F1FE2" w14:paraId="7B01B10F" w14:textId="77777777" w:rsidTr="00DB322C">
        <w:trPr>
          <w:tblHeader/>
          <w:jc w:val="center"/>
        </w:trPr>
        <w:tc>
          <w:tcPr>
            <w:tcW w:w="6658" w:type="dxa"/>
            <w:gridSpan w:val="4"/>
          </w:tcPr>
          <w:p w14:paraId="1C476BDD" w14:textId="7E3FE4A9" w:rsidR="003A3775" w:rsidRPr="00DA2BAE" w:rsidRDefault="00DA2BAE" w:rsidP="00DA2BAE">
            <w:pPr>
              <w:jc w:val="both"/>
              <w:rPr>
                <w:rFonts w:ascii="inherit" w:hAnsi="inherit"/>
                <w:color w:val="212121"/>
                <w:lang w:val="fr-BE"/>
              </w:rPr>
            </w:pPr>
            <w:r w:rsidRPr="00DA2BAE">
              <w:rPr>
                <w:b/>
                <w:i/>
                <w:lang w:val="fr-FR"/>
              </w:rPr>
              <w:t>Tableau : répartition des comptes actifs par nationalité et par type, depuis le début jusqu'au 01-04-20</w:t>
            </w:r>
            <w:r w:rsidR="00A2154C">
              <w:rPr>
                <w:b/>
                <w:i/>
                <w:lang w:val="fr-FR"/>
              </w:rPr>
              <w:t>2</w:t>
            </w:r>
            <w:r w:rsidR="00585CD3">
              <w:rPr>
                <w:b/>
                <w:i/>
                <w:lang w:val="fr-FR"/>
              </w:rPr>
              <w:t>1</w:t>
            </w:r>
          </w:p>
        </w:tc>
      </w:tr>
      <w:tr w:rsidR="00DA2BAE" w:rsidRPr="003021CF" w14:paraId="4B7779A3" w14:textId="77777777" w:rsidTr="00DB322C">
        <w:trPr>
          <w:tblHeader/>
          <w:jc w:val="center"/>
        </w:trPr>
        <w:tc>
          <w:tcPr>
            <w:tcW w:w="1271" w:type="dxa"/>
          </w:tcPr>
          <w:p w14:paraId="0AF279FF" w14:textId="77777777" w:rsidR="00DA2BAE" w:rsidRPr="00B76985" w:rsidRDefault="00DA2BAE" w:rsidP="00DA2BAE">
            <w:pPr>
              <w:jc w:val="both"/>
              <w:rPr>
                <w:b/>
                <w:color w:val="FF0000"/>
                <w:lang w:val="fr-BE"/>
              </w:rPr>
            </w:pPr>
          </w:p>
        </w:tc>
        <w:tc>
          <w:tcPr>
            <w:tcW w:w="1795" w:type="dxa"/>
          </w:tcPr>
          <w:p w14:paraId="133EF4B2" w14:textId="1F8F33B1" w:rsidR="00DA2BAE" w:rsidRPr="003021CF" w:rsidRDefault="00DA2BAE" w:rsidP="00DA2BAE">
            <w:pPr>
              <w:jc w:val="center"/>
              <w:rPr>
                <w:b/>
                <w:color w:val="FF0000"/>
                <w:lang w:val="nl-BE"/>
              </w:rPr>
            </w:pPr>
            <w:r w:rsidRPr="00BD15C9">
              <w:rPr>
                <w:b/>
                <w:lang w:val="fr-FR"/>
              </w:rPr>
              <w:t>Déclarant</w:t>
            </w:r>
          </w:p>
        </w:tc>
        <w:tc>
          <w:tcPr>
            <w:tcW w:w="1796" w:type="dxa"/>
          </w:tcPr>
          <w:p w14:paraId="713E07F5" w14:textId="5B6BBC22" w:rsidR="00DA2BAE" w:rsidRPr="003021CF" w:rsidRDefault="00DA2BAE" w:rsidP="00DA2BAE">
            <w:pPr>
              <w:jc w:val="center"/>
              <w:rPr>
                <w:b/>
                <w:color w:val="FF0000"/>
                <w:lang w:val="nl-BE"/>
              </w:rPr>
            </w:pPr>
            <w:r w:rsidRPr="00BD15C9">
              <w:rPr>
                <w:b/>
                <w:lang w:val="fr-FR"/>
              </w:rPr>
              <w:t>Fournisseur étranger</w:t>
            </w:r>
          </w:p>
        </w:tc>
        <w:tc>
          <w:tcPr>
            <w:tcW w:w="1796" w:type="dxa"/>
          </w:tcPr>
          <w:p w14:paraId="73C44427" w14:textId="2F57F5F1" w:rsidR="00DA2BAE" w:rsidRPr="003021CF" w:rsidRDefault="00DA2BAE" w:rsidP="00DA2BAE">
            <w:pPr>
              <w:jc w:val="center"/>
              <w:rPr>
                <w:b/>
                <w:color w:val="FF0000"/>
                <w:lang w:val="nl-BE"/>
              </w:rPr>
            </w:pPr>
            <w:r w:rsidRPr="00BD15C9">
              <w:rPr>
                <w:b/>
                <w:lang w:val="fr-FR"/>
              </w:rPr>
              <w:t>Total</w:t>
            </w:r>
          </w:p>
        </w:tc>
      </w:tr>
      <w:tr w:rsidR="003A3775" w:rsidRPr="003021CF" w14:paraId="60742DB6" w14:textId="77777777" w:rsidTr="00DB322C">
        <w:trPr>
          <w:jc w:val="center"/>
        </w:trPr>
        <w:tc>
          <w:tcPr>
            <w:tcW w:w="1271" w:type="dxa"/>
          </w:tcPr>
          <w:p w14:paraId="41824A97" w14:textId="77777777" w:rsidR="003A3775" w:rsidRPr="00C46825" w:rsidRDefault="003A3775" w:rsidP="00915412">
            <w:pPr>
              <w:jc w:val="both"/>
              <w:rPr>
                <w:lang w:val="nl-BE"/>
              </w:rPr>
            </w:pPr>
            <w:r w:rsidRPr="00C46825">
              <w:rPr>
                <w:lang w:val="nl-BE"/>
              </w:rPr>
              <w:t>BE</w:t>
            </w:r>
          </w:p>
        </w:tc>
        <w:tc>
          <w:tcPr>
            <w:tcW w:w="1795" w:type="dxa"/>
          </w:tcPr>
          <w:p w14:paraId="3E745DAB" w14:textId="74342F63" w:rsidR="003A3775" w:rsidRPr="00C46825" w:rsidRDefault="00585CD3" w:rsidP="00915412">
            <w:pPr>
              <w:jc w:val="center"/>
              <w:rPr>
                <w:b/>
                <w:bCs/>
                <w:color w:val="FF0000"/>
                <w:lang w:val="nl-BE"/>
              </w:rPr>
            </w:pPr>
            <w:r>
              <w:rPr>
                <w:b/>
                <w:bCs/>
                <w:color w:val="FF0000"/>
                <w:lang w:val="nl-BE"/>
              </w:rPr>
              <w:t>75</w:t>
            </w:r>
          </w:p>
        </w:tc>
        <w:tc>
          <w:tcPr>
            <w:tcW w:w="1796" w:type="dxa"/>
          </w:tcPr>
          <w:p w14:paraId="113A48A8" w14:textId="110ADCE2" w:rsidR="003A3775" w:rsidRPr="00C46825" w:rsidRDefault="00585CD3" w:rsidP="00915412">
            <w:pPr>
              <w:jc w:val="center"/>
              <w:rPr>
                <w:b/>
                <w:bCs/>
                <w:color w:val="FF0000"/>
                <w:lang w:val="nl-BE"/>
              </w:rPr>
            </w:pPr>
            <w:r>
              <w:rPr>
                <w:b/>
                <w:bCs/>
                <w:color w:val="FF0000"/>
                <w:lang w:val="nl-BE"/>
              </w:rPr>
              <w:t>0</w:t>
            </w:r>
          </w:p>
        </w:tc>
        <w:tc>
          <w:tcPr>
            <w:tcW w:w="1796" w:type="dxa"/>
          </w:tcPr>
          <w:p w14:paraId="04021F37" w14:textId="59292A14" w:rsidR="003A3775" w:rsidRPr="00C46825" w:rsidRDefault="008E3E9B" w:rsidP="00915412">
            <w:pPr>
              <w:jc w:val="center"/>
              <w:rPr>
                <w:b/>
                <w:bCs/>
                <w:color w:val="FF0000"/>
                <w:lang w:val="nl-BE"/>
              </w:rPr>
            </w:pPr>
            <w:r>
              <w:rPr>
                <w:b/>
                <w:bCs/>
                <w:color w:val="FF0000"/>
                <w:lang w:val="nl-BE"/>
              </w:rPr>
              <w:t>75</w:t>
            </w:r>
          </w:p>
        </w:tc>
      </w:tr>
      <w:tr w:rsidR="003A3775" w:rsidRPr="003021CF" w14:paraId="6808EBBD" w14:textId="77777777" w:rsidTr="00DB322C">
        <w:trPr>
          <w:jc w:val="center"/>
        </w:trPr>
        <w:tc>
          <w:tcPr>
            <w:tcW w:w="1271" w:type="dxa"/>
          </w:tcPr>
          <w:p w14:paraId="640A89D0" w14:textId="77777777" w:rsidR="003A3775" w:rsidRPr="00C46825" w:rsidRDefault="003A3775" w:rsidP="00915412">
            <w:pPr>
              <w:jc w:val="both"/>
              <w:rPr>
                <w:lang w:val="nl-BE"/>
              </w:rPr>
            </w:pPr>
            <w:r w:rsidRPr="00C46825">
              <w:rPr>
                <w:lang w:val="nl-BE"/>
              </w:rPr>
              <w:t>EER</w:t>
            </w:r>
          </w:p>
        </w:tc>
        <w:tc>
          <w:tcPr>
            <w:tcW w:w="1795" w:type="dxa"/>
          </w:tcPr>
          <w:p w14:paraId="0355E395" w14:textId="6E86686F" w:rsidR="003A3775" w:rsidRPr="00C46825" w:rsidRDefault="00585CD3" w:rsidP="00915412">
            <w:pPr>
              <w:jc w:val="center"/>
              <w:rPr>
                <w:b/>
                <w:bCs/>
                <w:color w:val="FF0000"/>
                <w:lang w:val="nl-BE"/>
              </w:rPr>
            </w:pPr>
            <w:r>
              <w:rPr>
                <w:b/>
                <w:bCs/>
                <w:color w:val="FF0000"/>
                <w:lang w:val="nl-BE"/>
              </w:rPr>
              <w:t>51</w:t>
            </w:r>
          </w:p>
        </w:tc>
        <w:tc>
          <w:tcPr>
            <w:tcW w:w="1796" w:type="dxa"/>
          </w:tcPr>
          <w:p w14:paraId="110877A4" w14:textId="35616A14" w:rsidR="003A3775" w:rsidRPr="00C46825" w:rsidRDefault="00A2154C" w:rsidP="00915412">
            <w:pPr>
              <w:jc w:val="center"/>
              <w:rPr>
                <w:b/>
                <w:bCs/>
                <w:color w:val="FF0000"/>
                <w:lang w:val="nl-BE"/>
              </w:rPr>
            </w:pPr>
            <w:r w:rsidRPr="00C46825">
              <w:rPr>
                <w:b/>
                <w:bCs/>
                <w:color w:val="FF0000"/>
                <w:lang w:val="nl-BE"/>
              </w:rPr>
              <w:t>4</w:t>
            </w:r>
            <w:r w:rsidR="00585CD3">
              <w:rPr>
                <w:b/>
                <w:bCs/>
                <w:color w:val="FF0000"/>
                <w:lang w:val="nl-BE"/>
              </w:rPr>
              <w:t>5</w:t>
            </w:r>
          </w:p>
        </w:tc>
        <w:tc>
          <w:tcPr>
            <w:tcW w:w="1796" w:type="dxa"/>
          </w:tcPr>
          <w:p w14:paraId="0CE27E03" w14:textId="330C4066" w:rsidR="003A3775" w:rsidRPr="00C46825" w:rsidRDefault="00585CD3" w:rsidP="00915412">
            <w:pPr>
              <w:jc w:val="center"/>
              <w:rPr>
                <w:b/>
                <w:bCs/>
                <w:color w:val="FF0000"/>
                <w:lang w:val="nl-BE"/>
              </w:rPr>
            </w:pPr>
            <w:r>
              <w:rPr>
                <w:b/>
                <w:bCs/>
                <w:color w:val="FF0000"/>
                <w:lang w:val="nl-BE"/>
              </w:rPr>
              <w:t>96</w:t>
            </w:r>
          </w:p>
        </w:tc>
      </w:tr>
      <w:tr w:rsidR="003A3775" w:rsidRPr="003021CF" w14:paraId="3A829346" w14:textId="77777777" w:rsidTr="00DB322C">
        <w:trPr>
          <w:jc w:val="center"/>
        </w:trPr>
        <w:tc>
          <w:tcPr>
            <w:tcW w:w="1271" w:type="dxa"/>
          </w:tcPr>
          <w:p w14:paraId="3948A9C5" w14:textId="77777777" w:rsidR="003A3775" w:rsidRPr="00C46825" w:rsidRDefault="003A3775" w:rsidP="00915412">
            <w:pPr>
              <w:jc w:val="both"/>
              <w:rPr>
                <w:lang w:val="nl-BE"/>
              </w:rPr>
            </w:pPr>
            <w:r w:rsidRPr="00C46825">
              <w:rPr>
                <w:lang w:val="nl-BE"/>
              </w:rPr>
              <w:t>Non-EER</w:t>
            </w:r>
          </w:p>
        </w:tc>
        <w:tc>
          <w:tcPr>
            <w:tcW w:w="1795" w:type="dxa"/>
          </w:tcPr>
          <w:p w14:paraId="33A5CAED" w14:textId="7D19822D" w:rsidR="003A3775" w:rsidRPr="00C46825" w:rsidRDefault="00A2154C" w:rsidP="00915412">
            <w:pPr>
              <w:jc w:val="center"/>
              <w:rPr>
                <w:b/>
                <w:bCs/>
                <w:color w:val="FF0000"/>
                <w:lang w:val="nl-BE"/>
              </w:rPr>
            </w:pPr>
            <w:r w:rsidRPr="00C46825">
              <w:rPr>
                <w:b/>
                <w:bCs/>
                <w:color w:val="FF0000"/>
                <w:lang w:val="nl-BE"/>
              </w:rPr>
              <w:t>4</w:t>
            </w:r>
          </w:p>
        </w:tc>
        <w:tc>
          <w:tcPr>
            <w:tcW w:w="1796" w:type="dxa"/>
          </w:tcPr>
          <w:p w14:paraId="7A66B033" w14:textId="780F50E8" w:rsidR="003A3775" w:rsidRPr="00C46825" w:rsidRDefault="00D109CE" w:rsidP="00915412">
            <w:pPr>
              <w:jc w:val="center"/>
              <w:rPr>
                <w:b/>
                <w:bCs/>
                <w:color w:val="FF0000"/>
                <w:lang w:val="nl-BE"/>
              </w:rPr>
            </w:pPr>
            <w:r w:rsidRPr="00C46825">
              <w:rPr>
                <w:b/>
                <w:bCs/>
                <w:color w:val="FF0000"/>
                <w:lang w:val="nl-BE"/>
              </w:rPr>
              <w:t>1</w:t>
            </w:r>
            <w:r w:rsidR="00585CD3">
              <w:rPr>
                <w:b/>
                <w:bCs/>
                <w:color w:val="FF0000"/>
                <w:lang w:val="nl-BE"/>
              </w:rPr>
              <w:t>2</w:t>
            </w:r>
          </w:p>
        </w:tc>
        <w:tc>
          <w:tcPr>
            <w:tcW w:w="1796" w:type="dxa"/>
          </w:tcPr>
          <w:p w14:paraId="50828704" w14:textId="7E9FDBE6" w:rsidR="003A3775" w:rsidRPr="00C46825" w:rsidRDefault="00D109CE" w:rsidP="00915412">
            <w:pPr>
              <w:jc w:val="center"/>
              <w:rPr>
                <w:b/>
                <w:bCs/>
                <w:color w:val="FF0000"/>
                <w:lang w:val="nl-BE"/>
              </w:rPr>
            </w:pPr>
            <w:r w:rsidRPr="00C46825">
              <w:rPr>
                <w:b/>
                <w:bCs/>
                <w:color w:val="FF0000"/>
                <w:lang w:val="nl-BE"/>
              </w:rPr>
              <w:t>1</w:t>
            </w:r>
            <w:r w:rsidR="00585CD3">
              <w:rPr>
                <w:b/>
                <w:bCs/>
                <w:color w:val="FF0000"/>
                <w:lang w:val="nl-BE"/>
              </w:rPr>
              <w:t>6</w:t>
            </w:r>
          </w:p>
        </w:tc>
      </w:tr>
      <w:tr w:rsidR="003A3775" w:rsidRPr="003021CF" w14:paraId="6EBD223D" w14:textId="77777777" w:rsidTr="00DB322C">
        <w:trPr>
          <w:jc w:val="center"/>
        </w:trPr>
        <w:tc>
          <w:tcPr>
            <w:tcW w:w="1271" w:type="dxa"/>
          </w:tcPr>
          <w:p w14:paraId="3E58B0B5" w14:textId="356173BC" w:rsidR="003A3775" w:rsidRPr="00C46825" w:rsidRDefault="00DA2BAE" w:rsidP="00915412">
            <w:pPr>
              <w:jc w:val="both"/>
              <w:rPr>
                <w:lang w:val="nl-BE"/>
              </w:rPr>
            </w:pPr>
            <w:r w:rsidRPr="00C46825">
              <w:rPr>
                <w:lang w:val="nl-BE"/>
              </w:rPr>
              <w:t>Tot</w:t>
            </w:r>
            <w:r w:rsidR="003A3775" w:rsidRPr="00C46825">
              <w:rPr>
                <w:lang w:val="nl-BE"/>
              </w:rPr>
              <w:t>al</w:t>
            </w:r>
          </w:p>
        </w:tc>
        <w:tc>
          <w:tcPr>
            <w:tcW w:w="1795" w:type="dxa"/>
          </w:tcPr>
          <w:p w14:paraId="6B7FE625" w14:textId="55C3FE10" w:rsidR="003A3775" w:rsidRPr="00C46825" w:rsidRDefault="00A2154C" w:rsidP="00915412">
            <w:pPr>
              <w:jc w:val="center"/>
              <w:rPr>
                <w:b/>
                <w:bCs/>
                <w:color w:val="FF0000"/>
                <w:lang w:val="nl-BE"/>
              </w:rPr>
            </w:pPr>
            <w:r w:rsidRPr="00C46825">
              <w:rPr>
                <w:b/>
                <w:bCs/>
                <w:color w:val="FF0000"/>
                <w:lang w:val="nl-BE"/>
              </w:rPr>
              <w:t>1</w:t>
            </w:r>
            <w:r w:rsidR="00585CD3">
              <w:rPr>
                <w:b/>
                <w:bCs/>
                <w:color w:val="FF0000"/>
                <w:lang w:val="nl-BE"/>
              </w:rPr>
              <w:t>30</w:t>
            </w:r>
          </w:p>
        </w:tc>
        <w:tc>
          <w:tcPr>
            <w:tcW w:w="1796" w:type="dxa"/>
          </w:tcPr>
          <w:p w14:paraId="24AD03D7" w14:textId="5AF6A139" w:rsidR="003A3775" w:rsidRPr="00C46825" w:rsidRDefault="00A2154C" w:rsidP="00915412">
            <w:pPr>
              <w:jc w:val="center"/>
              <w:rPr>
                <w:b/>
                <w:bCs/>
                <w:color w:val="FF0000"/>
                <w:lang w:val="nl-BE"/>
              </w:rPr>
            </w:pPr>
            <w:r w:rsidRPr="00C46825">
              <w:rPr>
                <w:b/>
                <w:bCs/>
                <w:color w:val="FF0000"/>
                <w:lang w:val="nl-BE"/>
              </w:rPr>
              <w:t>5</w:t>
            </w:r>
            <w:r w:rsidR="00585CD3">
              <w:rPr>
                <w:b/>
                <w:bCs/>
                <w:color w:val="FF0000"/>
                <w:lang w:val="nl-BE"/>
              </w:rPr>
              <w:t>7</w:t>
            </w:r>
          </w:p>
        </w:tc>
        <w:tc>
          <w:tcPr>
            <w:tcW w:w="1796" w:type="dxa"/>
          </w:tcPr>
          <w:p w14:paraId="1C792640" w14:textId="4293F9C0" w:rsidR="003A3775" w:rsidRPr="00C46825" w:rsidRDefault="00D109CE" w:rsidP="00915412">
            <w:pPr>
              <w:jc w:val="center"/>
              <w:rPr>
                <w:b/>
                <w:bCs/>
                <w:color w:val="FF0000"/>
                <w:lang w:val="nl-BE"/>
              </w:rPr>
            </w:pPr>
            <w:r w:rsidRPr="00C46825">
              <w:rPr>
                <w:b/>
                <w:bCs/>
                <w:color w:val="FF0000"/>
                <w:lang w:val="nl-BE"/>
              </w:rPr>
              <w:t>1</w:t>
            </w:r>
            <w:r w:rsidR="00585CD3">
              <w:rPr>
                <w:b/>
                <w:bCs/>
                <w:color w:val="FF0000"/>
                <w:lang w:val="nl-BE"/>
              </w:rPr>
              <w:t>87</w:t>
            </w:r>
          </w:p>
        </w:tc>
      </w:tr>
    </w:tbl>
    <w:p w14:paraId="00D2A84B" w14:textId="1C8AF092" w:rsidR="00DA2BAE" w:rsidRPr="00DA2BAE" w:rsidRDefault="00DA2BAE" w:rsidP="00CD3FBB">
      <w:pPr>
        <w:jc w:val="both"/>
        <w:rPr>
          <w:lang w:val="fr-BE"/>
        </w:rPr>
      </w:pPr>
      <w:r w:rsidRPr="00DA2BAE">
        <w:rPr>
          <w:lang w:val="fr-BE"/>
        </w:rPr>
        <w:br/>
      </w:r>
      <w:r w:rsidRPr="00DA2BAE">
        <w:rPr>
          <w:lang w:val="fr-FR"/>
        </w:rPr>
        <w:t>Pour l'ensemble de l</w:t>
      </w:r>
      <w:r w:rsidR="00BF4BF9">
        <w:rPr>
          <w:lang w:val="fr-FR"/>
        </w:rPr>
        <w:t>a période: le ratio déclarant/</w:t>
      </w:r>
      <w:r w:rsidRPr="00DA2BAE">
        <w:rPr>
          <w:lang w:val="fr-FR"/>
        </w:rPr>
        <w:t xml:space="preserve">fournisseur étranger </w:t>
      </w:r>
      <w:r w:rsidR="00585CD3">
        <w:rPr>
          <w:lang w:val="fr-FR"/>
        </w:rPr>
        <w:t>reste équivalent à 2019 avec</w:t>
      </w:r>
      <w:r w:rsidR="00A2154C">
        <w:rPr>
          <w:lang w:val="fr-FR"/>
        </w:rPr>
        <w:t xml:space="preserve"> un rapport supérieur à</w:t>
      </w:r>
      <w:r w:rsidRPr="00DA2BAE">
        <w:rPr>
          <w:lang w:val="fr-FR"/>
        </w:rPr>
        <w:t xml:space="preserve"> </w:t>
      </w:r>
      <w:r w:rsidR="00D109CE">
        <w:rPr>
          <w:lang w:val="fr-FR"/>
        </w:rPr>
        <w:t>2/1</w:t>
      </w:r>
      <w:r w:rsidRPr="00DA2BAE">
        <w:rPr>
          <w:lang w:val="fr-FR"/>
        </w:rPr>
        <w:t>.</w:t>
      </w:r>
    </w:p>
    <w:p w14:paraId="040FF1CE" w14:textId="233ADC10" w:rsidR="00C157BB" w:rsidRPr="00BD15C9" w:rsidRDefault="00C157BB">
      <w:pPr>
        <w:jc w:val="both"/>
        <w:rPr>
          <w:lang w:val="fr-FR"/>
        </w:rPr>
      </w:pPr>
      <w:r w:rsidRPr="00BD15C9">
        <w:rPr>
          <w:lang w:val="fr-FR"/>
        </w:rPr>
        <w:t xml:space="preserve"> </w:t>
      </w:r>
    </w:p>
    <w:p w14:paraId="2FBA1DE1" w14:textId="36A238D0" w:rsidR="00BF66D9" w:rsidRPr="00B76985" w:rsidRDefault="00BF66D9" w:rsidP="00BF66D9">
      <w:pPr>
        <w:pStyle w:val="Titre1"/>
        <w:rPr>
          <w:lang w:val="fr-BE"/>
        </w:rPr>
      </w:pPr>
      <w:bookmarkStart w:id="30" w:name="_Toc76034159"/>
      <w:r w:rsidRPr="00B76985">
        <w:rPr>
          <w:lang w:val="fr-BE"/>
        </w:rPr>
        <w:t>Informations relatives aux enregistrements</w:t>
      </w:r>
      <w:bookmarkEnd w:id="30"/>
    </w:p>
    <w:p w14:paraId="6CD54A24" w14:textId="54563872" w:rsidR="00827288" w:rsidRDefault="00827288" w:rsidP="00B76985">
      <w:pPr>
        <w:pStyle w:val="Titre2"/>
      </w:pPr>
      <w:bookmarkStart w:id="31" w:name="_Ref74734995"/>
      <w:bookmarkStart w:id="32" w:name="_Toc76034160"/>
      <w:r w:rsidRPr="00BD15C9">
        <w:t>Nombre d'enregistrements</w:t>
      </w:r>
      <w:bookmarkEnd w:id="31"/>
      <w:bookmarkEnd w:id="32"/>
    </w:p>
    <w:p w14:paraId="0E3FF373" w14:textId="0A68FD05" w:rsidR="00A328E5" w:rsidRPr="00A328E5" w:rsidRDefault="00BF4BF9" w:rsidP="00A328E5">
      <w:pPr>
        <w:jc w:val="both"/>
        <w:rPr>
          <w:lang w:val="fr-FR"/>
        </w:rPr>
      </w:pPr>
      <w:r>
        <w:rPr>
          <w:lang w:val="fr-FR"/>
        </w:rPr>
        <w:t>C</w:t>
      </w:r>
      <w:r w:rsidR="00A328E5" w:rsidRPr="007E6313">
        <w:rPr>
          <w:lang w:val="fr-FR"/>
        </w:rPr>
        <w:t>omprend les enregistrements indépendamment de l'année commerciale mentionnée.</w:t>
      </w:r>
    </w:p>
    <w:p w14:paraId="59C25E8C" w14:textId="03D7DC74" w:rsidR="00A328E5" w:rsidRPr="00BF4BF9" w:rsidRDefault="00A328E5" w:rsidP="00B76985">
      <w:pPr>
        <w:pStyle w:val="Titre3"/>
      </w:pPr>
      <w:bookmarkStart w:id="33" w:name="_Toc76034161"/>
      <w:r w:rsidRPr="00BF4BF9">
        <w:t>Substances</w:t>
      </w:r>
      <w:bookmarkEnd w:id="33"/>
    </w:p>
    <w:p w14:paraId="43957B50" w14:textId="2EBA2E23" w:rsidR="005D1E5E" w:rsidRPr="00BD15C9" w:rsidRDefault="00A328E5" w:rsidP="005D1E5E">
      <w:pPr>
        <w:jc w:val="both"/>
        <w:rPr>
          <w:lang w:val="fr-FR"/>
        </w:rPr>
      </w:pPr>
      <w:r w:rsidRPr="00B76985">
        <w:rPr>
          <w:lang w:val="fr-BE"/>
        </w:rPr>
        <w:br/>
      </w:r>
      <w:r w:rsidRPr="00B76985">
        <w:rPr>
          <w:lang w:val="fr-FR"/>
        </w:rPr>
        <w:t xml:space="preserve">Le 1er avril </w:t>
      </w:r>
      <w:r w:rsidR="00333E66" w:rsidRPr="00B76985">
        <w:rPr>
          <w:lang w:val="fr-FR"/>
        </w:rPr>
        <w:t>20</w:t>
      </w:r>
      <w:r w:rsidR="00333E66">
        <w:rPr>
          <w:lang w:val="fr-FR"/>
        </w:rPr>
        <w:t>2</w:t>
      </w:r>
      <w:r w:rsidR="00585CD3">
        <w:rPr>
          <w:lang w:val="fr-FR"/>
        </w:rPr>
        <w:t>1</w:t>
      </w:r>
      <w:r w:rsidRPr="00333E66">
        <w:rPr>
          <w:lang w:val="fr-FR"/>
        </w:rPr>
        <w:t>,</w:t>
      </w:r>
      <w:r w:rsidR="00B85155">
        <w:rPr>
          <w:lang w:val="fr-FR"/>
        </w:rPr>
        <w:t> 811</w:t>
      </w:r>
      <w:r w:rsidR="00333E66" w:rsidRPr="00333E66">
        <w:rPr>
          <w:lang w:val="fr-FR"/>
        </w:rPr>
        <w:t xml:space="preserve"> </w:t>
      </w:r>
      <w:r w:rsidRPr="00333E66">
        <w:rPr>
          <w:lang w:val="fr-FR"/>
        </w:rPr>
        <w:t xml:space="preserve">enregistrements au total ont été enregistrés pour des substances ayant le statut «soumis». Ce sont donc </w:t>
      </w:r>
      <w:r w:rsidR="00333E66" w:rsidRPr="001A254B">
        <w:rPr>
          <w:lang w:val="fr-FR"/>
        </w:rPr>
        <w:t>1</w:t>
      </w:r>
      <w:r w:rsidR="00B85155">
        <w:rPr>
          <w:lang w:val="fr-FR"/>
        </w:rPr>
        <w:t>45</w:t>
      </w:r>
      <w:r w:rsidR="00333E66" w:rsidRPr="00333E66">
        <w:rPr>
          <w:lang w:val="fr-FR"/>
        </w:rPr>
        <w:t xml:space="preserve"> </w:t>
      </w:r>
      <w:r w:rsidRPr="00333E66">
        <w:rPr>
          <w:lang w:val="fr-FR"/>
        </w:rPr>
        <w:t>enregistrements</w:t>
      </w:r>
      <w:r w:rsidRPr="00B76985">
        <w:rPr>
          <w:lang w:val="fr-FR"/>
        </w:rPr>
        <w:t xml:space="preserve"> nets de plus qu'à la fin de la période de référence précédente.</w:t>
      </w:r>
      <w:r w:rsidR="0034763C">
        <w:rPr>
          <w:lang w:val="fr-FR"/>
        </w:rPr>
        <w:t xml:space="preserve"> </w:t>
      </w:r>
      <w:r w:rsidR="00B80008" w:rsidRPr="00BD15C9">
        <w:rPr>
          <w:lang w:val="fr-FR"/>
        </w:rPr>
        <w:t>Le tableau ci-dessous donne un aperçu des enregistrements soumis avant le 1</w:t>
      </w:r>
      <w:r w:rsidR="00B80008" w:rsidRPr="00BD15C9">
        <w:rPr>
          <w:vertAlign w:val="superscript"/>
          <w:lang w:val="fr-FR"/>
        </w:rPr>
        <w:t>er</w:t>
      </w:r>
      <w:r w:rsidR="00B80008" w:rsidRPr="00BD15C9">
        <w:rPr>
          <w:lang w:val="fr-FR"/>
        </w:rPr>
        <w:t xml:space="preserve"> avril </w:t>
      </w:r>
      <w:r w:rsidR="00B85155" w:rsidRPr="00BD15C9">
        <w:rPr>
          <w:lang w:val="fr-FR"/>
        </w:rPr>
        <w:t>20</w:t>
      </w:r>
      <w:r w:rsidR="00B85155">
        <w:rPr>
          <w:lang w:val="fr-FR"/>
        </w:rPr>
        <w:t xml:space="preserve">21 </w:t>
      </w:r>
      <w:r w:rsidR="00B80008" w:rsidRPr="00BD15C9">
        <w:rPr>
          <w:lang w:val="fr-FR"/>
        </w:rPr>
        <w:t>et de la répartition des différentes nationalités et des différents types dans le registre. Une distinction supplémentaire est faite concernant le type de Déclarant entre l'enregistrement d'un nanomatériau mis sur le marché à des fins commerciales et entre un nanomatériau exclusivement destiné à des fins de recherche scientifique (enregistrement simplifié). Le dernier type d'enregistrement comprend uniquement l'identification chimique de la subst</w:t>
      </w:r>
      <w:r w:rsidR="000C7BDE">
        <w:rPr>
          <w:lang w:val="fr-FR"/>
        </w:rPr>
        <w:t>ance à l'état nanoparticulaire.</w:t>
      </w:r>
    </w:p>
    <w:p w14:paraId="75E2627A" w14:textId="4D9D41DE" w:rsidR="00B80008" w:rsidRDefault="00B80008" w:rsidP="00BE2BA8">
      <w:pPr>
        <w:rPr>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985"/>
        <w:gridCol w:w="1417"/>
        <w:gridCol w:w="1560"/>
        <w:gridCol w:w="1701"/>
      </w:tblGrid>
      <w:tr w:rsidR="00915412" w:rsidRPr="007F1FE2" w14:paraId="508EE2FC" w14:textId="77777777" w:rsidTr="00DB322C">
        <w:trPr>
          <w:tblHeader/>
          <w:jc w:val="center"/>
        </w:trPr>
        <w:tc>
          <w:tcPr>
            <w:tcW w:w="7792" w:type="dxa"/>
            <w:gridSpan w:val="5"/>
          </w:tcPr>
          <w:p w14:paraId="0AFABF70" w14:textId="336BFC49" w:rsidR="00915412" w:rsidRPr="00BD15C9" w:rsidRDefault="00915412" w:rsidP="00915412">
            <w:pPr>
              <w:jc w:val="both"/>
              <w:rPr>
                <w:b/>
                <w:i/>
                <w:lang w:val="fr-FR"/>
              </w:rPr>
            </w:pPr>
            <w:r w:rsidRPr="00BD15C9">
              <w:rPr>
                <w:b/>
                <w:i/>
                <w:lang w:val="fr-FR"/>
              </w:rPr>
              <w:lastRenderedPageBreak/>
              <w:t>Tableau : répartition des enregistrements</w:t>
            </w:r>
            <w:r>
              <w:rPr>
                <w:b/>
                <w:i/>
                <w:lang w:val="fr-FR"/>
              </w:rPr>
              <w:t xml:space="preserve"> pour des substances</w:t>
            </w:r>
            <w:r w:rsidRPr="00BD15C9">
              <w:rPr>
                <w:b/>
                <w:i/>
                <w:lang w:val="fr-FR"/>
              </w:rPr>
              <w:t xml:space="preserve"> soumis par nationalité, par type de compte et par type d'enregistrement</w:t>
            </w:r>
          </w:p>
        </w:tc>
      </w:tr>
      <w:tr w:rsidR="00915412" w:rsidRPr="00BD15C9" w14:paraId="226EBB1E" w14:textId="77777777" w:rsidTr="00DB322C">
        <w:trPr>
          <w:tblHeader/>
          <w:jc w:val="center"/>
        </w:trPr>
        <w:tc>
          <w:tcPr>
            <w:tcW w:w="1129" w:type="dxa"/>
          </w:tcPr>
          <w:p w14:paraId="14A6B956" w14:textId="77777777" w:rsidR="00915412" w:rsidRPr="00BD15C9" w:rsidRDefault="00915412" w:rsidP="00915412">
            <w:pPr>
              <w:rPr>
                <w:lang w:val="fr-FR"/>
              </w:rPr>
            </w:pPr>
          </w:p>
        </w:tc>
        <w:tc>
          <w:tcPr>
            <w:tcW w:w="3402" w:type="dxa"/>
            <w:gridSpan w:val="2"/>
          </w:tcPr>
          <w:p w14:paraId="5B20DF46" w14:textId="77777777" w:rsidR="00915412" w:rsidRPr="00BD15C9" w:rsidRDefault="00915412" w:rsidP="00915412">
            <w:pPr>
              <w:jc w:val="center"/>
              <w:rPr>
                <w:b/>
                <w:lang w:val="fr-FR"/>
              </w:rPr>
            </w:pPr>
            <w:r w:rsidRPr="00BD15C9">
              <w:rPr>
                <w:b/>
                <w:lang w:val="fr-FR"/>
              </w:rPr>
              <w:t>Déclarant</w:t>
            </w:r>
          </w:p>
        </w:tc>
        <w:tc>
          <w:tcPr>
            <w:tcW w:w="1560" w:type="dxa"/>
          </w:tcPr>
          <w:p w14:paraId="172261C4" w14:textId="77777777" w:rsidR="00915412" w:rsidRPr="00BD15C9" w:rsidRDefault="00915412" w:rsidP="00915412">
            <w:pPr>
              <w:jc w:val="center"/>
              <w:rPr>
                <w:b/>
                <w:lang w:val="fr-FR"/>
              </w:rPr>
            </w:pPr>
            <w:r w:rsidRPr="00BD15C9">
              <w:rPr>
                <w:b/>
                <w:lang w:val="fr-FR"/>
              </w:rPr>
              <w:t>Fournisseur étranger</w:t>
            </w:r>
          </w:p>
        </w:tc>
        <w:tc>
          <w:tcPr>
            <w:tcW w:w="1701" w:type="dxa"/>
          </w:tcPr>
          <w:p w14:paraId="1D0D4DCF" w14:textId="77777777" w:rsidR="00915412" w:rsidRPr="00BD15C9" w:rsidRDefault="00915412" w:rsidP="00915412">
            <w:pPr>
              <w:jc w:val="center"/>
              <w:rPr>
                <w:b/>
                <w:lang w:val="fr-FR"/>
              </w:rPr>
            </w:pPr>
            <w:r w:rsidRPr="00BD15C9">
              <w:rPr>
                <w:b/>
                <w:lang w:val="fr-FR"/>
              </w:rPr>
              <w:t>Total</w:t>
            </w:r>
          </w:p>
        </w:tc>
      </w:tr>
      <w:tr w:rsidR="00915412" w:rsidRPr="00BD15C9" w14:paraId="3816859A" w14:textId="77777777" w:rsidTr="00DB322C">
        <w:trPr>
          <w:tblHeader/>
          <w:jc w:val="center"/>
        </w:trPr>
        <w:tc>
          <w:tcPr>
            <w:tcW w:w="1129" w:type="dxa"/>
          </w:tcPr>
          <w:p w14:paraId="0D0D3B3A" w14:textId="77777777" w:rsidR="00915412" w:rsidRPr="00BD15C9" w:rsidRDefault="00915412" w:rsidP="00915412">
            <w:pPr>
              <w:rPr>
                <w:lang w:val="fr-FR"/>
              </w:rPr>
            </w:pPr>
          </w:p>
        </w:tc>
        <w:tc>
          <w:tcPr>
            <w:tcW w:w="1985" w:type="dxa"/>
          </w:tcPr>
          <w:p w14:paraId="4FA5E4EE" w14:textId="77777777" w:rsidR="00915412" w:rsidRPr="00BD15C9" w:rsidRDefault="00915412" w:rsidP="00915412">
            <w:pPr>
              <w:jc w:val="center"/>
              <w:rPr>
                <w:b/>
                <w:lang w:val="fr-FR"/>
              </w:rPr>
            </w:pPr>
            <w:r w:rsidRPr="00BD15C9">
              <w:rPr>
                <w:b/>
                <w:lang w:val="fr-FR"/>
              </w:rPr>
              <w:t>Substance commerciale</w:t>
            </w:r>
          </w:p>
        </w:tc>
        <w:tc>
          <w:tcPr>
            <w:tcW w:w="1417" w:type="dxa"/>
          </w:tcPr>
          <w:p w14:paraId="2A4C5587" w14:textId="77777777" w:rsidR="00915412" w:rsidRPr="00BD15C9" w:rsidRDefault="00915412" w:rsidP="00915412">
            <w:pPr>
              <w:jc w:val="center"/>
              <w:rPr>
                <w:b/>
                <w:lang w:val="fr-FR"/>
              </w:rPr>
            </w:pPr>
            <w:r w:rsidRPr="00BD15C9">
              <w:rPr>
                <w:b/>
                <w:lang w:val="fr-FR"/>
              </w:rPr>
              <w:t>Substance R&amp;D</w:t>
            </w:r>
          </w:p>
        </w:tc>
        <w:tc>
          <w:tcPr>
            <w:tcW w:w="1560" w:type="dxa"/>
          </w:tcPr>
          <w:p w14:paraId="4D79F86E" w14:textId="77777777" w:rsidR="00915412" w:rsidRPr="00BD15C9" w:rsidRDefault="00915412" w:rsidP="00915412">
            <w:pPr>
              <w:rPr>
                <w:b/>
                <w:lang w:val="fr-FR"/>
              </w:rPr>
            </w:pPr>
          </w:p>
        </w:tc>
        <w:tc>
          <w:tcPr>
            <w:tcW w:w="1701" w:type="dxa"/>
          </w:tcPr>
          <w:p w14:paraId="5B3C6C60" w14:textId="77777777" w:rsidR="00915412" w:rsidRPr="00BD15C9" w:rsidRDefault="00915412" w:rsidP="00915412">
            <w:pPr>
              <w:rPr>
                <w:b/>
                <w:lang w:val="fr-FR"/>
              </w:rPr>
            </w:pPr>
          </w:p>
        </w:tc>
      </w:tr>
      <w:tr w:rsidR="00B85155" w:rsidRPr="00BD15C9" w14:paraId="251D9CAF" w14:textId="77777777" w:rsidTr="00DB322C">
        <w:trPr>
          <w:jc w:val="center"/>
        </w:trPr>
        <w:tc>
          <w:tcPr>
            <w:tcW w:w="1129" w:type="dxa"/>
          </w:tcPr>
          <w:p w14:paraId="53103FE8" w14:textId="77777777" w:rsidR="00B85155" w:rsidRPr="00BD15C9" w:rsidRDefault="00B85155" w:rsidP="00B85155">
            <w:pPr>
              <w:rPr>
                <w:lang w:val="fr-FR"/>
              </w:rPr>
            </w:pPr>
            <w:r w:rsidRPr="00BD15C9">
              <w:rPr>
                <w:lang w:val="fr-FR"/>
              </w:rPr>
              <w:t>BE</w:t>
            </w:r>
          </w:p>
        </w:tc>
        <w:tc>
          <w:tcPr>
            <w:tcW w:w="1985" w:type="dxa"/>
          </w:tcPr>
          <w:p w14:paraId="317094C1" w14:textId="3788CF61" w:rsidR="00B85155" w:rsidRPr="008E3E9B" w:rsidRDefault="00B85155" w:rsidP="00B85155">
            <w:pPr>
              <w:jc w:val="center"/>
              <w:rPr>
                <w:b/>
                <w:bCs/>
                <w:color w:val="FF0000"/>
                <w:lang w:val="fr-FR"/>
              </w:rPr>
            </w:pPr>
            <w:r w:rsidRPr="008E3E9B">
              <w:rPr>
                <w:b/>
                <w:bCs/>
                <w:color w:val="FF0000"/>
                <w:lang w:val="nl-BE"/>
              </w:rPr>
              <w:t>231</w:t>
            </w:r>
          </w:p>
        </w:tc>
        <w:tc>
          <w:tcPr>
            <w:tcW w:w="1417" w:type="dxa"/>
          </w:tcPr>
          <w:p w14:paraId="4707720D" w14:textId="16888DD7" w:rsidR="00B85155" w:rsidRPr="008E3E9B" w:rsidRDefault="00B85155" w:rsidP="00B85155">
            <w:pPr>
              <w:jc w:val="center"/>
              <w:rPr>
                <w:b/>
                <w:bCs/>
                <w:color w:val="FF0000"/>
                <w:lang w:val="fr-FR"/>
              </w:rPr>
            </w:pPr>
            <w:r w:rsidRPr="008E3E9B">
              <w:rPr>
                <w:b/>
                <w:bCs/>
                <w:color w:val="FF0000"/>
                <w:lang w:val="nl-BE"/>
              </w:rPr>
              <w:t>90</w:t>
            </w:r>
          </w:p>
        </w:tc>
        <w:tc>
          <w:tcPr>
            <w:tcW w:w="1560" w:type="dxa"/>
          </w:tcPr>
          <w:p w14:paraId="03AF3092" w14:textId="0FB61D2B" w:rsidR="00B85155" w:rsidRPr="008E3E9B" w:rsidRDefault="00B85155" w:rsidP="00B85155">
            <w:pPr>
              <w:jc w:val="center"/>
              <w:rPr>
                <w:b/>
                <w:bCs/>
                <w:color w:val="FF0000"/>
                <w:lang w:val="fr-FR"/>
              </w:rPr>
            </w:pPr>
            <w:r w:rsidRPr="008E3E9B">
              <w:rPr>
                <w:b/>
                <w:bCs/>
                <w:color w:val="FF0000"/>
                <w:lang w:val="nl-BE"/>
              </w:rPr>
              <w:t>0</w:t>
            </w:r>
          </w:p>
        </w:tc>
        <w:tc>
          <w:tcPr>
            <w:tcW w:w="1701" w:type="dxa"/>
          </w:tcPr>
          <w:p w14:paraId="72E70E54" w14:textId="5889A69A" w:rsidR="00B85155" w:rsidRPr="008E3E9B" w:rsidRDefault="00B85155" w:rsidP="00B85155">
            <w:pPr>
              <w:jc w:val="center"/>
              <w:rPr>
                <w:b/>
                <w:bCs/>
                <w:color w:val="FF0000"/>
                <w:lang w:val="fr-FR"/>
              </w:rPr>
            </w:pPr>
            <w:r w:rsidRPr="008E3E9B">
              <w:rPr>
                <w:b/>
                <w:bCs/>
                <w:color w:val="FF0000"/>
                <w:lang w:val="nl-BE"/>
              </w:rPr>
              <w:t>321</w:t>
            </w:r>
          </w:p>
        </w:tc>
      </w:tr>
      <w:tr w:rsidR="00B85155" w:rsidRPr="00BD15C9" w14:paraId="28B40812" w14:textId="77777777" w:rsidTr="00DB322C">
        <w:trPr>
          <w:jc w:val="center"/>
        </w:trPr>
        <w:tc>
          <w:tcPr>
            <w:tcW w:w="1129" w:type="dxa"/>
          </w:tcPr>
          <w:p w14:paraId="7C10BC43" w14:textId="77777777" w:rsidR="00B85155" w:rsidRPr="00BD15C9" w:rsidRDefault="00B85155" w:rsidP="00B85155">
            <w:pPr>
              <w:rPr>
                <w:lang w:val="fr-FR"/>
              </w:rPr>
            </w:pPr>
            <w:r w:rsidRPr="00BD15C9">
              <w:rPr>
                <w:lang w:val="fr-FR"/>
              </w:rPr>
              <w:t>EEE</w:t>
            </w:r>
          </w:p>
        </w:tc>
        <w:tc>
          <w:tcPr>
            <w:tcW w:w="1985" w:type="dxa"/>
          </w:tcPr>
          <w:p w14:paraId="29135C9D" w14:textId="33C953B0" w:rsidR="00B85155" w:rsidRPr="008E3E9B" w:rsidRDefault="00B85155" w:rsidP="00B85155">
            <w:pPr>
              <w:jc w:val="center"/>
              <w:rPr>
                <w:b/>
                <w:bCs/>
                <w:color w:val="FF0000"/>
                <w:lang w:val="fr-FR"/>
              </w:rPr>
            </w:pPr>
            <w:r w:rsidRPr="008E3E9B">
              <w:rPr>
                <w:b/>
                <w:bCs/>
                <w:color w:val="FF0000"/>
                <w:lang w:val="nl-BE"/>
              </w:rPr>
              <w:t>172</w:t>
            </w:r>
          </w:p>
        </w:tc>
        <w:tc>
          <w:tcPr>
            <w:tcW w:w="1417" w:type="dxa"/>
          </w:tcPr>
          <w:p w14:paraId="66D4B9B1" w14:textId="4D9C5670" w:rsidR="00B85155" w:rsidRPr="008E3E9B" w:rsidRDefault="00B85155" w:rsidP="00B85155">
            <w:pPr>
              <w:jc w:val="center"/>
              <w:rPr>
                <w:b/>
                <w:bCs/>
                <w:color w:val="FF0000"/>
                <w:lang w:val="fr-FR"/>
              </w:rPr>
            </w:pPr>
            <w:r w:rsidRPr="008E3E9B">
              <w:rPr>
                <w:b/>
                <w:bCs/>
                <w:color w:val="FF0000"/>
                <w:lang w:val="nl-BE"/>
              </w:rPr>
              <w:t>2</w:t>
            </w:r>
          </w:p>
        </w:tc>
        <w:tc>
          <w:tcPr>
            <w:tcW w:w="1560" w:type="dxa"/>
          </w:tcPr>
          <w:p w14:paraId="09E4A028" w14:textId="01ACD5D1" w:rsidR="00B85155" w:rsidRPr="008E3E9B" w:rsidRDefault="00B85155" w:rsidP="00B85155">
            <w:pPr>
              <w:jc w:val="center"/>
              <w:rPr>
                <w:b/>
                <w:bCs/>
                <w:color w:val="FF0000"/>
                <w:lang w:val="fr-FR"/>
              </w:rPr>
            </w:pPr>
            <w:r w:rsidRPr="008E3E9B">
              <w:rPr>
                <w:b/>
                <w:bCs/>
                <w:color w:val="FF0000"/>
                <w:lang w:val="nl-BE"/>
              </w:rPr>
              <w:t>277</w:t>
            </w:r>
          </w:p>
        </w:tc>
        <w:tc>
          <w:tcPr>
            <w:tcW w:w="1701" w:type="dxa"/>
          </w:tcPr>
          <w:p w14:paraId="22E0E4BE" w14:textId="5E935F35" w:rsidR="00B85155" w:rsidRPr="008E3E9B" w:rsidRDefault="00B85155" w:rsidP="00B85155">
            <w:pPr>
              <w:jc w:val="center"/>
              <w:rPr>
                <w:b/>
                <w:bCs/>
                <w:color w:val="FF0000"/>
                <w:lang w:val="fr-FR"/>
              </w:rPr>
            </w:pPr>
            <w:r w:rsidRPr="008E3E9B">
              <w:rPr>
                <w:b/>
                <w:bCs/>
                <w:color w:val="FF0000"/>
                <w:lang w:val="nl-BE"/>
              </w:rPr>
              <w:t>451</w:t>
            </w:r>
          </w:p>
        </w:tc>
      </w:tr>
      <w:tr w:rsidR="00B85155" w:rsidRPr="00BD15C9" w14:paraId="377EE459" w14:textId="77777777" w:rsidTr="00DB322C">
        <w:trPr>
          <w:jc w:val="center"/>
        </w:trPr>
        <w:tc>
          <w:tcPr>
            <w:tcW w:w="1129" w:type="dxa"/>
          </w:tcPr>
          <w:p w14:paraId="1DA6531D" w14:textId="77777777" w:rsidR="00B85155" w:rsidRPr="00BD15C9" w:rsidRDefault="00B85155" w:rsidP="00B85155">
            <w:pPr>
              <w:rPr>
                <w:lang w:val="fr-FR"/>
              </w:rPr>
            </w:pPr>
            <w:r w:rsidRPr="00BD15C9">
              <w:rPr>
                <w:lang w:val="fr-FR"/>
              </w:rPr>
              <w:t>Non-EEE</w:t>
            </w:r>
          </w:p>
        </w:tc>
        <w:tc>
          <w:tcPr>
            <w:tcW w:w="1985" w:type="dxa"/>
          </w:tcPr>
          <w:p w14:paraId="10CF3856" w14:textId="56B85B82" w:rsidR="00B85155" w:rsidRPr="008E3E9B" w:rsidRDefault="00B85155" w:rsidP="00B85155">
            <w:pPr>
              <w:jc w:val="center"/>
              <w:rPr>
                <w:b/>
                <w:bCs/>
                <w:color w:val="FF0000"/>
                <w:lang w:val="fr-FR"/>
              </w:rPr>
            </w:pPr>
            <w:r w:rsidRPr="008E3E9B">
              <w:rPr>
                <w:b/>
                <w:bCs/>
                <w:color w:val="FF0000"/>
                <w:lang w:val="nl-BE"/>
              </w:rPr>
              <w:t>10</w:t>
            </w:r>
          </w:p>
        </w:tc>
        <w:tc>
          <w:tcPr>
            <w:tcW w:w="1417" w:type="dxa"/>
          </w:tcPr>
          <w:p w14:paraId="78B0E294" w14:textId="799B603E" w:rsidR="00B85155" w:rsidRPr="008E3E9B" w:rsidRDefault="00B85155" w:rsidP="00B85155">
            <w:pPr>
              <w:jc w:val="center"/>
              <w:rPr>
                <w:b/>
                <w:bCs/>
                <w:color w:val="FF0000"/>
                <w:lang w:val="fr-FR"/>
              </w:rPr>
            </w:pPr>
            <w:r w:rsidRPr="008E3E9B">
              <w:rPr>
                <w:b/>
                <w:bCs/>
                <w:color w:val="FF0000"/>
                <w:lang w:val="nl-BE"/>
              </w:rPr>
              <w:t>0</w:t>
            </w:r>
          </w:p>
        </w:tc>
        <w:tc>
          <w:tcPr>
            <w:tcW w:w="1560" w:type="dxa"/>
          </w:tcPr>
          <w:p w14:paraId="34F12F78" w14:textId="58C81871" w:rsidR="00B85155" w:rsidRPr="008E3E9B" w:rsidRDefault="00B85155" w:rsidP="00B85155">
            <w:pPr>
              <w:jc w:val="center"/>
              <w:rPr>
                <w:b/>
                <w:bCs/>
                <w:color w:val="FF0000"/>
                <w:lang w:val="fr-FR"/>
              </w:rPr>
            </w:pPr>
            <w:r w:rsidRPr="008E3E9B">
              <w:rPr>
                <w:b/>
                <w:bCs/>
                <w:color w:val="FF0000"/>
                <w:lang w:val="nl-BE"/>
              </w:rPr>
              <w:t>29</w:t>
            </w:r>
          </w:p>
        </w:tc>
        <w:tc>
          <w:tcPr>
            <w:tcW w:w="1701" w:type="dxa"/>
          </w:tcPr>
          <w:p w14:paraId="23B6D10F" w14:textId="0F5E92E0" w:rsidR="00B85155" w:rsidRPr="008E3E9B" w:rsidRDefault="00B85155" w:rsidP="00B85155">
            <w:pPr>
              <w:jc w:val="center"/>
              <w:rPr>
                <w:b/>
                <w:bCs/>
                <w:color w:val="FF0000"/>
                <w:lang w:val="fr-FR"/>
              </w:rPr>
            </w:pPr>
            <w:r w:rsidRPr="008E3E9B">
              <w:rPr>
                <w:b/>
                <w:bCs/>
                <w:color w:val="FF0000"/>
                <w:lang w:val="nl-BE"/>
              </w:rPr>
              <w:t>39</w:t>
            </w:r>
          </w:p>
        </w:tc>
      </w:tr>
      <w:tr w:rsidR="00B85155" w:rsidRPr="00BD15C9" w14:paraId="3D167F3F" w14:textId="77777777" w:rsidTr="00DB322C">
        <w:trPr>
          <w:jc w:val="center"/>
        </w:trPr>
        <w:tc>
          <w:tcPr>
            <w:tcW w:w="1129" w:type="dxa"/>
          </w:tcPr>
          <w:p w14:paraId="1A0AF124" w14:textId="77777777" w:rsidR="00B85155" w:rsidRPr="00BD15C9" w:rsidRDefault="00B85155" w:rsidP="00B85155">
            <w:pPr>
              <w:rPr>
                <w:lang w:val="fr-FR"/>
              </w:rPr>
            </w:pPr>
            <w:r w:rsidRPr="00BD15C9">
              <w:rPr>
                <w:lang w:val="fr-FR"/>
              </w:rPr>
              <w:t>Total</w:t>
            </w:r>
          </w:p>
        </w:tc>
        <w:tc>
          <w:tcPr>
            <w:tcW w:w="1985" w:type="dxa"/>
          </w:tcPr>
          <w:p w14:paraId="30D1BE82" w14:textId="3A355D76" w:rsidR="00B85155" w:rsidRPr="008E3E9B" w:rsidRDefault="00B85155" w:rsidP="00B85155">
            <w:pPr>
              <w:jc w:val="center"/>
              <w:rPr>
                <w:b/>
                <w:bCs/>
                <w:color w:val="FF0000"/>
                <w:lang w:val="fr-FR"/>
              </w:rPr>
            </w:pPr>
            <w:r w:rsidRPr="008E3E9B">
              <w:rPr>
                <w:b/>
                <w:bCs/>
                <w:color w:val="FF0000"/>
                <w:lang w:val="nl-BE"/>
              </w:rPr>
              <w:t>413</w:t>
            </w:r>
          </w:p>
        </w:tc>
        <w:tc>
          <w:tcPr>
            <w:tcW w:w="1417" w:type="dxa"/>
          </w:tcPr>
          <w:p w14:paraId="79863F30" w14:textId="2C4F59A6" w:rsidR="00B85155" w:rsidRPr="008E3E9B" w:rsidRDefault="00B85155" w:rsidP="00B85155">
            <w:pPr>
              <w:jc w:val="center"/>
              <w:rPr>
                <w:b/>
                <w:bCs/>
                <w:color w:val="FF0000"/>
                <w:lang w:val="fr-FR"/>
              </w:rPr>
            </w:pPr>
            <w:r w:rsidRPr="008E3E9B">
              <w:rPr>
                <w:b/>
                <w:bCs/>
                <w:color w:val="FF0000"/>
                <w:lang w:val="nl-BE"/>
              </w:rPr>
              <w:t>92</w:t>
            </w:r>
          </w:p>
        </w:tc>
        <w:tc>
          <w:tcPr>
            <w:tcW w:w="1560" w:type="dxa"/>
          </w:tcPr>
          <w:p w14:paraId="2E331CF5" w14:textId="7B2F10B7" w:rsidR="00B85155" w:rsidRPr="008E3E9B" w:rsidRDefault="00B85155" w:rsidP="00B85155">
            <w:pPr>
              <w:jc w:val="center"/>
              <w:rPr>
                <w:b/>
                <w:bCs/>
                <w:color w:val="FF0000"/>
                <w:lang w:val="fr-FR"/>
              </w:rPr>
            </w:pPr>
            <w:r w:rsidRPr="008E3E9B">
              <w:rPr>
                <w:b/>
                <w:bCs/>
                <w:color w:val="FF0000"/>
                <w:lang w:val="nl-BE"/>
              </w:rPr>
              <w:t>306</w:t>
            </w:r>
          </w:p>
        </w:tc>
        <w:tc>
          <w:tcPr>
            <w:tcW w:w="1701" w:type="dxa"/>
          </w:tcPr>
          <w:p w14:paraId="79EABB0B" w14:textId="57A12D65" w:rsidR="00B85155" w:rsidRPr="008E3E9B" w:rsidRDefault="00B85155" w:rsidP="00B85155">
            <w:pPr>
              <w:jc w:val="center"/>
              <w:rPr>
                <w:b/>
                <w:bCs/>
                <w:color w:val="FF0000"/>
                <w:lang w:val="fr-FR"/>
              </w:rPr>
            </w:pPr>
            <w:r w:rsidRPr="008E3E9B">
              <w:rPr>
                <w:b/>
                <w:bCs/>
                <w:color w:val="FF0000"/>
                <w:lang w:val="nl-BE"/>
              </w:rPr>
              <w:t>811</w:t>
            </w:r>
          </w:p>
        </w:tc>
      </w:tr>
    </w:tbl>
    <w:p w14:paraId="24F4B8F1" w14:textId="7FE1F589" w:rsidR="00915412" w:rsidRDefault="00915412" w:rsidP="00BE2BA8">
      <w:pPr>
        <w:rPr>
          <w:lang w:val="fr-FR"/>
        </w:rPr>
      </w:pPr>
    </w:p>
    <w:p w14:paraId="1A957E56" w14:textId="3F522D5E" w:rsidR="00915412" w:rsidRPr="00B76985" w:rsidRDefault="00915412" w:rsidP="00B76985">
      <w:pPr>
        <w:jc w:val="both"/>
        <w:rPr>
          <w:lang w:val="fr-BE"/>
        </w:rPr>
      </w:pPr>
      <w:r w:rsidRPr="00B76985">
        <w:rPr>
          <w:lang w:val="fr-BE"/>
        </w:rPr>
        <w:br/>
      </w:r>
      <w:r w:rsidRPr="00B76985">
        <w:rPr>
          <w:lang w:val="fr-FR"/>
        </w:rPr>
        <w:t xml:space="preserve">Par rapport à </w:t>
      </w:r>
      <w:r w:rsidR="00B24205" w:rsidRPr="00B76985">
        <w:rPr>
          <w:lang w:val="fr-FR"/>
        </w:rPr>
        <w:t>201</w:t>
      </w:r>
      <w:r w:rsidR="00B85155">
        <w:rPr>
          <w:lang w:val="fr-FR"/>
        </w:rPr>
        <w:t>9</w:t>
      </w:r>
      <w:r w:rsidRPr="00B76985">
        <w:rPr>
          <w:lang w:val="fr-FR"/>
        </w:rPr>
        <w:t xml:space="preserve">, le nombre d'enregistrements dans chaque catégorie a augmenté. </w:t>
      </w:r>
    </w:p>
    <w:p w14:paraId="10AF96BC" w14:textId="41E49AE2" w:rsidR="00BA629B" w:rsidRDefault="00AB54B5" w:rsidP="00C101D1">
      <w:pPr>
        <w:jc w:val="both"/>
        <w:rPr>
          <w:lang w:val="fr-FR"/>
        </w:rPr>
      </w:pPr>
      <w:r>
        <w:rPr>
          <w:lang w:val="fr-FR"/>
        </w:rPr>
        <w:t>Plus de 60 %</w:t>
      </w:r>
      <w:r w:rsidR="00C101D1" w:rsidRPr="00BD15C9">
        <w:rPr>
          <w:lang w:val="fr-FR"/>
        </w:rPr>
        <w:t xml:space="preserve"> des enregistrements soumis par un Déclarant sont liés à une entreprise belge. Les entreprises non belges sont surtout représentées dans les enregistrements soumis par le type Fournisseur étranger.</w:t>
      </w:r>
    </w:p>
    <w:p w14:paraId="14D7FBB9" w14:textId="7BACF879" w:rsidR="00BA629B" w:rsidRDefault="00BA629B" w:rsidP="00C101D1">
      <w:pPr>
        <w:jc w:val="both"/>
        <w:rPr>
          <w:u w:val="single"/>
          <w:lang w:val="fr-FR"/>
        </w:rPr>
      </w:pPr>
    </w:p>
    <w:p w14:paraId="590BC113" w14:textId="02ED7723" w:rsidR="00BA629B" w:rsidRPr="00C95796" w:rsidRDefault="008A2687" w:rsidP="00C95796">
      <w:pPr>
        <w:pStyle w:val="Titre3"/>
      </w:pPr>
      <w:bookmarkStart w:id="34" w:name="_Toc76034162"/>
      <w:r w:rsidRPr="00C95796">
        <w:t>Mélanges</w:t>
      </w:r>
      <w:bookmarkEnd w:id="34"/>
    </w:p>
    <w:p w14:paraId="41AA4684" w14:textId="3281A773" w:rsidR="008A2687" w:rsidRDefault="008A2687" w:rsidP="00C101D1">
      <w:pPr>
        <w:jc w:val="both"/>
        <w:rPr>
          <w:lang w:val="fr-FR"/>
        </w:rPr>
      </w:pPr>
      <w:r w:rsidRPr="00B76985">
        <w:rPr>
          <w:lang w:val="fr-FR"/>
        </w:rPr>
        <w:t>L</w:t>
      </w:r>
      <w:r w:rsidR="00302B59" w:rsidRPr="00302B59">
        <w:rPr>
          <w:lang w:val="fr-FR"/>
        </w:rPr>
        <w:t xml:space="preserve">e 1er avril </w:t>
      </w:r>
      <w:r w:rsidR="001F7C21" w:rsidRPr="00302B59">
        <w:rPr>
          <w:lang w:val="fr-FR"/>
        </w:rPr>
        <w:t>20</w:t>
      </w:r>
      <w:r w:rsidR="00AB54B5">
        <w:rPr>
          <w:lang w:val="fr-FR"/>
        </w:rPr>
        <w:t>20 (année de commerce 2019)</w:t>
      </w:r>
      <w:r w:rsidR="00302B59" w:rsidRPr="00302B59">
        <w:rPr>
          <w:lang w:val="fr-FR"/>
        </w:rPr>
        <w:t xml:space="preserve">, il y avait </w:t>
      </w:r>
      <w:r w:rsidR="00AB54B5">
        <w:rPr>
          <w:lang w:val="fr-FR"/>
        </w:rPr>
        <w:t>915</w:t>
      </w:r>
      <w:r w:rsidR="001F7C21" w:rsidRPr="00B76985">
        <w:rPr>
          <w:lang w:val="fr-FR"/>
        </w:rPr>
        <w:t xml:space="preserve"> </w:t>
      </w:r>
      <w:r w:rsidRPr="00B76985">
        <w:rPr>
          <w:lang w:val="fr-FR"/>
        </w:rPr>
        <w:t>m</w:t>
      </w:r>
      <w:r w:rsidRPr="00B76985">
        <w:rPr>
          <w:rFonts w:hint="eastAsia"/>
          <w:lang w:val="fr-FR"/>
        </w:rPr>
        <w:t>é</w:t>
      </w:r>
      <w:r w:rsidRPr="00B76985">
        <w:rPr>
          <w:lang w:val="fr-FR"/>
        </w:rPr>
        <w:t xml:space="preserve">langes avec le statut </w:t>
      </w:r>
      <w:r w:rsidRPr="00B76985">
        <w:rPr>
          <w:rFonts w:hint="eastAsia"/>
          <w:lang w:val="fr-FR"/>
        </w:rPr>
        <w:t>«</w:t>
      </w:r>
      <w:r w:rsidRPr="00B76985">
        <w:rPr>
          <w:lang w:val="fr-FR"/>
        </w:rPr>
        <w:t>soumis</w:t>
      </w:r>
      <w:r w:rsidRPr="00B76985">
        <w:rPr>
          <w:rFonts w:hint="eastAsia"/>
          <w:lang w:val="fr-FR"/>
        </w:rPr>
        <w:t>»</w:t>
      </w:r>
      <w:r w:rsidRPr="00B76985">
        <w:rPr>
          <w:lang w:val="fr-FR"/>
        </w:rPr>
        <w:t xml:space="preserve">. </w:t>
      </w:r>
      <w:r w:rsidR="002A1303">
        <w:rPr>
          <w:lang w:val="fr-FR"/>
        </w:rPr>
        <w:t xml:space="preserve">Pour l’année </w:t>
      </w:r>
      <w:r w:rsidR="001F7C21">
        <w:rPr>
          <w:lang w:val="fr-FR"/>
        </w:rPr>
        <w:t>20</w:t>
      </w:r>
      <w:r w:rsidR="00AB54B5">
        <w:rPr>
          <w:lang w:val="fr-FR"/>
        </w:rPr>
        <w:t>20</w:t>
      </w:r>
      <w:r w:rsidR="002A1303">
        <w:rPr>
          <w:lang w:val="fr-FR"/>
        </w:rPr>
        <w:t>, période de référence jusqu’au 1</w:t>
      </w:r>
      <w:r w:rsidR="002A1303" w:rsidRPr="00FE4500">
        <w:rPr>
          <w:vertAlign w:val="superscript"/>
          <w:lang w:val="fr-FR"/>
        </w:rPr>
        <w:t>er</w:t>
      </w:r>
      <w:r w:rsidR="002A1303">
        <w:rPr>
          <w:lang w:val="fr-FR"/>
        </w:rPr>
        <w:t xml:space="preserve"> Avril </w:t>
      </w:r>
      <w:r w:rsidR="001F7C21">
        <w:rPr>
          <w:lang w:val="fr-FR"/>
        </w:rPr>
        <w:t>202</w:t>
      </w:r>
      <w:r w:rsidR="00AB54B5">
        <w:rPr>
          <w:lang w:val="fr-FR"/>
        </w:rPr>
        <w:t>1</w:t>
      </w:r>
      <w:r w:rsidR="002A1303">
        <w:rPr>
          <w:lang w:val="fr-FR"/>
        </w:rPr>
        <w:t>, l</w:t>
      </w:r>
      <w:r w:rsidRPr="00B76985">
        <w:rPr>
          <w:lang w:val="fr-FR"/>
        </w:rPr>
        <w:t>e tableau ci-dessous montre la r</w:t>
      </w:r>
      <w:r w:rsidRPr="00B76985">
        <w:rPr>
          <w:rFonts w:hint="eastAsia"/>
          <w:lang w:val="fr-FR"/>
        </w:rPr>
        <w:t>é</w:t>
      </w:r>
      <w:r w:rsidRPr="00B76985">
        <w:rPr>
          <w:lang w:val="fr-FR"/>
        </w:rPr>
        <w:t>partition de ces m</w:t>
      </w:r>
      <w:r w:rsidRPr="00B76985">
        <w:rPr>
          <w:rFonts w:hint="eastAsia"/>
          <w:lang w:val="fr-FR"/>
        </w:rPr>
        <w:t>é</w:t>
      </w:r>
      <w:r w:rsidRPr="00B76985">
        <w:rPr>
          <w:lang w:val="fr-FR"/>
        </w:rPr>
        <w:t>langes par type de titulaire</w:t>
      </w:r>
      <w:r w:rsidR="001548C4">
        <w:rPr>
          <w:lang w:val="fr-FR"/>
        </w:rPr>
        <w:t xml:space="preserve">, </w:t>
      </w:r>
      <w:r w:rsidR="001548C4" w:rsidRPr="008D05C2">
        <w:rPr>
          <w:lang w:val="fr-FR"/>
        </w:rPr>
        <w:t>une augmentation est observée d</w:t>
      </w:r>
      <w:r w:rsidR="008D05C2" w:rsidRPr="00152719">
        <w:rPr>
          <w:lang w:val="fr-FR"/>
        </w:rPr>
        <w:t xml:space="preserve">’un peu </w:t>
      </w:r>
      <w:r w:rsidR="00AB54B5">
        <w:rPr>
          <w:lang w:val="fr-FR"/>
        </w:rPr>
        <w:t>plus</w:t>
      </w:r>
      <w:r w:rsidR="00AB54B5" w:rsidRPr="008D05C2">
        <w:rPr>
          <w:lang w:val="fr-FR"/>
        </w:rPr>
        <w:t xml:space="preserve"> </w:t>
      </w:r>
      <w:r w:rsidR="001548C4" w:rsidRPr="008D05C2">
        <w:rPr>
          <w:lang w:val="fr-FR"/>
        </w:rPr>
        <w:t xml:space="preserve">de 200 enregistrements portant le total à </w:t>
      </w:r>
      <w:r w:rsidR="00AB54B5">
        <w:rPr>
          <w:lang w:val="fr-FR"/>
        </w:rPr>
        <w:t>1117</w:t>
      </w:r>
      <w:r w:rsidR="00AB54B5" w:rsidRPr="008D05C2">
        <w:rPr>
          <w:lang w:val="fr-FR"/>
        </w:rPr>
        <w:t xml:space="preserve"> </w:t>
      </w:r>
      <w:r w:rsidR="001548C4" w:rsidRPr="008D05C2">
        <w:rPr>
          <w:lang w:val="fr-FR"/>
        </w:rPr>
        <w:t>enregistrements.</w:t>
      </w:r>
      <w:r w:rsidR="001548C4">
        <w:rPr>
          <w:lang w:val="fr-FR"/>
        </w:rPr>
        <w:t xml:space="preserve"> </w:t>
      </w:r>
      <w:r w:rsidR="0027578E">
        <w:rPr>
          <w:lang w:val="fr-FR"/>
        </w:rPr>
        <w:t>178 nouveaux enregistrements ont été soumis par des Déclarants d’un mélange commercial, dont 120 par des entreprises de l’EER et 57 entreprises belges.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985"/>
        <w:gridCol w:w="1417"/>
        <w:gridCol w:w="1560"/>
        <w:gridCol w:w="1701"/>
      </w:tblGrid>
      <w:tr w:rsidR="008A2687" w:rsidRPr="007F1FE2" w14:paraId="2A79B59F" w14:textId="77777777" w:rsidTr="00DB322C">
        <w:trPr>
          <w:tblHeader/>
          <w:jc w:val="center"/>
        </w:trPr>
        <w:tc>
          <w:tcPr>
            <w:tcW w:w="7792" w:type="dxa"/>
            <w:gridSpan w:val="5"/>
          </w:tcPr>
          <w:p w14:paraId="23DB2DD3" w14:textId="609E0C3E" w:rsidR="008A2687" w:rsidRPr="00B76985" w:rsidRDefault="008A2687" w:rsidP="000E2C47">
            <w:pPr>
              <w:jc w:val="both"/>
              <w:rPr>
                <w:b/>
                <w:i/>
                <w:color w:val="FF0000"/>
                <w:lang w:val="fr-BE"/>
              </w:rPr>
            </w:pPr>
            <w:r w:rsidRPr="00BD15C9">
              <w:rPr>
                <w:b/>
                <w:i/>
                <w:lang w:val="fr-FR"/>
              </w:rPr>
              <w:t>Tableau : répartition des enregistrements</w:t>
            </w:r>
            <w:r>
              <w:rPr>
                <w:b/>
                <w:i/>
                <w:lang w:val="fr-FR"/>
              </w:rPr>
              <w:t xml:space="preserve"> pour des mélanges</w:t>
            </w:r>
            <w:r w:rsidRPr="00BD15C9">
              <w:rPr>
                <w:b/>
                <w:i/>
                <w:lang w:val="fr-FR"/>
              </w:rPr>
              <w:t xml:space="preserve"> soumis par nationalité, par type de compte et par type d'enregistrement</w:t>
            </w:r>
          </w:p>
        </w:tc>
      </w:tr>
      <w:tr w:rsidR="008A2687" w:rsidRPr="00CD5853" w14:paraId="53063575" w14:textId="77777777" w:rsidTr="00DB322C">
        <w:trPr>
          <w:tblHeader/>
          <w:jc w:val="center"/>
        </w:trPr>
        <w:tc>
          <w:tcPr>
            <w:tcW w:w="1129" w:type="dxa"/>
          </w:tcPr>
          <w:p w14:paraId="1A39508F" w14:textId="77777777" w:rsidR="008A2687" w:rsidRPr="00B76985" w:rsidRDefault="008A2687" w:rsidP="008A2687">
            <w:pPr>
              <w:rPr>
                <w:color w:val="FF0000"/>
                <w:lang w:val="fr-BE"/>
              </w:rPr>
            </w:pPr>
          </w:p>
        </w:tc>
        <w:tc>
          <w:tcPr>
            <w:tcW w:w="3402" w:type="dxa"/>
            <w:gridSpan w:val="2"/>
          </w:tcPr>
          <w:p w14:paraId="23D42F7B" w14:textId="6895B36F" w:rsidR="008A2687" w:rsidRPr="00CD5853" w:rsidRDefault="008A2687" w:rsidP="008A2687">
            <w:pPr>
              <w:jc w:val="center"/>
              <w:rPr>
                <w:b/>
                <w:color w:val="FF0000"/>
                <w:lang w:val="nl-BE"/>
              </w:rPr>
            </w:pPr>
            <w:r w:rsidRPr="00BD15C9">
              <w:rPr>
                <w:b/>
                <w:lang w:val="fr-FR"/>
              </w:rPr>
              <w:t>Déclarant</w:t>
            </w:r>
          </w:p>
        </w:tc>
        <w:tc>
          <w:tcPr>
            <w:tcW w:w="1560" w:type="dxa"/>
          </w:tcPr>
          <w:p w14:paraId="1E2E37A2" w14:textId="09E69A20" w:rsidR="008A2687" w:rsidRPr="00CD5853" w:rsidRDefault="008A2687" w:rsidP="008A2687">
            <w:pPr>
              <w:jc w:val="center"/>
              <w:rPr>
                <w:b/>
                <w:color w:val="FF0000"/>
                <w:lang w:val="nl-BE"/>
              </w:rPr>
            </w:pPr>
            <w:r w:rsidRPr="00BD15C9">
              <w:rPr>
                <w:b/>
                <w:lang w:val="fr-FR"/>
              </w:rPr>
              <w:t>Fournisseur étranger</w:t>
            </w:r>
          </w:p>
        </w:tc>
        <w:tc>
          <w:tcPr>
            <w:tcW w:w="1701" w:type="dxa"/>
          </w:tcPr>
          <w:p w14:paraId="6E19134C" w14:textId="74DBA60E" w:rsidR="008A2687" w:rsidRPr="00CD5853" w:rsidRDefault="008A2687" w:rsidP="008A2687">
            <w:pPr>
              <w:jc w:val="center"/>
              <w:rPr>
                <w:b/>
                <w:color w:val="FF0000"/>
                <w:lang w:val="nl-BE"/>
              </w:rPr>
            </w:pPr>
            <w:r w:rsidRPr="00BD15C9">
              <w:rPr>
                <w:b/>
                <w:lang w:val="fr-FR"/>
              </w:rPr>
              <w:t>Total</w:t>
            </w:r>
          </w:p>
        </w:tc>
      </w:tr>
      <w:tr w:rsidR="008A2687" w:rsidRPr="00CD5853" w14:paraId="0CFBF05B" w14:textId="77777777" w:rsidTr="00DB322C">
        <w:trPr>
          <w:tblHeader/>
          <w:jc w:val="center"/>
        </w:trPr>
        <w:tc>
          <w:tcPr>
            <w:tcW w:w="1129" w:type="dxa"/>
          </w:tcPr>
          <w:p w14:paraId="303DA43E" w14:textId="77777777" w:rsidR="008A2687" w:rsidRPr="00CD5853" w:rsidRDefault="008A2687" w:rsidP="000E2C47">
            <w:pPr>
              <w:rPr>
                <w:color w:val="FF0000"/>
                <w:lang w:val="nl-BE"/>
              </w:rPr>
            </w:pPr>
          </w:p>
        </w:tc>
        <w:tc>
          <w:tcPr>
            <w:tcW w:w="1985" w:type="dxa"/>
          </w:tcPr>
          <w:p w14:paraId="47D2B717" w14:textId="54385640" w:rsidR="008A2687" w:rsidRPr="008E3E9B" w:rsidRDefault="008A2687" w:rsidP="000E2C47">
            <w:pPr>
              <w:jc w:val="center"/>
              <w:rPr>
                <w:b/>
                <w:lang w:val="nl-BE"/>
              </w:rPr>
            </w:pPr>
            <w:r w:rsidRPr="008E3E9B">
              <w:rPr>
                <w:b/>
                <w:lang w:val="nl-BE"/>
              </w:rPr>
              <w:t>Mélange commercial</w:t>
            </w:r>
          </w:p>
        </w:tc>
        <w:tc>
          <w:tcPr>
            <w:tcW w:w="1417" w:type="dxa"/>
          </w:tcPr>
          <w:p w14:paraId="79C6BBA7" w14:textId="257FB8AE" w:rsidR="008A2687" w:rsidRPr="008E3E9B" w:rsidRDefault="001F7C21" w:rsidP="000E2C47">
            <w:pPr>
              <w:jc w:val="center"/>
              <w:rPr>
                <w:b/>
                <w:lang w:val="nl-BE"/>
              </w:rPr>
            </w:pPr>
            <w:r w:rsidRPr="008E3E9B">
              <w:rPr>
                <w:b/>
                <w:lang w:val="nl-BE"/>
              </w:rPr>
              <w:t>Mélange R&amp;D</w:t>
            </w:r>
          </w:p>
        </w:tc>
        <w:tc>
          <w:tcPr>
            <w:tcW w:w="1560" w:type="dxa"/>
          </w:tcPr>
          <w:p w14:paraId="5819EEC0" w14:textId="77777777" w:rsidR="008A2687" w:rsidRPr="00CD5853" w:rsidRDefault="008A2687" w:rsidP="000E2C47">
            <w:pPr>
              <w:rPr>
                <w:b/>
                <w:color w:val="FF0000"/>
                <w:lang w:val="nl-BE"/>
              </w:rPr>
            </w:pPr>
          </w:p>
        </w:tc>
        <w:tc>
          <w:tcPr>
            <w:tcW w:w="1701" w:type="dxa"/>
          </w:tcPr>
          <w:p w14:paraId="75E929F7" w14:textId="77777777" w:rsidR="008A2687" w:rsidRPr="00CD5853" w:rsidRDefault="008A2687" w:rsidP="000E2C47">
            <w:pPr>
              <w:rPr>
                <w:b/>
                <w:color w:val="FF0000"/>
                <w:lang w:val="nl-BE"/>
              </w:rPr>
            </w:pPr>
          </w:p>
        </w:tc>
      </w:tr>
      <w:tr w:rsidR="008A2687" w:rsidRPr="00CD5853" w14:paraId="3FACCCB1" w14:textId="77777777" w:rsidTr="00DB322C">
        <w:trPr>
          <w:jc w:val="center"/>
        </w:trPr>
        <w:tc>
          <w:tcPr>
            <w:tcW w:w="1129" w:type="dxa"/>
          </w:tcPr>
          <w:p w14:paraId="38407DD8" w14:textId="77777777" w:rsidR="008A2687" w:rsidRPr="008A08CB" w:rsidRDefault="008A2687" w:rsidP="000E2C47">
            <w:pPr>
              <w:rPr>
                <w:b/>
                <w:lang w:val="nl-BE"/>
              </w:rPr>
            </w:pPr>
            <w:r w:rsidRPr="008A08CB">
              <w:rPr>
                <w:b/>
                <w:lang w:val="nl-BE"/>
              </w:rPr>
              <w:t>BE</w:t>
            </w:r>
          </w:p>
        </w:tc>
        <w:tc>
          <w:tcPr>
            <w:tcW w:w="1985" w:type="dxa"/>
          </w:tcPr>
          <w:p w14:paraId="1D289672" w14:textId="58EEB29F" w:rsidR="008A2687" w:rsidRPr="00CD5853" w:rsidRDefault="00AB54B5" w:rsidP="000E2C47">
            <w:pPr>
              <w:jc w:val="center"/>
              <w:rPr>
                <w:b/>
                <w:color w:val="FF0000"/>
                <w:lang w:val="nl-BE"/>
              </w:rPr>
            </w:pPr>
            <w:r>
              <w:rPr>
                <w:b/>
                <w:color w:val="FF0000"/>
                <w:lang w:val="nl-BE"/>
              </w:rPr>
              <w:t>256</w:t>
            </w:r>
          </w:p>
        </w:tc>
        <w:tc>
          <w:tcPr>
            <w:tcW w:w="1417" w:type="dxa"/>
          </w:tcPr>
          <w:p w14:paraId="39205820" w14:textId="58476CCE" w:rsidR="008A2687" w:rsidRPr="00CD5853" w:rsidRDefault="00AB54B5" w:rsidP="000E2C47">
            <w:pPr>
              <w:jc w:val="center"/>
              <w:rPr>
                <w:b/>
                <w:color w:val="FF0000"/>
                <w:lang w:val="nl-BE"/>
              </w:rPr>
            </w:pPr>
            <w:r>
              <w:rPr>
                <w:b/>
                <w:color w:val="FF0000"/>
                <w:lang w:val="nl-BE"/>
              </w:rPr>
              <w:t>21</w:t>
            </w:r>
          </w:p>
        </w:tc>
        <w:tc>
          <w:tcPr>
            <w:tcW w:w="1560" w:type="dxa"/>
          </w:tcPr>
          <w:p w14:paraId="28E18CC2" w14:textId="6D8E726E" w:rsidR="008A2687" w:rsidRPr="00CD5853" w:rsidRDefault="001F7C21" w:rsidP="000E2C47">
            <w:pPr>
              <w:jc w:val="center"/>
              <w:rPr>
                <w:b/>
                <w:color w:val="FF0000"/>
                <w:lang w:val="nl-BE"/>
              </w:rPr>
            </w:pPr>
            <w:r>
              <w:rPr>
                <w:b/>
                <w:color w:val="FF0000"/>
                <w:lang w:val="nl-BE"/>
              </w:rPr>
              <w:t>0</w:t>
            </w:r>
          </w:p>
        </w:tc>
        <w:tc>
          <w:tcPr>
            <w:tcW w:w="1701" w:type="dxa"/>
          </w:tcPr>
          <w:p w14:paraId="6FE1ACBD" w14:textId="4725FC05" w:rsidR="008A2687" w:rsidRPr="00CD5853" w:rsidRDefault="001F7C21" w:rsidP="000E2C47">
            <w:pPr>
              <w:jc w:val="center"/>
              <w:rPr>
                <w:b/>
                <w:color w:val="FF0000"/>
                <w:lang w:val="nl-BE"/>
              </w:rPr>
            </w:pPr>
            <w:r>
              <w:rPr>
                <w:b/>
                <w:color w:val="FF0000"/>
                <w:lang w:val="nl-BE"/>
              </w:rPr>
              <w:t>2</w:t>
            </w:r>
            <w:r w:rsidR="00AB54B5">
              <w:rPr>
                <w:b/>
                <w:color w:val="FF0000"/>
                <w:lang w:val="nl-BE"/>
              </w:rPr>
              <w:t>77</w:t>
            </w:r>
          </w:p>
        </w:tc>
      </w:tr>
      <w:tr w:rsidR="008A2687" w:rsidRPr="00CD5853" w14:paraId="000A8D3E" w14:textId="77777777" w:rsidTr="00DB322C">
        <w:trPr>
          <w:jc w:val="center"/>
        </w:trPr>
        <w:tc>
          <w:tcPr>
            <w:tcW w:w="1129" w:type="dxa"/>
          </w:tcPr>
          <w:p w14:paraId="633569DB" w14:textId="77777777" w:rsidR="008A2687" w:rsidRPr="008A08CB" w:rsidRDefault="008A2687" w:rsidP="000E2C47">
            <w:pPr>
              <w:rPr>
                <w:b/>
                <w:lang w:val="nl-BE"/>
              </w:rPr>
            </w:pPr>
            <w:r w:rsidRPr="008A08CB">
              <w:rPr>
                <w:b/>
                <w:lang w:val="nl-BE"/>
              </w:rPr>
              <w:t>EER</w:t>
            </w:r>
          </w:p>
        </w:tc>
        <w:tc>
          <w:tcPr>
            <w:tcW w:w="1985" w:type="dxa"/>
          </w:tcPr>
          <w:p w14:paraId="132AE24F" w14:textId="5D4CEAFD" w:rsidR="008A2687" w:rsidRPr="00CD5853" w:rsidRDefault="00AB54B5" w:rsidP="000E2C47">
            <w:pPr>
              <w:jc w:val="center"/>
              <w:rPr>
                <w:b/>
                <w:color w:val="FF0000"/>
                <w:lang w:val="nl-BE"/>
              </w:rPr>
            </w:pPr>
            <w:r>
              <w:rPr>
                <w:b/>
                <w:color w:val="FF0000"/>
                <w:lang w:val="nl-BE"/>
              </w:rPr>
              <w:t>515</w:t>
            </w:r>
          </w:p>
        </w:tc>
        <w:tc>
          <w:tcPr>
            <w:tcW w:w="1417" w:type="dxa"/>
          </w:tcPr>
          <w:p w14:paraId="6F38ABD1" w14:textId="28BF2E10" w:rsidR="008A2687" w:rsidRPr="00CD5853" w:rsidRDefault="001F7C21" w:rsidP="000E2C47">
            <w:pPr>
              <w:jc w:val="center"/>
              <w:rPr>
                <w:b/>
                <w:color w:val="FF0000"/>
                <w:lang w:val="nl-BE"/>
              </w:rPr>
            </w:pPr>
            <w:r>
              <w:rPr>
                <w:b/>
                <w:color w:val="FF0000"/>
                <w:lang w:val="nl-BE"/>
              </w:rPr>
              <w:t>0</w:t>
            </w:r>
          </w:p>
        </w:tc>
        <w:tc>
          <w:tcPr>
            <w:tcW w:w="1560" w:type="dxa"/>
          </w:tcPr>
          <w:p w14:paraId="6C2456D3" w14:textId="6ADFDED9" w:rsidR="008A2687" w:rsidRPr="00CD5853" w:rsidRDefault="001F7C21" w:rsidP="000E2C47">
            <w:pPr>
              <w:jc w:val="center"/>
              <w:rPr>
                <w:b/>
                <w:color w:val="FF0000"/>
                <w:lang w:val="nl-BE"/>
              </w:rPr>
            </w:pPr>
            <w:r>
              <w:rPr>
                <w:b/>
                <w:color w:val="FF0000"/>
                <w:lang w:val="nl-BE"/>
              </w:rPr>
              <w:t>2</w:t>
            </w:r>
            <w:r w:rsidR="00AB54B5">
              <w:rPr>
                <w:b/>
                <w:color w:val="FF0000"/>
                <w:lang w:val="nl-BE"/>
              </w:rPr>
              <w:t>89</w:t>
            </w:r>
          </w:p>
        </w:tc>
        <w:tc>
          <w:tcPr>
            <w:tcW w:w="1701" w:type="dxa"/>
          </w:tcPr>
          <w:p w14:paraId="4923DE0E" w14:textId="29751D19" w:rsidR="008A2687" w:rsidRPr="00CD5853" w:rsidRDefault="00AB54B5" w:rsidP="000E2C47">
            <w:pPr>
              <w:jc w:val="center"/>
              <w:rPr>
                <w:b/>
                <w:color w:val="FF0000"/>
                <w:lang w:val="nl-BE"/>
              </w:rPr>
            </w:pPr>
            <w:r>
              <w:rPr>
                <w:b/>
                <w:color w:val="FF0000"/>
                <w:lang w:val="nl-BE"/>
              </w:rPr>
              <w:t>804</w:t>
            </w:r>
          </w:p>
        </w:tc>
      </w:tr>
      <w:tr w:rsidR="008A2687" w:rsidRPr="00CD5853" w14:paraId="6FD97432" w14:textId="77777777" w:rsidTr="00DB322C">
        <w:trPr>
          <w:jc w:val="center"/>
        </w:trPr>
        <w:tc>
          <w:tcPr>
            <w:tcW w:w="1129" w:type="dxa"/>
          </w:tcPr>
          <w:p w14:paraId="2FD921F2" w14:textId="77777777" w:rsidR="008A2687" w:rsidRPr="008A08CB" w:rsidRDefault="008A2687" w:rsidP="000E2C47">
            <w:pPr>
              <w:rPr>
                <w:b/>
                <w:lang w:val="nl-BE"/>
              </w:rPr>
            </w:pPr>
            <w:r w:rsidRPr="008A08CB">
              <w:rPr>
                <w:b/>
                <w:lang w:val="nl-BE"/>
              </w:rPr>
              <w:t>Non-EER</w:t>
            </w:r>
          </w:p>
        </w:tc>
        <w:tc>
          <w:tcPr>
            <w:tcW w:w="1985" w:type="dxa"/>
          </w:tcPr>
          <w:p w14:paraId="37F81104" w14:textId="0CEA2213" w:rsidR="008A2687" w:rsidRPr="00CD5853" w:rsidRDefault="00AB54B5" w:rsidP="000E2C47">
            <w:pPr>
              <w:jc w:val="center"/>
              <w:rPr>
                <w:b/>
                <w:color w:val="FF0000"/>
                <w:lang w:val="nl-BE"/>
              </w:rPr>
            </w:pPr>
            <w:r>
              <w:rPr>
                <w:b/>
                <w:color w:val="FF0000"/>
                <w:lang w:val="nl-BE"/>
              </w:rPr>
              <w:t>4</w:t>
            </w:r>
          </w:p>
        </w:tc>
        <w:tc>
          <w:tcPr>
            <w:tcW w:w="1417" w:type="dxa"/>
          </w:tcPr>
          <w:p w14:paraId="42B18E3C" w14:textId="4956F547" w:rsidR="008A2687" w:rsidRPr="00CD5853" w:rsidRDefault="001F7C21" w:rsidP="000E2C47">
            <w:pPr>
              <w:jc w:val="center"/>
              <w:rPr>
                <w:b/>
                <w:color w:val="FF0000"/>
                <w:lang w:val="nl-BE"/>
              </w:rPr>
            </w:pPr>
            <w:r>
              <w:rPr>
                <w:b/>
                <w:color w:val="FF0000"/>
                <w:lang w:val="nl-BE"/>
              </w:rPr>
              <w:t>0</w:t>
            </w:r>
          </w:p>
        </w:tc>
        <w:tc>
          <w:tcPr>
            <w:tcW w:w="1560" w:type="dxa"/>
          </w:tcPr>
          <w:p w14:paraId="30AA6E16" w14:textId="0D29EC27" w:rsidR="008A2687" w:rsidRPr="00CD5853" w:rsidRDefault="008A2687" w:rsidP="000E2C47">
            <w:pPr>
              <w:jc w:val="center"/>
              <w:rPr>
                <w:b/>
                <w:color w:val="FF0000"/>
                <w:lang w:val="nl-BE"/>
              </w:rPr>
            </w:pPr>
            <w:r>
              <w:rPr>
                <w:b/>
                <w:color w:val="FF0000"/>
                <w:lang w:val="nl-BE"/>
              </w:rPr>
              <w:t>3</w:t>
            </w:r>
            <w:r w:rsidR="00AB54B5">
              <w:rPr>
                <w:b/>
                <w:color w:val="FF0000"/>
                <w:lang w:val="nl-BE"/>
              </w:rPr>
              <w:t>2</w:t>
            </w:r>
          </w:p>
        </w:tc>
        <w:tc>
          <w:tcPr>
            <w:tcW w:w="1701" w:type="dxa"/>
          </w:tcPr>
          <w:p w14:paraId="154E171D" w14:textId="1C553EF4" w:rsidR="008A2687" w:rsidRPr="00CD5853" w:rsidRDefault="001F7C21" w:rsidP="000E2C47">
            <w:pPr>
              <w:jc w:val="center"/>
              <w:rPr>
                <w:b/>
                <w:color w:val="FF0000"/>
                <w:lang w:val="nl-BE"/>
              </w:rPr>
            </w:pPr>
            <w:r>
              <w:rPr>
                <w:b/>
                <w:color w:val="FF0000"/>
                <w:lang w:val="nl-BE"/>
              </w:rPr>
              <w:t>3</w:t>
            </w:r>
            <w:r w:rsidR="00AB54B5">
              <w:rPr>
                <w:b/>
                <w:color w:val="FF0000"/>
                <w:lang w:val="nl-BE"/>
              </w:rPr>
              <w:t>6</w:t>
            </w:r>
          </w:p>
        </w:tc>
      </w:tr>
      <w:tr w:rsidR="008A2687" w:rsidRPr="00CD5853" w14:paraId="4FD55176" w14:textId="77777777" w:rsidTr="00DB322C">
        <w:trPr>
          <w:jc w:val="center"/>
        </w:trPr>
        <w:tc>
          <w:tcPr>
            <w:tcW w:w="1129" w:type="dxa"/>
          </w:tcPr>
          <w:p w14:paraId="044B9901" w14:textId="0DED85DF" w:rsidR="008A2687" w:rsidRPr="008A08CB" w:rsidRDefault="008A2687" w:rsidP="000E2C47">
            <w:pPr>
              <w:rPr>
                <w:b/>
                <w:lang w:val="nl-BE"/>
              </w:rPr>
            </w:pPr>
            <w:r w:rsidRPr="008A08CB">
              <w:rPr>
                <w:b/>
                <w:lang w:val="nl-BE"/>
              </w:rPr>
              <w:t>Total</w:t>
            </w:r>
          </w:p>
        </w:tc>
        <w:tc>
          <w:tcPr>
            <w:tcW w:w="1985" w:type="dxa"/>
          </w:tcPr>
          <w:p w14:paraId="63397222" w14:textId="0D5CE59E" w:rsidR="008A2687" w:rsidRPr="00CD5853" w:rsidRDefault="00AB54B5" w:rsidP="000E2C47">
            <w:pPr>
              <w:jc w:val="center"/>
              <w:rPr>
                <w:b/>
                <w:color w:val="FF0000"/>
                <w:lang w:val="nl-BE"/>
              </w:rPr>
            </w:pPr>
            <w:r>
              <w:rPr>
                <w:b/>
                <w:color w:val="FF0000"/>
                <w:lang w:val="nl-BE"/>
              </w:rPr>
              <w:t>775</w:t>
            </w:r>
          </w:p>
        </w:tc>
        <w:tc>
          <w:tcPr>
            <w:tcW w:w="1417" w:type="dxa"/>
          </w:tcPr>
          <w:p w14:paraId="2DDC7A17" w14:textId="3FE1A31C" w:rsidR="008A2687" w:rsidRPr="00CD5853" w:rsidRDefault="00AB54B5" w:rsidP="000E2C47">
            <w:pPr>
              <w:jc w:val="center"/>
              <w:rPr>
                <w:b/>
                <w:color w:val="FF0000"/>
                <w:lang w:val="nl-BE"/>
              </w:rPr>
            </w:pPr>
            <w:r>
              <w:rPr>
                <w:b/>
                <w:color w:val="FF0000"/>
                <w:lang w:val="nl-BE"/>
              </w:rPr>
              <w:t>21</w:t>
            </w:r>
          </w:p>
        </w:tc>
        <w:tc>
          <w:tcPr>
            <w:tcW w:w="1560" w:type="dxa"/>
          </w:tcPr>
          <w:p w14:paraId="7E4481DE" w14:textId="4E3B324D" w:rsidR="008A2687" w:rsidRPr="00CD5853" w:rsidRDefault="001F7C21" w:rsidP="000E2C47">
            <w:pPr>
              <w:jc w:val="center"/>
              <w:rPr>
                <w:b/>
                <w:color w:val="FF0000"/>
                <w:lang w:val="nl-BE"/>
              </w:rPr>
            </w:pPr>
            <w:r>
              <w:rPr>
                <w:b/>
                <w:color w:val="FF0000"/>
                <w:lang w:val="nl-BE"/>
              </w:rPr>
              <w:t>3</w:t>
            </w:r>
            <w:r w:rsidR="00AB54B5">
              <w:rPr>
                <w:b/>
                <w:color w:val="FF0000"/>
                <w:lang w:val="nl-BE"/>
              </w:rPr>
              <w:t>21</w:t>
            </w:r>
          </w:p>
        </w:tc>
        <w:tc>
          <w:tcPr>
            <w:tcW w:w="1701" w:type="dxa"/>
          </w:tcPr>
          <w:p w14:paraId="253726B9" w14:textId="01BC239E" w:rsidR="008A2687" w:rsidRPr="00CD5853" w:rsidRDefault="00AB54B5" w:rsidP="000E2C47">
            <w:pPr>
              <w:jc w:val="center"/>
              <w:rPr>
                <w:b/>
                <w:color w:val="FF0000"/>
                <w:lang w:val="nl-BE"/>
              </w:rPr>
            </w:pPr>
            <w:r>
              <w:rPr>
                <w:b/>
                <w:color w:val="FF0000"/>
                <w:lang w:val="nl-BE"/>
              </w:rPr>
              <w:t>1117</w:t>
            </w:r>
          </w:p>
        </w:tc>
      </w:tr>
    </w:tbl>
    <w:p w14:paraId="2015784C" w14:textId="273611B7" w:rsidR="008A2687" w:rsidRDefault="008A2687" w:rsidP="00C101D1">
      <w:pPr>
        <w:jc w:val="both"/>
        <w:rPr>
          <w:lang w:val="fr-FR"/>
        </w:rPr>
      </w:pPr>
    </w:p>
    <w:p w14:paraId="60527065" w14:textId="7EEF717C" w:rsidR="00801206" w:rsidRDefault="00801206" w:rsidP="00B76985">
      <w:pPr>
        <w:pStyle w:val="Titre2"/>
      </w:pPr>
      <w:bookmarkStart w:id="35" w:name="_Toc76034163"/>
      <w:r w:rsidRPr="00C95796">
        <w:lastRenderedPageBreak/>
        <w:t>Nombre d’inscriptions soumises par compte</w:t>
      </w:r>
      <w:bookmarkEnd w:id="35"/>
    </w:p>
    <w:p w14:paraId="5A76E2E0" w14:textId="12C8B893" w:rsidR="00C95796" w:rsidRPr="00C95796" w:rsidRDefault="00C95796" w:rsidP="00C95796">
      <w:pPr>
        <w:jc w:val="both"/>
        <w:rPr>
          <w:lang w:val="fr-BE"/>
        </w:rPr>
      </w:pPr>
      <w:r w:rsidRPr="00B76985">
        <w:rPr>
          <w:lang w:val="fr-BE"/>
        </w:rPr>
        <w:br/>
      </w:r>
      <w:r w:rsidRPr="00B76985">
        <w:rPr>
          <w:lang w:val="fr-FR"/>
        </w:rPr>
        <w:t>Pour le nombre moyen d'enregistrements par compte actif, les tableaux "mélanges soumis" et "substances soumises" sont conservés séparément (première série de données) et également combinés (deuxième tableau). Nous pouvons ensuite choisir les données à prendre. Si une société est à la fois fournisseur et déclarant étranger, ces comptes sont considérés comme des comptes séparés.</w:t>
      </w:r>
    </w:p>
    <w:p w14:paraId="07D7D69B" w14:textId="0142F73C" w:rsidR="00DF44C7" w:rsidRPr="00BD15C9" w:rsidRDefault="00461C39" w:rsidP="00C101D1">
      <w:pPr>
        <w:jc w:val="both"/>
        <w:rPr>
          <w:lang w:val="fr-FR"/>
        </w:rPr>
      </w:pPr>
      <w:r w:rsidRPr="00BD15C9">
        <w:rPr>
          <w:lang w:val="fr-FR"/>
        </w:rPr>
        <w:t xml:space="preserve">Le tableau ci-dessous donne un aperçu du nombre d'enregistrements soumis par compte actif. Un compte actif est un compte pour lequel au moins un enregistrement a été effectué (mais pas nécessairement clôturé et introduit). Le nombre d'enregistrements ne tient compte que des enregistrements effectivement soumis. Il est donc possible que des comptes aient été comptabilisés pour lesquels il n'y a eu aucun enregistrement (ou pour lesquels le nombre minimum = 0). </w:t>
      </w:r>
    </w:p>
    <w:p w14:paraId="7E50ACFB" w14:textId="2EE3FC5F" w:rsidR="00EC4D6C" w:rsidRPr="00BD15C9" w:rsidRDefault="004A1690" w:rsidP="00C101D1">
      <w:pPr>
        <w:jc w:val="both"/>
        <w:rPr>
          <w:lang w:val="fr-FR"/>
        </w:rPr>
      </w:pPr>
      <w:r w:rsidRPr="006D6328">
        <w:rPr>
          <w:lang w:val="fr-FR"/>
        </w:rPr>
        <w:t xml:space="preserve">Il ressort du calcul de la médiane que la moitié des Déclarants, a introduit </w:t>
      </w:r>
      <w:r w:rsidR="006D6328" w:rsidRPr="00152719">
        <w:rPr>
          <w:lang w:val="fr-FR"/>
        </w:rPr>
        <w:t>entre trois et quatre</w:t>
      </w:r>
      <w:r w:rsidRPr="006D6328">
        <w:rPr>
          <w:lang w:val="fr-FR"/>
        </w:rPr>
        <w:t xml:space="preserve"> enregistrement</w:t>
      </w:r>
      <w:r w:rsidR="006D6328" w:rsidRPr="00152719">
        <w:rPr>
          <w:lang w:val="fr-FR"/>
        </w:rPr>
        <w:t>s</w:t>
      </w:r>
      <w:r w:rsidRPr="006D6328">
        <w:rPr>
          <w:lang w:val="fr-FR"/>
        </w:rPr>
        <w:t xml:space="preserve"> et cela concerne aussi bien les Déclarants belges que les Déclarants européens. La moyenne pour les Déclarants belges est de </w:t>
      </w:r>
      <w:r w:rsidR="00934E52">
        <w:rPr>
          <w:lang w:val="fr-FR"/>
        </w:rPr>
        <w:t>6,67</w:t>
      </w:r>
      <w:r w:rsidR="006D6328" w:rsidRPr="006D6328">
        <w:rPr>
          <w:lang w:val="fr-FR"/>
        </w:rPr>
        <w:t xml:space="preserve"> </w:t>
      </w:r>
      <w:r w:rsidRPr="006D6328">
        <w:rPr>
          <w:lang w:val="fr-FR"/>
        </w:rPr>
        <w:t>et cette moyenne est influencée par un maximum élevé</w:t>
      </w:r>
      <w:r w:rsidR="00277FFD" w:rsidRPr="006D6328">
        <w:rPr>
          <w:lang w:val="fr-FR"/>
        </w:rPr>
        <w:t xml:space="preserve"> (</w:t>
      </w:r>
      <w:r w:rsidR="00934E52">
        <w:rPr>
          <w:lang w:val="fr-FR"/>
        </w:rPr>
        <w:t>48</w:t>
      </w:r>
      <w:r w:rsidR="00277FFD" w:rsidRPr="006D6328">
        <w:rPr>
          <w:lang w:val="fr-FR"/>
        </w:rPr>
        <w:t>)</w:t>
      </w:r>
      <w:r w:rsidRPr="006D6328">
        <w:rPr>
          <w:lang w:val="fr-FR"/>
        </w:rPr>
        <w:t xml:space="preserve">. </w:t>
      </w:r>
    </w:p>
    <w:p w14:paraId="26520896" w14:textId="7E54F19D" w:rsidR="001D18BB" w:rsidRDefault="001D18BB" w:rsidP="00C101D1">
      <w:pPr>
        <w:jc w:val="both"/>
        <w:rPr>
          <w:lang w:val="fr-FR"/>
        </w:rPr>
      </w:pPr>
    </w:p>
    <w:p w14:paraId="3B719A29" w14:textId="4619AAAB" w:rsidR="003E15E3" w:rsidRDefault="003E15E3" w:rsidP="00C101D1">
      <w:pPr>
        <w:jc w:val="both"/>
        <w:rPr>
          <w:lang w:val="fr-FR"/>
        </w:rPr>
      </w:pPr>
      <w:r>
        <w:rPr>
          <w:lang w:val="fr-FR"/>
        </w:rPr>
        <w:t>Mélanges et substances ensemble</w:t>
      </w:r>
      <w:r w:rsidR="0027578E">
        <w:rPr>
          <w:lang w:val="fr-FR"/>
        </w:rPr>
        <w:t>,</w:t>
      </w:r>
      <w:r>
        <w:rPr>
          <w:lang w:val="fr-FR"/>
        </w:rPr>
        <w:t xml:space="preserve"> depuis le début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771"/>
        <w:gridCol w:w="1772"/>
        <w:gridCol w:w="1772"/>
        <w:gridCol w:w="1772"/>
      </w:tblGrid>
      <w:tr w:rsidR="003E15E3" w:rsidRPr="007F1FE2" w14:paraId="238DDAEB" w14:textId="77777777" w:rsidTr="000E2C47">
        <w:trPr>
          <w:tblHeader/>
        </w:trPr>
        <w:tc>
          <w:tcPr>
            <w:tcW w:w="9350" w:type="dxa"/>
            <w:gridSpan w:val="5"/>
          </w:tcPr>
          <w:p w14:paraId="3D709841" w14:textId="7B51D9F6" w:rsidR="003E15E3" w:rsidRPr="00B76985" w:rsidRDefault="003E15E3" w:rsidP="000E2C47">
            <w:pPr>
              <w:jc w:val="both"/>
              <w:rPr>
                <w:color w:val="FF0000"/>
                <w:lang w:val="fr-BE"/>
              </w:rPr>
            </w:pPr>
            <w:r w:rsidRPr="00BD15C9">
              <w:rPr>
                <w:b/>
                <w:i/>
                <w:lang w:val="fr-FR"/>
              </w:rPr>
              <w:t>Tableau : répartition du nombre des enregistrements soumis par nationalité et type de compte</w:t>
            </w:r>
          </w:p>
        </w:tc>
      </w:tr>
      <w:tr w:rsidR="003E15E3" w:rsidRPr="00334D29" w14:paraId="23E56235" w14:textId="77777777" w:rsidTr="000E2C47">
        <w:trPr>
          <w:tblHeader/>
        </w:trPr>
        <w:tc>
          <w:tcPr>
            <w:tcW w:w="2263" w:type="dxa"/>
          </w:tcPr>
          <w:p w14:paraId="14143307" w14:textId="77777777" w:rsidR="003E15E3" w:rsidRPr="00B76985" w:rsidRDefault="003E15E3" w:rsidP="003E15E3">
            <w:pPr>
              <w:jc w:val="both"/>
              <w:rPr>
                <w:color w:val="FF0000"/>
                <w:lang w:val="fr-BE"/>
              </w:rPr>
            </w:pPr>
          </w:p>
        </w:tc>
        <w:tc>
          <w:tcPr>
            <w:tcW w:w="1771" w:type="dxa"/>
          </w:tcPr>
          <w:p w14:paraId="65F65C39" w14:textId="13E191B4" w:rsidR="003E15E3" w:rsidRPr="00334D29" w:rsidRDefault="003E15E3" w:rsidP="003E15E3">
            <w:pPr>
              <w:jc w:val="center"/>
              <w:rPr>
                <w:b/>
                <w:color w:val="FF0000"/>
                <w:lang w:val="nl-BE"/>
              </w:rPr>
            </w:pPr>
            <w:r w:rsidRPr="00BD15C9">
              <w:rPr>
                <w:b/>
                <w:lang w:val="fr-FR"/>
              </w:rPr>
              <w:t>min</w:t>
            </w:r>
          </w:p>
        </w:tc>
        <w:tc>
          <w:tcPr>
            <w:tcW w:w="1772" w:type="dxa"/>
          </w:tcPr>
          <w:p w14:paraId="373CD7E4" w14:textId="2FFF630B" w:rsidR="003E15E3" w:rsidRPr="00334D29" w:rsidRDefault="003E15E3" w:rsidP="003E15E3">
            <w:pPr>
              <w:jc w:val="center"/>
              <w:rPr>
                <w:b/>
                <w:color w:val="FF0000"/>
                <w:lang w:val="nl-BE"/>
              </w:rPr>
            </w:pPr>
            <w:r w:rsidRPr="00BD15C9">
              <w:rPr>
                <w:b/>
                <w:lang w:val="fr-FR"/>
              </w:rPr>
              <w:t>max</w:t>
            </w:r>
          </w:p>
        </w:tc>
        <w:tc>
          <w:tcPr>
            <w:tcW w:w="1772" w:type="dxa"/>
          </w:tcPr>
          <w:p w14:paraId="34330FDC" w14:textId="2F8D79EA" w:rsidR="003E15E3" w:rsidRPr="00334D29" w:rsidRDefault="003E15E3" w:rsidP="003E15E3">
            <w:pPr>
              <w:jc w:val="center"/>
              <w:rPr>
                <w:b/>
                <w:color w:val="FF0000"/>
                <w:lang w:val="nl-BE"/>
              </w:rPr>
            </w:pPr>
            <w:r w:rsidRPr="00BD15C9">
              <w:rPr>
                <w:b/>
                <w:lang w:val="fr-FR"/>
              </w:rPr>
              <w:t>médiane</w:t>
            </w:r>
          </w:p>
        </w:tc>
        <w:tc>
          <w:tcPr>
            <w:tcW w:w="1772" w:type="dxa"/>
          </w:tcPr>
          <w:p w14:paraId="25F43015" w14:textId="2655E98B" w:rsidR="003E15E3" w:rsidRPr="00334D29" w:rsidRDefault="003E15E3" w:rsidP="003E15E3">
            <w:pPr>
              <w:jc w:val="center"/>
              <w:rPr>
                <w:b/>
                <w:color w:val="FF0000"/>
                <w:lang w:val="nl-BE"/>
              </w:rPr>
            </w:pPr>
            <w:r w:rsidRPr="00BD15C9">
              <w:rPr>
                <w:b/>
                <w:lang w:val="fr-FR"/>
              </w:rPr>
              <w:t>moyenne</w:t>
            </w:r>
          </w:p>
        </w:tc>
      </w:tr>
      <w:tr w:rsidR="0027578E" w:rsidRPr="00334D29" w14:paraId="07CB9B21" w14:textId="77777777" w:rsidTr="000E2C47">
        <w:tc>
          <w:tcPr>
            <w:tcW w:w="2263" w:type="dxa"/>
          </w:tcPr>
          <w:p w14:paraId="31F55728" w14:textId="72DC396F" w:rsidR="0027578E" w:rsidRPr="00334D29" w:rsidRDefault="0027578E" w:rsidP="0027578E">
            <w:pPr>
              <w:jc w:val="both"/>
              <w:rPr>
                <w:color w:val="FF0000"/>
                <w:lang w:val="nl-BE"/>
              </w:rPr>
            </w:pPr>
            <w:r w:rsidRPr="00BD15C9">
              <w:rPr>
                <w:lang w:val="fr-FR"/>
              </w:rPr>
              <w:t>BE - Déclarant</w:t>
            </w:r>
          </w:p>
        </w:tc>
        <w:tc>
          <w:tcPr>
            <w:tcW w:w="1771" w:type="dxa"/>
          </w:tcPr>
          <w:p w14:paraId="2C1D7372" w14:textId="3B2DF932" w:rsidR="0027578E" w:rsidRPr="008E3E9B" w:rsidRDefault="0027578E" w:rsidP="0027578E">
            <w:pPr>
              <w:jc w:val="center"/>
              <w:rPr>
                <w:b/>
                <w:bCs/>
                <w:color w:val="FF0000"/>
                <w:lang w:val="nl-BE"/>
              </w:rPr>
            </w:pPr>
            <w:r w:rsidRPr="008E3E9B">
              <w:rPr>
                <w:b/>
                <w:bCs/>
                <w:color w:val="FF0000"/>
                <w:lang w:val="nl-BE"/>
              </w:rPr>
              <w:t>1</w:t>
            </w:r>
          </w:p>
        </w:tc>
        <w:tc>
          <w:tcPr>
            <w:tcW w:w="1772" w:type="dxa"/>
          </w:tcPr>
          <w:p w14:paraId="00E2B50F" w14:textId="6DBDB8FF" w:rsidR="0027578E" w:rsidRPr="008E3E9B" w:rsidRDefault="0027578E" w:rsidP="0027578E">
            <w:pPr>
              <w:jc w:val="center"/>
              <w:rPr>
                <w:b/>
                <w:bCs/>
                <w:color w:val="FF0000"/>
                <w:lang w:val="nl-BE"/>
              </w:rPr>
            </w:pPr>
            <w:r w:rsidRPr="008E3E9B">
              <w:rPr>
                <w:b/>
                <w:bCs/>
                <w:color w:val="FF0000"/>
                <w:lang w:val="nl-BE"/>
              </w:rPr>
              <w:t>48</w:t>
            </w:r>
          </w:p>
        </w:tc>
        <w:tc>
          <w:tcPr>
            <w:tcW w:w="1772" w:type="dxa"/>
          </w:tcPr>
          <w:p w14:paraId="1448AF5B" w14:textId="226EF391" w:rsidR="0027578E" w:rsidRPr="008E3E9B" w:rsidRDefault="0027578E" w:rsidP="0027578E">
            <w:pPr>
              <w:jc w:val="center"/>
              <w:rPr>
                <w:b/>
                <w:bCs/>
                <w:color w:val="FF0000"/>
                <w:lang w:val="nl-BE"/>
              </w:rPr>
            </w:pPr>
            <w:r w:rsidRPr="008E3E9B">
              <w:rPr>
                <w:b/>
                <w:bCs/>
                <w:color w:val="FF0000"/>
                <w:lang w:val="nl-BE"/>
              </w:rPr>
              <w:t>3</w:t>
            </w:r>
          </w:p>
        </w:tc>
        <w:tc>
          <w:tcPr>
            <w:tcW w:w="1772" w:type="dxa"/>
          </w:tcPr>
          <w:p w14:paraId="437C04A9" w14:textId="1582CEEE" w:rsidR="0027578E" w:rsidRPr="008E3E9B" w:rsidRDefault="0027578E" w:rsidP="0027578E">
            <w:pPr>
              <w:jc w:val="center"/>
              <w:rPr>
                <w:b/>
                <w:bCs/>
                <w:color w:val="FF0000"/>
                <w:lang w:val="nl-BE"/>
              </w:rPr>
            </w:pPr>
            <w:r w:rsidRPr="008E3E9B">
              <w:rPr>
                <w:b/>
                <w:bCs/>
                <w:color w:val="FF0000"/>
                <w:lang w:val="nl-BE"/>
              </w:rPr>
              <w:t>6,67</w:t>
            </w:r>
          </w:p>
        </w:tc>
      </w:tr>
      <w:tr w:rsidR="0027578E" w:rsidRPr="00334D29" w14:paraId="22943937" w14:textId="77777777" w:rsidTr="000E2C47">
        <w:tc>
          <w:tcPr>
            <w:tcW w:w="2263" w:type="dxa"/>
          </w:tcPr>
          <w:p w14:paraId="290B06F9" w14:textId="26E6081B" w:rsidR="0027578E" w:rsidRPr="00334D29" w:rsidRDefault="0027578E" w:rsidP="0027578E">
            <w:pPr>
              <w:jc w:val="both"/>
              <w:rPr>
                <w:color w:val="FF0000"/>
                <w:lang w:val="nl-BE"/>
              </w:rPr>
            </w:pPr>
            <w:r w:rsidRPr="00BD15C9">
              <w:rPr>
                <w:lang w:val="fr-FR"/>
              </w:rPr>
              <w:t>EEE - Déclarant</w:t>
            </w:r>
          </w:p>
        </w:tc>
        <w:tc>
          <w:tcPr>
            <w:tcW w:w="1771" w:type="dxa"/>
          </w:tcPr>
          <w:p w14:paraId="27174AF6" w14:textId="56493E5A" w:rsidR="0027578E" w:rsidRPr="008E3E9B" w:rsidRDefault="0027578E" w:rsidP="0027578E">
            <w:pPr>
              <w:jc w:val="center"/>
              <w:rPr>
                <w:b/>
                <w:bCs/>
                <w:color w:val="FF0000"/>
                <w:lang w:val="nl-BE"/>
              </w:rPr>
            </w:pPr>
            <w:r w:rsidRPr="008E3E9B">
              <w:rPr>
                <w:b/>
                <w:bCs/>
                <w:color w:val="FF0000"/>
                <w:lang w:val="nl-BE"/>
              </w:rPr>
              <w:t>1</w:t>
            </w:r>
          </w:p>
        </w:tc>
        <w:tc>
          <w:tcPr>
            <w:tcW w:w="1772" w:type="dxa"/>
          </w:tcPr>
          <w:p w14:paraId="43A3844D" w14:textId="52E9DDE2" w:rsidR="0027578E" w:rsidRPr="008E3E9B" w:rsidRDefault="0027578E" w:rsidP="0027578E">
            <w:pPr>
              <w:jc w:val="center"/>
              <w:rPr>
                <w:b/>
                <w:bCs/>
                <w:color w:val="FF0000"/>
                <w:lang w:val="nl-BE"/>
              </w:rPr>
            </w:pPr>
            <w:r w:rsidRPr="008E3E9B">
              <w:rPr>
                <w:b/>
                <w:bCs/>
                <w:color w:val="FF0000"/>
                <w:lang w:val="nl-BE"/>
              </w:rPr>
              <w:t>142</w:t>
            </w:r>
          </w:p>
        </w:tc>
        <w:tc>
          <w:tcPr>
            <w:tcW w:w="1772" w:type="dxa"/>
          </w:tcPr>
          <w:p w14:paraId="73175C01" w14:textId="70F2031C" w:rsidR="0027578E" w:rsidRPr="008E3E9B" w:rsidRDefault="0027578E" w:rsidP="0027578E">
            <w:pPr>
              <w:jc w:val="center"/>
              <w:rPr>
                <w:b/>
                <w:bCs/>
                <w:color w:val="FF0000"/>
                <w:lang w:val="nl-BE"/>
              </w:rPr>
            </w:pPr>
            <w:r w:rsidRPr="008E3E9B">
              <w:rPr>
                <w:b/>
                <w:bCs/>
                <w:color w:val="FF0000"/>
                <w:lang w:val="nl-BE"/>
              </w:rPr>
              <w:t>4</w:t>
            </w:r>
          </w:p>
        </w:tc>
        <w:tc>
          <w:tcPr>
            <w:tcW w:w="1772" w:type="dxa"/>
          </w:tcPr>
          <w:p w14:paraId="623190FE" w14:textId="0F6E4B7A" w:rsidR="0027578E" w:rsidRPr="008E3E9B" w:rsidRDefault="0027578E" w:rsidP="0027578E">
            <w:pPr>
              <w:jc w:val="center"/>
              <w:rPr>
                <w:b/>
                <w:bCs/>
                <w:color w:val="FF0000"/>
                <w:lang w:val="nl-BE"/>
              </w:rPr>
            </w:pPr>
            <w:r w:rsidRPr="008E3E9B">
              <w:rPr>
                <w:b/>
                <w:bCs/>
                <w:color w:val="FF0000"/>
                <w:lang w:val="nl-BE"/>
              </w:rPr>
              <w:t>13,47</w:t>
            </w:r>
          </w:p>
        </w:tc>
      </w:tr>
      <w:tr w:rsidR="0027578E" w:rsidRPr="00334D29" w14:paraId="039F2319" w14:textId="77777777" w:rsidTr="000E2C47">
        <w:tc>
          <w:tcPr>
            <w:tcW w:w="2263" w:type="dxa"/>
          </w:tcPr>
          <w:p w14:paraId="2B63BDC3" w14:textId="44D478A1" w:rsidR="0027578E" w:rsidRPr="00334D29" w:rsidRDefault="0027578E" w:rsidP="0027578E">
            <w:pPr>
              <w:jc w:val="both"/>
              <w:rPr>
                <w:color w:val="FF0000"/>
                <w:lang w:val="nl-BE"/>
              </w:rPr>
            </w:pPr>
            <w:r w:rsidRPr="00BD15C9">
              <w:rPr>
                <w:lang w:val="fr-FR"/>
              </w:rPr>
              <w:t>EEE – Fournisseur étranger</w:t>
            </w:r>
          </w:p>
        </w:tc>
        <w:tc>
          <w:tcPr>
            <w:tcW w:w="1771" w:type="dxa"/>
          </w:tcPr>
          <w:p w14:paraId="2C739FF5" w14:textId="15523601" w:rsidR="0027578E" w:rsidRPr="008E3E9B" w:rsidRDefault="0027578E" w:rsidP="0027578E">
            <w:pPr>
              <w:jc w:val="center"/>
              <w:rPr>
                <w:b/>
                <w:bCs/>
                <w:color w:val="FF0000"/>
                <w:lang w:val="nl-BE"/>
              </w:rPr>
            </w:pPr>
            <w:r w:rsidRPr="008E3E9B">
              <w:rPr>
                <w:b/>
                <w:bCs/>
                <w:color w:val="FF0000"/>
                <w:lang w:val="nl-BE"/>
              </w:rPr>
              <w:t>1</w:t>
            </w:r>
          </w:p>
        </w:tc>
        <w:tc>
          <w:tcPr>
            <w:tcW w:w="1772" w:type="dxa"/>
          </w:tcPr>
          <w:p w14:paraId="6ACC43BB" w14:textId="0DEE7E10" w:rsidR="0027578E" w:rsidRPr="008E3E9B" w:rsidRDefault="0027578E" w:rsidP="0027578E">
            <w:pPr>
              <w:jc w:val="center"/>
              <w:rPr>
                <w:b/>
                <w:bCs/>
                <w:color w:val="FF0000"/>
                <w:lang w:val="nl-BE"/>
              </w:rPr>
            </w:pPr>
            <w:r w:rsidRPr="008E3E9B">
              <w:rPr>
                <w:b/>
                <w:bCs/>
                <w:color w:val="FF0000"/>
                <w:lang w:val="nl-BE"/>
              </w:rPr>
              <w:t>127</w:t>
            </w:r>
          </w:p>
        </w:tc>
        <w:tc>
          <w:tcPr>
            <w:tcW w:w="1772" w:type="dxa"/>
          </w:tcPr>
          <w:p w14:paraId="394F52F2" w14:textId="1166DA0C" w:rsidR="0027578E" w:rsidRPr="008E3E9B" w:rsidRDefault="0027578E" w:rsidP="0027578E">
            <w:pPr>
              <w:jc w:val="center"/>
              <w:rPr>
                <w:b/>
                <w:bCs/>
                <w:color w:val="FF0000"/>
                <w:lang w:val="nl-BE"/>
              </w:rPr>
            </w:pPr>
            <w:r w:rsidRPr="008E3E9B">
              <w:rPr>
                <w:b/>
                <w:bCs/>
                <w:color w:val="FF0000"/>
                <w:lang w:val="nl-BE"/>
              </w:rPr>
              <w:t>2,5</w:t>
            </w:r>
          </w:p>
        </w:tc>
        <w:tc>
          <w:tcPr>
            <w:tcW w:w="1772" w:type="dxa"/>
          </w:tcPr>
          <w:p w14:paraId="332DEB0D" w14:textId="31C7B49C" w:rsidR="0027578E" w:rsidRPr="008E3E9B" w:rsidRDefault="0027578E" w:rsidP="0027578E">
            <w:pPr>
              <w:jc w:val="center"/>
              <w:rPr>
                <w:b/>
                <w:bCs/>
                <w:color w:val="FF0000"/>
                <w:lang w:val="nl-BE"/>
              </w:rPr>
            </w:pPr>
            <w:r w:rsidRPr="008E3E9B">
              <w:rPr>
                <w:b/>
                <w:bCs/>
                <w:color w:val="FF0000"/>
                <w:lang w:val="nl-BE"/>
              </w:rPr>
              <w:t>12,82</w:t>
            </w:r>
          </w:p>
        </w:tc>
      </w:tr>
      <w:tr w:rsidR="0027578E" w:rsidRPr="00334D29" w14:paraId="57148F8F" w14:textId="77777777" w:rsidTr="000E2C47">
        <w:tc>
          <w:tcPr>
            <w:tcW w:w="2263" w:type="dxa"/>
          </w:tcPr>
          <w:p w14:paraId="0B12339A" w14:textId="5A5203F7" w:rsidR="0027578E" w:rsidRPr="00334D29" w:rsidRDefault="0027578E" w:rsidP="0027578E">
            <w:pPr>
              <w:jc w:val="both"/>
              <w:rPr>
                <w:color w:val="FF0000"/>
                <w:lang w:val="nl-BE"/>
              </w:rPr>
            </w:pPr>
            <w:r w:rsidRPr="00BD15C9">
              <w:rPr>
                <w:lang w:val="fr-FR"/>
              </w:rPr>
              <w:t>Non-EEE - Fournisseur étranger</w:t>
            </w:r>
          </w:p>
        </w:tc>
        <w:tc>
          <w:tcPr>
            <w:tcW w:w="1771" w:type="dxa"/>
          </w:tcPr>
          <w:p w14:paraId="5452534A" w14:textId="55688BA1" w:rsidR="0027578E" w:rsidRPr="008E3E9B" w:rsidRDefault="0027578E" w:rsidP="0027578E">
            <w:pPr>
              <w:jc w:val="center"/>
              <w:rPr>
                <w:b/>
                <w:bCs/>
                <w:color w:val="FF0000"/>
                <w:lang w:val="nl-BE"/>
              </w:rPr>
            </w:pPr>
            <w:r w:rsidRPr="008E3E9B">
              <w:rPr>
                <w:b/>
                <w:bCs/>
                <w:color w:val="FF0000"/>
                <w:lang w:val="nl-BE"/>
              </w:rPr>
              <w:t>1</w:t>
            </w:r>
          </w:p>
        </w:tc>
        <w:tc>
          <w:tcPr>
            <w:tcW w:w="1772" w:type="dxa"/>
          </w:tcPr>
          <w:p w14:paraId="75522E7F" w14:textId="26C179DB" w:rsidR="0027578E" w:rsidRPr="008E3E9B" w:rsidRDefault="0027578E" w:rsidP="0027578E">
            <w:pPr>
              <w:jc w:val="center"/>
              <w:rPr>
                <w:b/>
                <w:bCs/>
                <w:color w:val="FF0000"/>
                <w:lang w:val="nl-BE"/>
              </w:rPr>
            </w:pPr>
            <w:r w:rsidRPr="008E3E9B">
              <w:rPr>
                <w:b/>
                <w:bCs/>
                <w:color w:val="FF0000"/>
                <w:lang w:val="nl-BE"/>
              </w:rPr>
              <w:t>25</w:t>
            </w:r>
          </w:p>
        </w:tc>
        <w:tc>
          <w:tcPr>
            <w:tcW w:w="1772" w:type="dxa"/>
          </w:tcPr>
          <w:p w14:paraId="6CCEBE90" w14:textId="676C7C48" w:rsidR="0027578E" w:rsidRPr="008E3E9B" w:rsidRDefault="0027578E" w:rsidP="0027578E">
            <w:pPr>
              <w:jc w:val="center"/>
              <w:rPr>
                <w:b/>
                <w:bCs/>
                <w:color w:val="FF0000"/>
                <w:lang w:val="nl-BE"/>
              </w:rPr>
            </w:pPr>
            <w:r w:rsidRPr="008E3E9B">
              <w:rPr>
                <w:b/>
                <w:bCs/>
                <w:color w:val="FF0000"/>
                <w:lang w:val="nl-BE"/>
              </w:rPr>
              <w:t>2,5</w:t>
            </w:r>
          </w:p>
        </w:tc>
        <w:tc>
          <w:tcPr>
            <w:tcW w:w="1772" w:type="dxa"/>
          </w:tcPr>
          <w:p w14:paraId="677037AB" w14:textId="46106BA9" w:rsidR="0027578E" w:rsidRPr="008E3E9B" w:rsidRDefault="0027578E" w:rsidP="008E3E9B">
            <w:pPr>
              <w:jc w:val="center"/>
              <w:rPr>
                <w:b/>
                <w:bCs/>
                <w:color w:val="FF0000"/>
                <w:lang w:val="nl-BE"/>
              </w:rPr>
            </w:pPr>
            <w:r w:rsidRPr="008E3E9B">
              <w:rPr>
                <w:b/>
                <w:bCs/>
                <w:color w:val="FF0000"/>
                <w:lang w:val="nl-BE"/>
              </w:rPr>
              <w:t>5,08</w:t>
            </w:r>
          </w:p>
        </w:tc>
      </w:tr>
    </w:tbl>
    <w:p w14:paraId="331F2706" w14:textId="4ECAC47B" w:rsidR="003E15E3" w:rsidRDefault="003E15E3" w:rsidP="00C101D1">
      <w:pPr>
        <w:jc w:val="both"/>
        <w:rPr>
          <w:lang w:val="fr-FR"/>
        </w:rPr>
      </w:pPr>
    </w:p>
    <w:p w14:paraId="53E07E18" w14:textId="6E37380D" w:rsidR="003E15E3" w:rsidRDefault="003E15E3" w:rsidP="00C101D1">
      <w:pPr>
        <w:jc w:val="both"/>
        <w:rPr>
          <w:lang w:val="fr-FR"/>
        </w:rPr>
      </w:pPr>
      <w:r>
        <w:rPr>
          <w:lang w:val="fr-FR"/>
        </w:rPr>
        <w:t>Substances depuis le début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771"/>
        <w:gridCol w:w="1772"/>
        <w:gridCol w:w="1772"/>
        <w:gridCol w:w="1772"/>
      </w:tblGrid>
      <w:tr w:rsidR="003E15E3" w:rsidRPr="007F1FE2" w14:paraId="69CC7931" w14:textId="77777777" w:rsidTr="000E2C47">
        <w:trPr>
          <w:tblHeader/>
        </w:trPr>
        <w:tc>
          <w:tcPr>
            <w:tcW w:w="9350" w:type="dxa"/>
            <w:gridSpan w:val="5"/>
          </w:tcPr>
          <w:p w14:paraId="3DBBD44E" w14:textId="21702FCF" w:rsidR="003E15E3" w:rsidRPr="00B76985" w:rsidRDefault="003E15E3" w:rsidP="000E2C47">
            <w:pPr>
              <w:jc w:val="both"/>
              <w:rPr>
                <w:color w:val="FF0000"/>
                <w:lang w:val="fr-BE"/>
              </w:rPr>
            </w:pPr>
            <w:r w:rsidRPr="00BD15C9">
              <w:rPr>
                <w:b/>
                <w:i/>
                <w:lang w:val="fr-FR"/>
              </w:rPr>
              <w:t>Tableau : répartition du nombre des enregistrements soumis par nationalité et type de compte</w:t>
            </w:r>
          </w:p>
        </w:tc>
      </w:tr>
      <w:tr w:rsidR="003E15E3" w:rsidRPr="00334D29" w14:paraId="4F004F64" w14:textId="77777777" w:rsidTr="000E2C47">
        <w:trPr>
          <w:tblHeader/>
        </w:trPr>
        <w:tc>
          <w:tcPr>
            <w:tcW w:w="2263" w:type="dxa"/>
          </w:tcPr>
          <w:p w14:paraId="64524A3B" w14:textId="77777777" w:rsidR="003E15E3" w:rsidRPr="00B76985" w:rsidRDefault="003E15E3" w:rsidP="003E15E3">
            <w:pPr>
              <w:jc w:val="both"/>
              <w:rPr>
                <w:color w:val="FF0000"/>
                <w:lang w:val="fr-BE"/>
              </w:rPr>
            </w:pPr>
          </w:p>
        </w:tc>
        <w:tc>
          <w:tcPr>
            <w:tcW w:w="1771" w:type="dxa"/>
          </w:tcPr>
          <w:p w14:paraId="43F695D2" w14:textId="658DA76C" w:rsidR="003E15E3" w:rsidRPr="00334D29" w:rsidRDefault="003E15E3" w:rsidP="003E15E3">
            <w:pPr>
              <w:jc w:val="center"/>
              <w:rPr>
                <w:b/>
                <w:color w:val="FF0000"/>
                <w:lang w:val="nl-BE"/>
              </w:rPr>
            </w:pPr>
            <w:r w:rsidRPr="00BD15C9">
              <w:rPr>
                <w:b/>
                <w:lang w:val="fr-FR"/>
              </w:rPr>
              <w:t>min</w:t>
            </w:r>
          </w:p>
        </w:tc>
        <w:tc>
          <w:tcPr>
            <w:tcW w:w="1772" w:type="dxa"/>
          </w:tcPr>
          <w:p w14:paraId="65DE71B4" w14:textId="32EFCF77" w:rsidR="003E15E3" w:rsidRPr="00334D29" w:rsidRDefault="003E15E3" w:rsidP="003E15E3">
            <w:pPr>
              <w:jc w:val="center"/>
              <w:rPr>
                <w:b/>
                <w:color w:val="FF0000"/>
                <w:lang w:val="nl-BE"/>
              </w:rPr>
            </w:pPr>
            <w:r w:rsidRPr="00BD15C9">
              <w:rPr>
                <w:b/>
                <w:lang w:val="fr-FR"/>
              </w:rPr>
              <w:t>max</w:t>
            </w:r>
          </w:p>
        </w:tc>
        <w:tc>
          <w:tcPr>
            <w:tcW w:w="1772" w:type="dxa"/>
          </w:tcPr>
          <w:p w14:paraId="21BCED1F" w14:textId="7BCD7AEB" w:rsidR="003E15E3" w:rsidRPr="00334D29" w:rsidRDefault="003E15E3" w:rsidP="003E15E3">
            <w:pPr>
              <w:jc w:val="center"/>
              <w:rPr>
                <w:b/>
                <w:color w:val="FF0000"/>
                <w:lang w:val="nl-BE"/>
              </w:rPr>
            </w:pPr>
            <w:r w:rsidRPr="00BD15C9">
              <w:rPr>
                <w:b/>
                <w:lang w:val="fr-FR"/>
              </w:rPr>
              <w:t>médiane</w:t>
            </w:r>
          </w:p>
        </w:tc>
        <w:tc>
          <w:tcPr>
            <w:tcW w:w="1772" w:type="dxa"/>
          </w:tcPr>
          <w:p w14:paraId="67E172DC" w14:textId="10462904" w:rsidR="003E15E3" w:rsidRPr="00334D29" w:rsidRDefault="003E15E3" w:rsidP="003E15E3">
            <w:pPr>
              <w:jc w:val="center"/>
              <w:rPr>
                <w:b/>
                <w:color w:val="FF0000"/>
                <w:lang w:val="nl-BE"/>
              </w:rPr>
            </w:pPr>
            <w:r w:rsidRPr="00BD15C9">
              <w:rPr>
                <w:b/>
                <w:lang w:val="fr-FR"/>
              </w:rPr>
              <w:t>moyenne</w:t>
            </w:r>
          </w:p>
        </w:tc>
      </w:tr>
      <w:tr w:rsidR="00934E52" w:rsidRPr="00334D29" w14:paraId="7AF2F6C1" w14:textId="77777777" w:rsidTr="000E2C47">
        <w:tc>
          <w:tcPr>
            <w:tcW w:w="2263" w:type="dxa"/>
          </w:tcPr>
          <w:p w14:paraId="59F297A1" w14:textId="0A5CC325" w:rsidR="00934E52" w:rsidRPr="00334D29" w:rsidRDefault="00934E52" w:rsidP="00934E52">
            <w:pPr>
              <w:jc w:val="both"/>
              <w:rPr>
                <w:color w:val="FF0000"/>
                <w:lang w:val="nl-BE"/>
              </w:rPr>
            </w:pPr>
            <w:r w:rsidRPr="00BD15C9">
              <w:rPr>
                <w:lang w:val="fr-FR"/>
              </w:rPr>
              <w:t>BE - Déclarant</w:t>
            </w:r>
          </w:p>
        </w:tc>
        <w:tc>
          <w:tcPr>
            <w:tcW w:w="1771" w:type="dxa"/>
          </w:tcPr>
          <w:p w14:paraId="4AAFCF55" w14:textId="0952C905" w:rsidR="00934E52" w:rsidRPr="00E77E9B" w:rsidRDefault="00934E52" w:rsidP="00934E52">
            <w:pPr>
              <w:jc w:val="center"/>
              <w:rPr>
                <w:b/>
                <w:bCs/>
                <w:color w:val="FF0000"/>
                <w:lang w:val="nl-BE"/>
              </w:rPr>
            </w:pPr>
            <w:r w:rsidRPr="00E77E9B">
              <w:rPr>
                <w:b/>
                <w:bCs/>
                <w:color w:val="FF0000"/>
                <w:lang w:val="nl-BE"/>
              </w:rPr>
              <w:t>1</w:t>
            </w:r>
          </w:p>
        </w:tc>
        <w:tc>
          <w:tcPr>
            <w:tcW w:w="1772" w:type="dxa"/>
          </w:tcPr>
          <w:p w14:paraId="55B1D388" w14:textId="5EF0E1A9" w:rsidR="00934E52" w:rsidRPr="00E77E9B" w:rsidRDefault="00934E52" w:rsidP="00934E52">
            <w:pPr>
              <w:jc w:val="center"/>
              <w:rPr>
                <w:b/>
                <w:bCs/>
                <w:color w:val="FF0000"/>
                <w:lang w:val="nl-BE"/>
              </w:rPr>
            </w:pPr>
            <w:r w:rsidRPr="00E77E9B">
              <w:rPr>
                <w:b/>
                <w:bCs/>
                <w:color w:val="FF0000"/>
                <w:lang w:val="nl-BE"/>
              </w:rPr>
              <w:t>42</w:t>
            </w:r>
          </w:p>
        </w:tc>
        <w:tc>
          <w:tcPr>
            <w:tcW w:w="1772" w:type="dxa"/>
          </w:tcPr>
          <w:p w14:paraId="220CF893" w14:textId="5A0DFF83" w:rsidR="00934E52" w:rsidRPr="00E77E9B" w:rsidRDefault="00934E52" w:rsidP="00934E52">
            <w:pPr>
              <w:jc w:val="center"/>
              <w:rPr>
                <w:b/>
                <w:bCs/>
                <w:color w:val="FF0000"/>
                <w:lang w:val="nl-BE"/>
              </w:rPr>
            </w:pPr>
            <w:r w:rsidRPr="00E77E9B">
              <w:rPr>
                <w:b/>
                <w:bCs/>
                <w:color w:val="FF0000"/>
                <w:lang w:val="nl-BE"/>
              </w:rPr>
              <w:t>2</w:t>
            </w:r>
          </w:p>
        </w:tc>
        <w:tc>
          <w:tcPr>
            <w:tcW w:w="1772" w:type="dxa"/>
          </w:tcPr>
          <w:p w14:paraId="66A8F604" w14:textId="66102CBD" w:rsidR="00934E52" w:rsidRPr="00E77E9B" w:rsidRDefault="00934E52" w:rsidP="00934E52">
            <w:pPr>
              <w:jc w:val="center"/>
              <w:rPr>
                <w:b/>
                <w:bCs/>
                <w:color w:val="FF0000"/>
                <w:lang w:val="nl-BE"/>
              </w:rPr>
            </w:pPr>
            <w:r w:rsidRPr="00E77E9B">
              <w:rPr>
                <w:b/>
                <w:bCs/>
                <w:color w:val="FF0000"/>
                <w:lang w:val="nl-BE"/>
              </w:rPr>
              <w:t>5,25</w:t>
            </w:r>
          </w:p>
        </w:tc>
      </w:tr>
      <w:tr w:rsidR="00934E52" w:rsidRPr="00334D29" w14:paraId="69566489" w14:textId="77777777" w:rsidTr="000E2C47">
        <w:tc>
          <w:tcPr>
            <w:tcW w:w="2263" w:type="dxa"/>
          </w:tcPr>
          <w:p w14:paraId="55F13B41" w14:textId="4409D070" w:rsidR="00934E52" w:rsidRPr="00334D29" w:rsidRDefault="00934E52" w:rsidP="00934E52">
            <w:pPr>
              <w:jc w:val="both"/>
              <w:rPr>
                <w:color w:val="FF0000"/>
                <w:lang w:val="nl-BE"/>
              </w:rPr>
            </w:pPr>
            <w:r w:rsidRPr="00BD15C9">
              <w:rPr>
                <w:lang w:val="fr-FR"/>
              </w:rPr>
              <w:t>EEE - Déclarant</w:t>
            </w:r>
          </w:p>
        </w:tc>
        <w:tc>
          <w:tcPr>
            <w:tcW w:w="1771" w:type="dxa"/>
          </w:tcPr>
          <w:p w14:paraId="227B113E" w14:textId="3EF8496F" w:rsidR="00934E52" w:rsidRPr="00E77E9B" w:rsidRDefault="00934E52" w:rsidP="00934E52">
            <w:pPr>
              <w:jc w:val="center"/>
              <w:rPr>
                <w:b/>
                <w:bCs/>
                <w:color w:val="FF0000"/>
                <w:lang w:val="nl-BE"/>
              </w:rPr>
            </w:pPr>
            <w:r w:rsidRPr="00E77E9B">
              <w:rPr>
                <w:b/>
                <w:bCs/>
                <w:color w:val="FF0000"/>
                <w:lang w:val="nl-BE"/>
              </w:rPr>
              <w:t>1</w:t>
            </w:r>
          </w:p>
        </w:tc>
        <w:tc>
          <w:tcPr>
            <w:tcW w:w="1772" w:type="dxa"/>
          </w:tcPr>
          <w:p w14:paraId="66514F30" w14:textId="15913AEF" w:rsidR="00934E52" w:rsidRPr="00E77E9B" w:rsidRDefault="00934E52" w:rsidP="00934E52">
            <w:pPr>
              <w:jc w:val="center"/>
              <w:rPr>
                <w:b/>
                <w:bCs/>
                <w:color w:val="FF0000"/>
                <w:lang w:val="nl-BE"/>
              </w:rPr>
            </w:pPr>
            <w:r w:rsidRPr="00E77E9B">
              <w:rPr>
                <w:b/>
                <w:bCs/>
                <w:color w:val="FF0000"/>
                <w:lang w:val="nl-BE"/>
              </w:rPr>
              <w:t>56</w:t>
            </w:r>
          </w:p>
        </w:tc>
        <w:tc>
          <w:tcPr>
            <w:tcW w:w="1772" w:type="dxa"/>
          </w:tcPr>
          <w:p w14:paraId="5857D235" w14:textId="7F8EA85B" w:rsidR="00934E52" w:rsidRPr="00E77E9B" w:rsidRDefault="00934E52" w:rsidP="00934E52">
            <w:pPr>
              <w:jc w:val="center"/>
              <w:rPr>
                <w:b/>
                <w:bCs/>
                <w:color w:val="FF0000"/>
                <w:lang w:val="nl-BE"/>
              </w:rPr>
            </w:pPr>
            <w:r w:rsidRPr="00E77E9B">
              <w:rPr>
                <w:b/>
                <w:bCs/>
                <w:color w:val="FF0000"/>
                <w:lang w:val="nl-BE"/>
              </w:rPr>
              <w:t>2</w:t>
            </w:r>
          </w:p>
        </w:tc>
        <w:tc>
          <w:tcPr>
            <w:tcW w:w="1772" w:type="dxa"/>
          </w:tcPr>
          <w:p w14:paraId="3C281911" w14:textId="1EDD9A7B" w:rsidR="00934E52" w:rsidRPr="00E77E9B" w:rsidRDefault="00934E52" w:rsidP="00934E52">
            <w:pPr>
              <w:jc w:val="center"/>
              <w:rPr>
                <w:b/>
                <w:bCs/>
                <w:color w:val="FF0000"/>
                <w:lang w:val="nl-BE"/>
              </w:rPr>
            </w:pPr>
            <w:r w:rsidRPr="00E77E9B">
              <w:rPr>
                <w:b/>
                <w:bCs/>
                <w:color w:val="FF0000"/>
                <w:lang w:val="nl-BE"/>
              </w:rPr>
              <w:t>5,73</w:t>
            </w:r>
          </w:p>
        </w:tc>
      </w:tr>
      <w:tr w:rsidR="00934E52" w:rsidRPr="00334D29" w14:paraId="15FB1D4D" w14:textId="77777777" w:rsidTr="000E2C47">
        <w:tc>
          <w:tcPr>
            <w:tcW w:w="2263" w:type="dxa"/>
          </w:tcPr>
          <w:p w14:paraId="325BC0ED" w14:textId="4DE5539D" w:rsidR="00934E52" w:rsidRPr="00334D29" w:rsidRDefault="00934E52" w:rsidP="00934E52">
            <w:pPr>
              <w:jc w:val="both"/>
              <w:rPr>
                <w:color w:val="FF0000"/>
                <w:lang w:val="nl-BE"/>
              </w:rPr>
            </w:pPr>
            <w:r w:rsidRPr="00BD15C9">
              <w:rPr>
                <w:lang w:val="fr-FR"/>
              </w:rPr>
              <w:t>EEE – Fournisseur étranger</w:t>
            </w:r>
          </w:p>
        </w:tc>
        <w:tc>
          <w:tcPr>
            <w:tcW w:w="1771" w:type="dxa"/>
          </w:tcPr>
          <w:p w14:paraId="0504FFD2" w14:textId="0B8A80FF" w:rsidR="00934E52" w:rsidRPr="00E77E9B" w:rsidRDefault="00934E52" w:rsidP="00934E52">
            <w:pPr>
              <w:jc w:val="center"/>
              <w:rPr>
                <w:b/>
                <w:bCs/>
                <w:color w:val="FF0000"/>
                <w:lang w:val="nl-BE"/>
              </w:rPr>
            </w:pPr>
            <w:r w:rsidRPr="00E77E9B">
              <w:rPr>
                <w:b/>
                <w:bCs/>
                <w:color w:val="FF0000"/>
                <w:lang w:val="nl-BE"/>
              </w:rPr>
              <w:t>1</w:t>
            </w:r>
          </w:p>
        </w:tc>
        <w:tc>
          <w:tcPr>
            <w:tcW w:w="1772" w:type="dxa"/>
          </w:tcPr>
          <w:p w14:paraId="2BD6C5DA" w14:textId="367C180E" w:rsidR="00934E52" w:rsidRPr="00E77E9B" w:rsidRDefault="00934E52" w:rsidP="00934E52">
            <w:pPr>
              <w:jc w:val="center"/>
              <w:rPr>
                <w:b/>
                <w:bCs/>
                <w:color w:val="FF0000"/>
                <w:lang w:val="nl-BE"/>
              </w:rPr>
            </w:pPr>
            <w:r w:rsidRPr="00E77E9B">
              <w:rPr>
                <w:b/>
                <w:bCs/>
                <w:color w:val="FF0000"/>
                <w:lang w:val="nl-BE"/>
              </w:rPr>
              <w:t>67</w:t>
            </w:r>
          </w:p>
        </w:tc>
        <w:tc>
          <w:tcPr>
            <w:tcW w:w="1772" w:type="dxa"/>
          </w:tcPr>
          <w:p w14:paraId="6970F643" w14:textId="51B3B3D7" w:rsidR="00934E52" w:rsidRPr="00E77E9B" w:rsidRDefault="00934E52" w:rsidP="00934E52">
            <w:pPr>
              <w:jc w:val="center"/>
              <w:rPr>
                <w:b/>
                <w:bCs/>
                <w:color w:val="FF0000"/>
                <w:lang w:val="nl-BE"/>
              </w:rPr>
            </w:pPr>
            <w:r w:rsidRPr="00E77E9B">
              <w:rPr>
                <w:b/>
                <w:bCs/>
                <w:color w:val="FF0000"/>
                <w:lang w:val="nl-BE"/>
              </w:rPr>
              <w:t>2</w:t>
            </w:r>
          </w:p>
        </w:tc>
        <w:tc>
          <w:tcPr>
            <w:tcW w:w="1772" w:type="dxa"/>
          </w:tcPr>
          <w:p w14:paraId="2DA45FC7" w14:textId="76072860" w:rsidR="00934E52" w:rsidRPr="00E77E9B" w:rsidRDefault="00934E52" w:rsidP="00934E52">
            <w:pPr>
              <w:jc w:val="center"/>
              <w:rPr>
                <w:b/>
                <w:bCs/>
                <w:color w:val="FF0000"/>
                <w:lang w:val="nl-BE"/>
              </w:rPr>
            </w:pPr>
            <w:r w:rsidRPr="00E77E9B">
              <w:rPr>
                <w:b/>
                <w:bCs/>
                <w:color w:val="FF0000"/>
                <w:lang w:val="nl-BE"/>
              </w:rPr>
              <w:t>10,58</w:t>
            </w:r>
          </w:p>
        </w:tc>
      </w:tr>
      <w:tr w:rsidR="00934E52" w:rsidRPr="00334D29" w14:paraId="0F059DCF" w14:textId="77777777" w:rsidTr="000E2C47">
        <w:tc>
          <w:tcPr>
            <w:tcW w:w="2263" w:type="dxa"/>
          </w:tcPr>
          <w:p w14:paraId="5D9FDBCD" w14:textId="43A6BAC7" w:rsidR="00934E52" w:rsidRPr="00334D29" w:rsidRDefault="00934E52" w:rsidP="00934E52">
            <w:pPr>
              <w:jc w:val="both"/>
              <w:rPr>
                <w:color w:val="FF0000"/>
                <w:lang w:val="nl-BE"/>
              </w:rPr>
            </w:pPr>
            <w:r w:rsidRPr="00BD15C9">
              <w:rPr>
                <w:lang w:val="fr-FR"/>
              </w:rPr>
              <w:lastRenderedPageBreak/>
              <w:t>Non-EEE - Fournisseur étranger</w:t>
            </w:r>
          </w:p>
        </w:tc>
        <w:tc>
          <w:tcPr>
            <w:tcW w:w="1771" w:type="dxa"/>
          </w:tcPr>
          <w:p w14:paraId="58C03697" w14:textId="5AC17542" w:rsidR="00934E52" w:rsidRPr="00E77E9B" w:rsidRDefault="00934E52" w:rsidP="00934E52">
            <w:pPr>
              <w:jc w:val="center"/>
              <w:rPr>
                <w:b/>
                <w:bCs/>
                <w:color w:val="FF0000"/>
                <w:lang w:val="nl-BE"/>
              </w:rPr>
            </w:pPr>
            <w:r w:rsidRPr="00E77E9B">
              <w:rPr>
                <w:b/>
                <w:bCs/>
                <w:color w:val="FF0000"/>
                <w:lang w:val="nl-BE"/>
              </w:rPr>
              <w:t>1</w:t>
            </w:r>
          </w:p>
        </w:tc>
        <w:tc>
          <w:tcPr>
            <w:tcW w:w="1772" w:type="dxa"/>
          </w:tcPr>
          <w:p w14:paraId="60FB2701" w14:textId="0BA4F2F3" w:rsidR="00934E52" w:rsidRPr="00E77E9B" w:rsidRDefault="00934E52" w:rsidP="00934E52">
            <w:pPr>
              <w:jc w:val="center"/>
              <w:rPr>
                <w:b/>
                <w:bCs/>
                <w:color w:val="FF0000"/>
                <w:lang w:val="nl-BE"/>
              </w:rPr>
            </w:pPr>
            <w:r w:rsidRPr="00E77E9B">
              <w:rPr>
                <w:b/>
                <w:bCs/>
                <w:color w:val="FF0000"/>
                <w:lang w:val="nl-BE"/>
              </w:rPr>
              <w:t>10</w:t>
            </w:r>
          </w:p>
        </w:tc>
        <w:tc>
          <w:tcPr>
            <w:tcW w:w="1772" w:type="dxa"/>
          </w:tcPr>
          <w:p w14:paraId="1E143DA3" w14:textId="5209025C" w:rsidR="00934E52" w:rsidRPr="00E77E9B" w:rsidRDefault="00934E52" w:rsidP="00934E52">
            <w:pPr>
              <w:jc w:val="center"/>
              <w:rPr>
                <w:b/>
                <w:bCs/>
                <w:color w:val="FF0000"/>
                <w:lang w:val="nl-BE"/>
              </w:rPr>
            </w:pPr>
            <w:r w:rsidRPr="00E77E9B">
              <w:rPr>
                <w:b/>
                <w:bCs/>
                <w:color w:val="FF0000"/>
                <w:lang w:val="nl-BE"/>
              </w:rPr>
              <w:t>2</w:t>
            </w:r>
          </w:p>
        </w:tc>
        <w:tc>
          <w:tcPr>
            <w:tcW w:w="1772" w:type="dxa"/>
          </w:tcPr>
          <w:p w14:paraId="098D5BC0" w14:textId="3EAC5219" w:rsidR="00934E52" w:rsidRPr="00E77E9B" w:rsidRDefault="00934E52" w:rsidP="00934E52">
            <w:pPr>
              <w:jc w:val="center"/>
              <w:rPr>
                <w:b/>
                <w:bCs/>
                <w:color w:val="FF0000"/>
                <w:lang w:val="nl-BE"/>
              </w:rPr>
            </w:pPr>
            <w:r w:rsidRPr="00E77E9B">
              <w:rPr>
                <w:b/>
                <w:bCs/>
                <w:color w:val="FF0000"/>
                <w:lang w:val="nl-BE"/>
              </w:rPr>
              <w:t>3,22</w:t>
            </w:r>
          </w:p>
        </w:tc>
      </w:tr>
    </w:tbl>
    <w:p w14:paraId="576E386B" w14:textId="13A3DA4B" w:rsidR="003E15E3" w:rsidRDefault="003E15E3" w:rsidP="00C101D1">
      <w:pPr>
        <w:jc w:val="both"/>
        <w:rPr>
          <w:lang w:val="fr-FR"/>
        </w:rPr>
      </w:pPr>
    </w:p>
    <w:p w14:paraId="0FFA305D" w14:textId="7DD6E4DF" w:rsidR="003E15E3" w:rsidRDefault="003E15E3" w:rsidP="00C101D1">
      <w:pPr>
        <w:jc w:val="both"/>
        <w:rPr>
          <w:lang w:val="fr-FR"/>
        </w:rPr>
      </w:pPr>
      <w:r>
        <w:rPr>
          <w:lang w:val="fr-FR"/>
        </w:rPr>
        <w:t>Mélanges depuis le début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771"/>
        <w:gridCol w:w="1772"/>
        <w:gridCol w:w="1772"/>
        <w:gridCol w:w="1772"/>
      </w:tblGrid>
      <w:tr w:rsidR="003E15E3" w:rsidRPr="007F1FE2" w14:paraId="7E7912A9" w14:textId="77777777" w:rsidTr="000E2C47">
        <w:trPr>
          <w:tblHeader/>
        </w:trPr>
        <w:tc>
          <w:tcPr>
            <w:tcW w:w="9350" w:type="dxa"/>
            <w:gridSpan w:val="5"/>
          </w:tcPr>
          <w:p w14:paraId="5BA25A8F" w14:textId="2BFCB5DF" w:rsidR="003E15E3" w:rsidRPr="00B76985" w:rsidRDefault="003E15E3" w:rsidP="000E2C47">
            <w:pPr>
              <w:jc w:val="both"/>
              <w:rPr>
                <w:color w:val="FF0000"/>
                <w:lang w:val="fr-BE"/>
              </w:rPr>
            </w:pPr>
            <w:r w:rsidRPr="00BD15C9">
              <w:rPr>
                <w:b/>
                <w:i/>
                <w:lang w:val="fr-FR"/>
              </w:rPr>
              <w:t>Tableau : répartition du nombre des enregistrements soumis par nationalité et type de compte</w:t>
            </w:r>
          </w:p>
        </w:tc>
      </w:tr>
      <w:tr w:rsidR="003E15E3" w:rsidRPr="00334D29" w14:paraId="3AB74EDC" w14:textId="77777777" w:rsidTr="000E2C47">
        <w:trPr>
          <w:tblHeader/>
        </w:trPr>
        <w:tc>
          <w:tcPr>
            <w:tcW w:w="2263" w:type="dxa"/>
          </w:tcPr>
          <w:p w14:paraId="05CDE11F" w14:textId="77777777" w:rsidR="003E15E3" w:rsidRPr="00B76985" w:rsidRDefault="003E15E3" w:rsidP="003E15E3">
            <w:pPr>
              <w:jc w:val="both"/>
              <w:rPr>
                <w:color w:val="FF0000"/>
                <w:lang w:val="fr-BE"/>
              </w:rPr>
            </w:pPr>
          </w:p>
        </w:tc>
        <w:tc>
          <w:tcPr>
            <w:tcW w:w="1771" w:type="dxa"/>
          </w:tcPr>
          <w:p w14:paraId="46422253" w14:textId="321DCD0A" w:rsidR="003E15E3" w:rsidRPr="00334D29" w:rsidRDefault="003E15E3" w:rsidP="003E15E3">
            <w:pPr>
              <w:jc w:val="center"/>
              <w:rPr>
                <w:b/>
                <w:color w:val="FF0000"/>
                <w:lang w:val="nl-BE"/>
              </w:rPr>
            </w:pPr>
            <w:r w:rsidRPr="00BD15C9">
              <w:rPr>
                <w:b/>
                <w:lang w:val="fr-FR"/>
              </w:rPr>
              <w:t>min</w:t>
            </w:r>
          </w:p>
        </w:tc>
        <w:tc>
          <w:tcPr>
            <w:tcW w:w="1772" w:type="dxa"/>
          </w:tcPr>
          <w:p w14:paraId="722BAF9A" w14:textId="592B4D17" w:rsidR="003E15E3" w:rsidRPr="00334D29" w:rsidRDefault="003E15E3" w:rsidP="003E15E3">
            <w:pPr>
              <w:jc w:val="center"/>
              <w:rPr>
                <w:b/>
                <w:color w:val="FF0000"/>
                <w:lang w:val="nl-BE"/>
              </w:rPr>
            </w:pPr>
            <w:r w:rsidRPr="00BD15C9">
              <w:rPr>
                <w:b/>
                <w:lang w:val="fr-FR"/>
              </w:rPr>
              <w:t>max</w:t>
            </w:r>
          </w:p>
        </w:tc>
        <w:tc>
          <w:tcPr>
            <w:tcW w:w="1772" w:type="dxa"/>
          </w:tcPr>
          <w:p w14:paraId="10FCA4E7" w14:textId="4B7EE58C" w:rsidR="003E15E3" w:rsidRPr="00334D29" w:rsidRDefault="003E15E3" w:rsidP="003E15E3">
            <w:pPr>
              <w:jc w:val="center"/>
              <w:rPr>
                <w:b/>
                <w:color w:val="FF0000"/>
                <w:lang w:val="nl-BE"/>
              </w:rPr>
            </w:pPr>
            <w:r w:rsidRPr="00BD15C9">
              <w:rPr>
                <w:b/>
                <w:lang w:val="fr-FR"/>
              </w:rPr>
              <w:t>médiane</w:t>
            </w:r>
          </w:p>
        </w:tc>
        <w:tc>
          <w:tcPr>
            <w:tcW w:w="1772" w:type="dxa"/>
          </w:tcPr>
          <w:p w14:paraId="474EF26E" w14:textId="4E79A03B" w:rsidR="003E15E3" w:rsidRPr="00334D29" w:rsidRDefault="003E15E3" w:rsidP="003E15E3">
            <w:pPr>
              <w:jc w:val="center"/>
              <w:rPr>
                <w:b/>
                <w:color w:val="FF0000"/>
                <w:lang w:val="nl-BE"/>
              </w:rPr>
            </w:pPr>
            <w:r w:rsidRPr="00BD15C9">
              <w:rPr>
                <w:b/>
                <w:lang w:val="fr-FR"/>
              </w:rPr>
              <w:t>moyenne</w:t>
            </w:r>
          </w:p>
        </w:tc>
      </w:tr>
      <w:tr w:rsidR="00934E52" w:rsidRPr="00334D29" w14:paraId="705AB24F" w14:textId="77777777" w:rsidTr="000E2C47">
        <w:tc>
          <w:tcPr>
            <w:tcW w:w="2263" w:type="dxa"/>
          </w:tcPr>
          <w:p w14:paraId="25593327" w14:textId="57041A69" w:rsidR="00934E52" w:rsidRPr="00334D29" w:rsidRDefault="00934E52" w:rsidP="00934E52">
            <w:pPr>
              <w:jc w:val="both"/>
              <w:rPr>
                <w:color w:val="FF0000"/>
                <w:lang w:val="nl-BE"/>
              </w:rPr>
            </w:pPr>
            <w:r w:rsidRPr="00BD15C9">
              <w:rPr>
                <w:lang w:val="fr-FR"/>
              </w:rPr>
              <w:t>BE - Déclarant</w:t>
            </w:r>
          </w:p>
        </w:tc>
        <w:tc>
          <w:tcPr>
            <w:tcW w:w="1771" w:type="dxa"/>
          </w:tcPr>
          <w:p w14:paraId="6A0C21DA" w14:textId="7074B78B" w:rsidR="00934E52" w:rsidRPr="00E77E9B" w:rsidRDefault="00934E52" w:rsidP="00934E52">
            <w:pPr>
              <w:jc w:val="center"/>
              <w:rPr>
                <w:b/>
                <w:bCs/>
                <w:color w:val="FF0000"/>
                <w:lang w:val="nl-BE"/>
              </w:rPr>
            </w:pPr>
            <w:r w:rsidRPr="00E77E9B">
              <w:rPr>
                <w:b/>
                <w:bCs/>
                <w:color w:val="FF0000"/>
                <w:lang w:val="nl-BE"/>
              </w:rPr>
              <w:t>1</w:t>
            </w:r>
          </w:p>
        </w:tc>
        <w:tc>
          <w:tcPr>
            <w:tcW w:w="1772" w:type="dxa"/>
          </w:tcPr>
          <w:p w14:paraId="6E7B9B5C" w14:textId="73D65847" w:rsidR="00934E52" w:rsidRPr="00E77E9B" w:rsidRDefault="00934E52" w:rsidP="00934E52">
            <w:pPr>
              <w:jc w:val="center"/>
              <w:rPr>
                <w:b/>
                <w:bCs/>
                <w:color w:val="FF0000"/>
                <w:lang w:val="nl-BE"/>
              </w:rPr>
            </w:pPr>
            <w:r w:rsidRPr="00E77E9B">
              <w:rPr>
                <w:b/>
                <w:bCs/>
                <w:color w:val="FF0000"/>
                <w:lang w:val="nl-BE"/>
              </w:rPr>
              <w:t>48</w:t>
            </w:r>
          </w:p>
        </w:tc>
        <w:tc>
          <w:tcPr>
            <w:tcW w:w="1772" w:type="dxa"/>
          </w:tcPr>
          <w:p w14:paraId="1703F93B" w14:textId="01059BC6" w:rsidR="00934E52" w:rsidRPr="00E77E9B" w:rsidRDefault="00934E52" w:rsidP="00934E52">
            <w:pPr>
              <w:jc w:val="center"/>
              <w:rPr>
                <w:b/>
                <w:bCs/>
                <w:color w:val="FF0000"/>
                <w:lang w:val="nl-BE"/>
              </w:rPr>
            </w:pPr>
            <w:r w:rsidRPr="00E77E9B">
              <w:rPr>
                <w:b/>
                <w:bCs/>
                <w:color w:val="FF0000"/>
                <w:lang w:val="nl-BE"/>
              </w:rPr>
              <w:t>3,5</w:t>
            </w:r>
          </w:p>
        </w:tc>
        <w:tc>
          <w:tcPr>
            <w:tcW w:w="1772" w:type="dxa"/>
          </w:tcPr>
          <w:p w14:paraId="0E7D19FD" w14:textId="4F35B7B2" w:rsidR="00934E52" w:rsidRPr="00E77E9B" w:rsidRDefault="00934E52" w:rsidP="00934E52">
            <w:pPr>
              <w:jc w:val="center"/>
              <w:rPr>
                <w:b/>
                <w:bCs/>
                <w:color w:val="FF0000"/>
                <w:lang w:val="nl-BE"/>
              </w:rPr>
            </w:pPr>
            <w:r w:rsidRPr="00E77E9B">
              <w:rPr>
                <w:b/>
                <w:bCs/>
                <w:color w:val="FF0000"/>
                <w:lang w:val="nl-BE"/>
              </w:rPr>
              <w:t>5,82</w:t>
            </w:r>
          </w:p>
        </w:tc>
      </w:tr>
      <w:tr w:rsidR="00934E52" w:rsidRPr="00334D29" w14:paraId="7299FB20" w14:textId="77777777" w:rsidTr="000E2C47">
        <w:tc>
          <w:tcPr>
            <w:tcW w:w="2263" w:type="dxa"/>
          </w:tcPr>
          <w:p w14:paraId="627771C4" w14:textId="72062140" w:rsidR="00934E52" w:rsidRPr="00334D29" w:rsidRDefault="00934E52" w:rsidP="00934E52">
            <w:pPr>
              <w:jc w:val="both"/>
              <w:rPr>
                <w:color w:val="FF0000"/>
                <w:lang w:val="nl-BE"/>
              </w:rPr>
            </w:pPr>
            <w:r w:rsidRPr="00BD15C9">
              <w:rPr>
                <w:lang w:val="fr-FR"/>
              </w:rPr>
              <w:t>EEE - Déclarant</w:t>
            </w:r>
          </w:p>
        </w:tc>
        <w:tc>
          <w:tcPr>
            <w:tcW w:w="1771" w:type="dxa"/>
          </w:tcPr>
          <w:p w14:paraId="1B5449CB" w14:textId="16AD8C2C" w:rsidR="00934E52" w:rsidRPr="00E77E9B" w:rsidRDefault="00934E52" w:rsidP="00934E52">
            <w:pPr>
              <w:jc w:val="center"/>
              <w:rPr>
                <w:b/>
                <w:bCs/>
                <w:color w:val="FF0000"/>
                <w:lang w:val="nl-BE"/>
              </w:rPr>
            </w:pPr>
            <w:r w:rsidRPr="00E77E9B">
              <w:rPr>
                <w:b/>
                <w:bCs/>
                <w:color w:val="FF0000"/>
                <w:lang w:val="nl-BE"/>
              </w:rPr>
              <w:t>1</w:t>
            </w:r>
          </w:p>
        </w:tc>
        <w:tc>
          <w:tcPr>
            <w:tcW w:w="1772" w:type="dxa"/>
          </w:tcPr>
          <w:p w14:paraId="0B9F9F35" w14:textId="5AD50D6B" w:rsidR="00934E52" w:rsidRPr="00E77E9B" w:rsidRDefault="00934E52" w:rsidP="00934E52">
            <w:pPr>
              <w:jc w:val="center"/>
              <w:rPr>
                <w:b/>
                <w:bCs/>
                <w:color w:val="FF0000"/>
                <w:lang w:val="nl-BE"/>
              </w:rPr>
            </w:pPr>
            <w:r w:rsidRPr="00E77E9B">
              <w:rPr>
                <w:b/>
                <w:bCs/>
                <w:color w:val="FF0000"/>
                <w:lang w:val="nl-BE"/>
              </w:rPr>
              <w:t>141</w:t>
            </w:r>
          </w:p>
        </w:tc>
        <w:tc>
          <w:tcPr>
            <w:tcW w:w="1772" w:type="dxa"/>
          </w:tcPr>
          <w:p w14:paraId="05AB590C" w14:textId="3A709A70" w:rsidR="00934E52" w:rsidRPr="00E77E9B" w:rsidRDefault="00934E52" w:rsidP="00934E52">
            <w:pPr>
              <w:jc w:val="center"/>
              <w:rPr>
                <w:b/>
                <w:bCs/>
                <w:color w:val="FF0000"/>
                <w:lang w:val="nl-BE"/>
              </w:rPr>
            </w:pPr>
            <w:r w:rsidRPr="00E77E9B">
              <w:rPr>
                <w:b/>
                <w:bCs/>
                <w:color w:val="FF0000"/>
                <w:lang w:val="nl-BE"/>
              </w:rPr>
              <w:t>3,5</w:t>
            </w:r>
          </w:p>
        </w:tc>
        <w:tc>
          <w:tcPr>
            <w:tcW w:w="1772" w:type="dxa"/>
          </w:tcPr>
          <w:p w14:paraId="1983DBF5" w14:textId="0CE188FE" w:rsidR="00934E52" w:rsidRPr="00E77E9B" w:rsidRDefault="00934E52" w:rsidP="00934E52">
            <w:pPr>
              <w:jc w:val="center"/>
              <w:rPr>
                <w:b/>
                <w:bCs/>
                <w:color w:val="FF0000"/>
                <w:lang w:val="nl-BE"/>
              </w:rPr>
            </w:pPr>
            <w:r w:rsidRPr="00E77E9B">
              <w:rPr>
                <w:b/>
                <w:bCs/>
                <w:color w:val="FF0000"/>
                <w:lang w:val="nl-BE"/>
              </w:rPr>
              <w:t>15,15</w:t>
            </w:r>
          </w:p>
        </w:tc>
      </w:tr>
      <w:tr w:rsidR="00934E52" w:rsidRPr="00334D29" w14:paraId="2FB1F4FB" w14:textId="77777777" w:rsidTr="000E2C47">
        <w:tc>
          <w:tcPr>
            <w:tcW w:w="2263" w:type="dxa"/>
          </w:tcPr>
          <w:p w14:paraId="1843F283" w14:textId="7809C1F9" w:rsidR="00934E52" w:rsidRPr="00334D29" w:rsidRDefault="00934E52" w:rsidP="00934E52">
            <w:pPr>
              <w:jc w:val="both"/>
              <w:rPr>
                <w:color w:val="FF0000"/>
                <w:lang w:val="nl-BE"/>
              </w:rPr>
            </w:pPr>
            <w:r w:rsidRPr="00BD15C9">
              <w:rPr>
                <w:lang w:val="fr-FR"/>
              </w:rPr>
              <w:t>EEE – Fournisseur étranger</w:t>
            </w:r>
          </w:p>
        </w:tc>
        <w:tc>
          <w:tcPr>
            <w:tcW w:w="1771" w:type="dxa"/>
          </w:tcPr>
          <w:p w14:paraId="01BB570C" w14:textId="3BE464BD" w:rsidR="00934E52" w:rsidRPr="00E77E9B" w:rsidRDefault="00934E52" w:rsidP="00934E52">
            <w:pPr>
              <w:jc w:val="center"/>
              <w:rPr>
                <w:b/>
                <w:bCs/>
                <w:color w:val="FF0000"/>
                <w:lang w:val="nl-BE"/>
              </w:rPr>
            </w:pPr>
            <w:r w:rsidRPr="00E77E9B">
              <w:rPr>
                <w:b/>
                <w:bCs/>
                <w:color w:val="FF0000"/>
                <w:lang w:val="nl-BE"/>
              </w:rPr>
              <w:t>1</w:t>
            </w:r>
          </w:p>
        </w:tc>
        <w:tc>
          <w:tcPr>
            <w:tcW w:w="1772" w:type="dxa"/>
          </w:tcPr>
          <w:p w14:paraId="0B071778" w14:textId="435124A2" w:rsidR="00934E52" w:rsidRPr="00E77E9B" w:rsidRDefault="00934E52" w:rsidP="00934E52">
            <w:pPr>
              <w:jc w:val="center"/>
              <w:rPr>
                <w:b/>
                <w:bCs/>
                <w:color w:val="FF0000"/>
                <w:lang w:val="nl-BE"/>
              </w:rPr>
            </w:pPr>
            <w:r w:rsidRPr="00E77E9B">
              <w:rPr>
                <w:b/>
                <w:bCs/>
                <w:color w:val="FF0000"/>
                <w:lang w:val="nl-BE"/>
              </w:rPr>
              <w:t>62</w:t>
            </w:r>
          </w:p>
        </w:tc>
        <w:tc>
          <w:tcPr>
            <w:tcW w:w="1772" w:type="dxa"/>
          </w:tcPr>
          <w:p w14:paraId="2A1BFB3D" w14:textId="1AF722B6" w:rsidR="00934E52" w:rsidRPr="00E77E9B" w:rsidRDefault="00934E52" w:rsidP="00934E52">
            <w:pPr>
              <w:jc w:val="center"/>
              <w:rPr>
                <w:b/>
                <w:bCs/>
                <w:color w:val="FF0000"/>
                <w:lang w:val="nl-BE"/>
              </w:rPr>
            </w:pPr>
            <w:r w:rsidRPr="00E77E9B">
              <w:rPr>
                <w:b/>
                <w:bCs/>
                <w:color w:val="FF0000"/>
                <w:lang w:val="nl-BE"/>
              </w:rPr>
              <w:t>3</w:t>
            </w:r>
          </w:p>
        </w:tc>
        <w:tc>
          <w:tcPr>
            <w:tcW w:w="1772" w:type="dxa"/>
          </w:tcPr>
          <w:p w14:paraId="0E8216D0" w14:textId="15FB5B04" w:rsidR="00934E52" w:rsidRPr="00E77E9B" w:rsidRDefault="00934E52" w:rsidP="00934E52">
            <w:pPr>
              <w:jc w:val="center"/>
              <w:rPr>
                <w:b/>
                <w:bCs/>
                <w:color w:val="FF0000"/>
                <w:lang w:val="nl-BE"/>
              </w:rPr>
            </w:pPr>
            <w:r w:rsidRPr="00E77E9B">
              <w:rPr>
                <w:b/>
                <w:bCs/>
                <w:color w:val="FF0000"/>
                <w:lang w:val="nl-BE"/>
              </w:rPr>
              <w:t>10,70</w:t>
            </w:r>
          </w:p>
        </w:tc>
      </w:tr>
      <w:tr w:rsidR="00934E52" w:rsidRPr="00334D29" w14:paraId="0407B7AD" w14:textId="77777777" w:rsidTr="000E2C47">
        <w:tc>
          <w:tcPr>
            <w:tcW w:w="2263" w:type="dxa"/>
          </w:tcPr>
          <w:p w14:paraId="591000FC" w14:textId="63DD9BE2" w:rsidR="00934E52" w:rsidRPr="00334D29" w:rsidRDefault="00934E52" w:rsidP="00934E52">
            <w:pPr>
              <w:jc w:val="both"/>
              <w:rPr>
                <w:color w:val="FF0000"/>
                <w:lang w:val="nl-BE"/>
              </w:rPr>
            </w:pPr>
            <w:r w:rsidRPr="00BD15C9">
              <w:rPr>
                <w:lang w:val="fr-FR"/>
              </w:rPr>
              <w:t>Non-EEE - Fournisseur étranger</w:t>
            </w:r>
          </w:p>
        </w:tc>
        <w:tc>
          <w:tcPr>
            <w:tcW w:w="1771" w:type="dxa"/>
          </w:tcPr>
          <w:p w14:paraId="5602A3CB" w14:textId="4BE6B980" w:rsidR="00934E52" w:rsidRPr="00E77E9B" w:rsidRDefault="00934E52" w:rsidP="00934E52">
            <w:pPr>
              <w:jc w:val="center"/>
              <w:rPr>
                <w:b/>
                <w:bCs/>
                <w:color w:val="FF0000"/>
                <w:lang w:val="nl-BE"/>
              </w:rPr>
            </w:pPr>
            <w:r w:rsidRPr="00E77E9B">
              <w:rPr>
                <w:b/>
                <w:bCs/>
                <w:color w:val="FF0000"/>
                <w:lang w:val="nl-BE"/>
              </w:rPr>
              <w:t>1</w:t>
            </w:r>
          </w:p>
        </w:tc>
        <w:tc>
          <w:tcPr>
            <w:tcW w:w="1772" w:type="dxa"/>
          </w:tcPr>
          <w:p w14:paraId="3E52759E" w14:textId="66DF5316" w:rsidR="00934E52" w:rsidRPr="00E77E9B" w:rsidRDefault="00934E52" w:rsidP="00934E52">
            <w:pPr>
              <w:jc w:val="center"/>
              <w:rPr>
                <w:b/>
                <w:bCs/>
                <w:color w:val="FF0000"/>
                <w:lang w:val="nl-BE"/>
              </w:rPr>
            </w:pPr>
            <w:r w:rsidRPr="00E77E9B">
              <w:rPr>
                <w:b/>
                <w:bCs/>
                <w:color w:val="FF0000"/>
                <w:lang w:val="nl-BE"/>
              </w:rPr>
              <w:t>25</w:t>
            </w:r>
          </w:p>
        </w:tc>
        <w:tc>
          <w:tcPr>
            <w:tcW w:w="1772" w:type="dxa"/>
          </w:tcPr>
          <w:p w14:paraId="7C770430" w14:textId="20835A65" w:rsidR="00934E52" w:rsidRPr="00E77E9B" w:rsidRDefault="00934E52" w:rsidP="00934E52">
            <w:pPr>
              <w:jc w:val="center"/>
              <w:rPr>
                <w:b/>
                <w:bCs/>
                <w:color w:val="FF0000"/>
                <w:lang w:val="nl-BE"/>
              </w:rPr>
            </w:pPr>
            <w:r w:rsidRPr="00E77E9B">
              <w:rPr>
                <w:b/>
                <w:bCs/>
                <w:color w:val="FF0000"/>
                <w:lang w:val="nl-BE"/>
              </w:rPr>
              <w:t>3</w:t>
            </w:r>
          </w:p>
        </w:tc>
        <w:tc>
          <w:tcPr>
            <w:tcW w:w="1772" w:type="dxa"/>
          </w:tcPr>
          <w:p w14:paraId="7CE8A4D0" w14:textId="6A2FA1A4" w:rsidR="00934E52" w:rsidRPr="00E77E9B" w:rsidRDefault="00934E52" w:rsidP="00934E52">
            <w:pPr>
              <w:jc w:val="center"/>
              <w:rPr>
                <w:b/>
                <w:bCs/>
                <w:color w:val="FF0000"/>
                <w:lang w:val="nl-BE"/>
              </w:rPr>
            </w:pPr>
            <w:r w:rsidRPr="00E77E9B">
              <w:rPr>
                <w:b/>
                <w:bCs/>
                <w:color w:val="FF0000"/>
                <w:lang w:val="nl-BE"/>
              </w:rPr>
              <w:t>8</w:t>
            </w:r>
          </w:p>
        </w:tc>
      </w:tr>
    </w:tbl>
    <w:p w14:paraId="342034FD" w14:textId="7BD31576" w:rsidR="00D06100" w:rsidRDefault="00827288" w:rsidP="00B76985">
      <w:pPr>
        <w:pStyle w:val="Titre2"/>
      </w:pPr>
      <w:bookmarkStart w:id="36" w:name="_Toc76034164"/>
      <w:r w:rsidRPr="00BD15C9">
        <w:t xml:space="preserve">Mise à jour </w:t>
      </w:r>
      <w:r w:rsidRPr="003E15E3">
        <w:t>annuelle</w:t>
      </w:r>
      <w:bookmarkEnd w:id="36"/>
    </w:p>
    <w:p w14:paraId="2A300FBD" w14:textId="5653004C" w:rsidR="003E15E3" w:rsidRPr="00B76985" w:rsidRDefault="006A2987" w:rsidP="00B76985">
      <w:pPr>
        <w:jc w:val="both"/>
        <w:rPr>
          <w:lang w:val="fr-FR"/>
        </w:rPr>
      </w:pPr>
      <w:r>
        <w:rPr>
          <w:lang w:val="fr-FR"/>
        </w:rPr>
        <w:t xml:space="preserve">N.B. : </w:t>
      </w:r>
      <w:r w:rsidR="003E15E3" w:rsidRPr="003E15E3">
        <w:rPr>
          <w:lang w:val="fr-FR"/>
        </w:rPr>
        <w:t xml:space="preserve">Fichier </w:t>
      </w:r>
      <w:r w:rsidR="003E15E3" w:rsidRPr="00B76985">
        <w:rPr>
          <w:lang w:val="fr-FR"/>
        </w:rPr>
        <w:t>arr</w:t>
      </w:r>
      <w:r w:rsidR="003E15E3" w:rsidRPr="00B76985">
        <w:rPr>
          <w:rFonts w:hint="eastAsia"/>
          <w:lang w:val="fr-FR"/>
        </w:rPr>
        <w:t>ê</w:t>
      </w:r>
      <w:r w:rsidR="003E15E3" w:rsidRPr="00B76985">
        <w:rPr>
          <w:lang w:val="fr-FR"/>
        </w:rPr>
        <w:t>t</w:t>
      </w:r>
      <w:r w:rsidR="003E15E3">
        <w:rPr>
          <w:lang w:val="fr-FR"/>
        </w:rPr>
        <w:t>é</w:t>
      </w:r>
      <w:r w:rsidR="003E15E3" w:rsidRPr="00B76985">
        <w:rPr>
          <w:lang w:val="fr-FR"/>
        </w:rPr>
        <w:t xml:space="preserve"> = </w:t>
      </w:r>
      <w:r w:rsidR="003E15E3" w:rsidRPr="00B76985">
        <w:rPr>
          <w:rFonts w:hint="eastAsia"/>
          <w:lang w:val="fr-FR"/>
        </w:rPr>
        <w:t>à</w:t>
      </w:r>
      <w:r w:rsidR="003E15E3" w:rsidRPr="00B76985">
        <w:rPr>
          <w:lang w:val="fr-FR"/>
        </w:rPr>
        <w:t xml:space="preserve"> la mise </w:t>
      </w:r>
      <w:r w:rsidR="003E15E3" w:rsidRPr="00B76985">
        <w:rPr>
          <w:rFonts w:hint="eastAsia"/>
          <w:lang w:val="fr-FR"/>
        </w:rPr>
        <w:t>à</w:t>
      </w:r>
      <w:r w:rsidR="003E15E3" w:rsidRPr="00B76985">
        <w:rPr>
          <w:lang w:val="fr-FR"/>
        </w:rPr>
        <w:t xml:space="preserve"> jour annuelle.</w:t>
      </w:r>
    </w:p>
    <w:p w14:paraId="240DDBB6" w14:textId="77777777" w:rsidR="00694BAB" w:rsidRPr="00BD15C9" w:rsidRDefault="00694BAB" w:rsidP="00694BAB">
      <w:pPr>
        <w:jc w:val="both"/>
        <w:rPr>
          <w:lang w:val="fr-FR"/>
        </w:rPr>
      </w:pPr>
      <w:r w:rsidRPr="00BD15C9">
        <w:rPr>
          <w:lang w:val="fr-FR"/>
        </w:rPr>
        <w:t>Pour les enregistrements soumis pour des substances mises sur le marché à des fins commerciales, le Déclarant doit procéder à une actualisation des informations tous les ans. Cette actualisation annuelle doit être effectuée dans le courant des trois premiers mois de l'année qui suit l'année de commerce concernée (année calendrier).</w:t>
      </w:r>
    </w:p>
    <w:p w14:paraId="42B28D9D" w14:textId="77777777" w:rsidR="00694BAB" w:rsidRPr="00BD15C9" w:rsidRDefault="00694BAB" w:rsidP="00694BAB">
      <w:pPr>
        <w:jc w:val="both"/>
        <w:rPr>
          <w:lang w:val="fr-FR"/>
        </w:rPr>
      </w:pPr>
      <w:r w:rsidRPr="00BD15C9">
        <w:rPr>
          <w:lang w:val="fr-FR"/>
        </w:rPr>
        <w:t xml:space="preserve">Dans </w:t>
      </w:r>
      <w:r w:rsidRPr="00197358">
        <w:rPr>
          <w:lang w:val="fr-FR"/>
        </w:rPr>
        <w:t>le cadre de cette actualisation, le déclarant doit indiquer la quantité de substance qui a été effectivement mise sur le marché l'année précédente et en indiquer les utilisateurs professionnels (clients) au cours de cette année.</w:t>
      </w:r>
      <w:r w:rsidRPr="00BD15C9">
        <w:rPr>
          <w:lang w:val="fr-FR"/>
        </w:rPr>
        <w:t xml:space="preserve"> </w:t>
      </w:r>
    </w:p>
    <w:p w14:paraId="5BBBD2C1" w14:textId="4933748F" w:rsidR="00694BAB" w:rsidRDefault="00694BAB" w:rsidP="00B76985">
      <w:pPr>
        <w:jc w:val="both"/>
        <w:rPr>
          <w:lang w:val="fr-FR"/>
        </w:rPr>
      </w:pPr>
      <w:r w:rsidRPr="00BD15C9">
        <w:rPr>
          <w:lang w:val="fr-FR"/>
        </w:rPr>
        <w:t xml:space="preserve">Par définition, le Fournisseur étranger n'est pas lui-même responsable de la mise de ses nanomatériaux sur le marché belge et il ne doit donc pas enregistrer les quantités ou les utilisateurs professionnels et donc </w:t>
      </w:r>
      <w:r>
        <w:rPr>
          <w:lang w:val="fr-FR"/>
        </w:rPr>
        <w:t xml:space="preserve">ne </w:t>
      </w:r>
      <w:r w:rsidRPr="00BD15C9">
        <w:rPr>
          <w:lang w:val="fr-FR"/>
        </w:rPr>
        <w:t xml:space="preserve">pas faire de mise à jour de ces informations. Au niveau des enregistrements simplifiés (soumis pour les nanomatériaux utilisés exclusivement à des fins de recherche scientifique) le système ne demande pas d'enregistrer les quantités ou les utilisateurs professionnels et il n'y a donc pas de mise à jour à </w:t>
      </w:r>
      <w:r w:rsidR="006D6328">
        <w:rPr>
          <w:lang w:val="fr-FR"/>
        </w:rPr>
        <w:t>effectuer</w:t>
      </w:r>
      <w:r w:rsidRPr="00BD15C9">
        <w:rPr>
          <w:lang w:val="fr-FR"/>
        </w:rPr>
        <w:t>.</w:t>
      </w:r>
    </w:p>
    <w:p w14:paraId="3B83696A" w14:textId="4058FF53" w:rsidR="00505EDD" w:rsidRPr="00B76985" w:rsidRDefault="003E15E3" w:rsidP="00B76985">
      <w:pPr>
        <w:jc w:val="both"/>
        <w:rPr>
          <w:lang w:val="fr-FR"/>
        </w:rPr>
      </w:pPr>
      <w:r w:rsidRPr="00B76985">
        <w:rPr>
          <w:lang w:val="fr-FR"/>
        </w:rPr>
        <w:t>Il est possible qu'un d</w:t>
      </w:r>
      <w:r w:rsidRPr="00B76985">
        <w:rPr>
          <w:rFonts w:hint="eastAsia"/>
          <w:lang w:val="fr-FR"/>
        </w:rPr>
        <w:t>é</w:t>
      </w:r>
      <w:r w:rsidRPr="00B76985">
        <w:rPr>
          <w:lang w:val="fr-FR"/>
        </w:rPr>
        <w:t>clarant souhaite (temporairement) arr</w:t>
      </w:r>
      <w:r w:rsidRPr="00B76985">
        <w:rPr>
          <w:rFonts w:hint="eastAsia"/>
          <w:lang w:val="fr-FR"/>
        </w:rPr>
        <w:t>ê</w:t>
      </w:r>
      <w:r w:rsidRPr="00B76985">
        <w:rPr>
          <w:lang w:val="fr-FR"/>
        </w:rPr>
        <w:t xml:space="preserve">ter son enregistrement, car </w:t>
      </w:r>
      <w:r w:rsidR="00013FE0">
        <w:rPr>
          <w:lang w:val="fr-FR"/>
        </w:rPr>
        <w:t>la</w:t>
      </w:r>
      <w:r w:rsidR="00FE002D">
        <w:rPr>
          <w:lang w:val="fr-FR"/>
        </w:rPr>
        <w:t>/le</w:t>
      </w:r>
      <w:r w:rsidR="00013FE0">
        <w:rPr>
          <w:lang w:val="fr-FR"/>
        </w:rPr>
        <w:t xml:space="preserve"> substance/mélange</w:t>
      </w:r>
      <w:r w:rsidR="001D711C">
        <w:rPr>
          <w:lang w:val="fr-FR"/>
        </w:rPr>
        <w:t xml:space="preserve"> n'est (temporairement) p</w:t>
      </w:r>
      <w:r w:rsidR="001D711C" w:rsidRPr="001D711C">
        <w:rPr>
          <w:lang w:val="fr-FR"/>
        </w:rPr>
        <w:t>lus</w:t>
      </w:r>
      <w:r w:rsidRPr="00B76985">
        <w:rPr>
          <w:lang w:val="fr-FR"/>
        </w:rPr>
        <w:t xml:space="preserve"> mis sur le march</w:t>
      </w:r>
      <w:r w:rsidRPr="00B76985">
        <w:rPr>
          <w:rFonts w:hint="eastAsia"/>
          <w:lang w:val="fr-FR"/>
        </w:rPr>
        <w:t>é</w:t>
      </w:r>
      <w:r w:rsidRPr="00B76985">
        <w:rPr>
          <w:lang w:val="fr-FR"/>
        </w:rPr>
        <w:t>. Dans l</w:t>
      </w:r>
      <w:r w:rsidR="001D711C" w:rsidRPr="001D711C">
        <w:rPr>
          <w:lang w:val="fr-FR"/>
        </w:rPr>
        <w:t>e logiciel du registre, il est</w:t>
      </w:r>
      <w:r w:rsidRPr="00B76985">
        <w:rPr>
          <w:lang w:val="fr-FR"/>
        </w:rPr>
        <w:t xml:space="preserve"> possible d</w:t>
      </w:r>
      <w:r w:rsidR="006D6328">
        <w:rPr>
          <w:lang w:val="fr-FR"/>
        </w:rPr>
        <w:t>’</w:t>
      </w:r>
      <w:r w:rsidRPr="00B76985">
        <w:rPr>
          <w:lang w:val="fr-FR"/>
        </w:rPr>
        <w:t xml:space="preserve">interrompre </w:t>
      </w:r>
      <w:r w:rsidR="001D711C">
        <w:rPr>
          <w:lang w:val="fr-FR"/>
        </w:rPr>
        <w:t>un enregistrement</w:t>
      </w:r>
      <w:r w:rsidRPr="00B76985">
        <w:rPr>
          <w:lang w:val="fr-FR"/>
        </w:rPr>
        <w:t>. Lorsqu'un enregistrement est arr</w:t>
      </w:r>
      <w:r w:rsidRPr="00B76985">
        <w:rPr>
          <w:rFonts w:hint="eastAsia"/>
          <w:lang w:val="fr-FR"/>
        </w:rPr>
        <w:t>ê</w:t>
      </w:r>
      <w:r w:rsidRPr="00B76985">
        <w:rPr>
          <w:lang w:val="fr-FR"/>
        </w:rPr>
        <w:t>t</w:t>
      </w:r>
      <w:r w:rsidRPr="00B76985">
        <w:rPr>
          <w:rFonts w:hint="eastAsia"/>
          <w:lang w:val="fr-FR"/>
        </w:rPr>
        <w:t>é</w:t>
      </w:r>
      <w:r w:rsidRPr="00B76985">
        <w:rPr>
          <w:lang w:val="fr-FR"/>
        </w:rPr>
        <w:t>, le d</w:t>
      </w:r>
      <w:r w:rsidRPr="00B76985">
        <w:rPr>
          <w:rFonts w:hint="eastAsia"/>
          <w:lang w:val="fr-FR"/>
        </w:rPr>
        <w:t>é</w:t>
      </w:r>
      <w:r w:rsidRPr="00B76985">
        <w:rPr>
          <w:lang w:val="fr-FR"/>
        </w:rPr>
        <w:t xml:space="preserve">clarant doit effectuer une </w:t>
      </w:r>
      <w:r w:rsidR="001D711C">
        <w:rPr>
          <w:lang w:val="fr-FR"/>
        </w:rPr>
        <w:t xml:space="preserve">dernière </w:t>
      </w:r>
      <w:r w:rsidRPr="00B76985">
        <w:rPr>
          <w:lang w:val="fr-FR"/>
        </w:rPr>
        <w:t xml:space="preserve">mise </w:t>
      </w:r>
      <w:r w:rsidRPr="00B76985">
        <w:rPr>
          <w:rFonts w:hint="eastAsia"/>
          <w:lang w:val="fr-FR"/>
        </w:rPr>
        <w:t>à</w:t>
      </w:r>
      <w:r w:rsidRPr="00B76985">
        <w:rPr>
          <w:lang w:val="fr-FR"/>
        </w:rPr>
        <w:t xml:space="preserve"> jour annuelle pour compl</w:t>
      </w:r>
      <w:r w:rsidRPr="00B76985">
        <w:rPr>
          <w:rFonts w:hint="eastAsia"/>
          <w:lang w:val="fr-FR"/>
        </w:rPr>
        <w:t>é</w:t>
      </w:r>
      <w:r w:rsidRPr="00B76985">
        <w:rPr>
          <w:lang w:val="fr-FR"/>
        </w:rPr>
        <w:t>ter les donn</w:t>
      </w:r>
      <w:r w:rsidRPr="00B76985">
        <w:rPr>
          <w:rFonts w:hint="eastAsia"/>
          <w:lang w:val="fr-FR"/>
        </w:rPr>
        <w:t>é</w:t>
      </w:r>
      <w:r w:rsidRPr="00B76985">
        <w:rPr>
          <w:lang w:val="fr-FR"/>
        </w:rPr>
        <w:t>es de l'ann</w:t>
      </w:r>
      <w:r w:rsidRPr="00B76985">
        <w:rPr>
          <w:rFonts w:hint="eastAsia"/>
          <w:lang w:val="fr-FR"/>
        </w:rPr>
        <w:t>é</w:t>
      </w:r>
      <w:r w:rsidRPr="00B76985">
        <w:rPr>
          <w:lang w:val="fr-FR"/>
        </w:rPr>
        <w:t xml:space="preserve">e au cours de laquelle l'enregistrement a </w:t>
      </w:r>
      <w:r w:rsidRPr="00B76985">
        <w:rPr>
          <w:rFonts w:hint="eastAsia"/>
          <w:lang w:val="fr-FR"/>
        </w:rPr>
        <w:t>é</w:t>
      </w:r>
      <w:r w:rsidRPr="00B76985">
        <w:rPr>
          <w:lang w:val="fr-FR"/>
        </w:rPr>
        <w:t>t</w:t>
      </w:r>
      <w:r w:rsidRPr="00B76985">
        <w:rPr>
          <w:rFonts w:hint="eastAsia"/>
          <w:lang w:val="fr-FR"/>
        </w:rPr>
        <w:t>é</w:t>
      </w:r>
      <w:r w:rsidRPr="00B76985">
        <w:rPr>
          <w:lang w:val="fr-FR"/>
        </w:rPr>
        <w:t xml:space="preserve"> arr</w:t>
      </w:r>
      <w:r w:rsidRPr="00B76985">
        <w:rPr>
          <w:rFonts w:hint="eastAsia"/>
          <w:lang w:val="fr-FR"/>
        </w:rPr>
        <w:t>ê</w:t>
      </w:r>
      <w:r w:rsidRPr="00B76985">
        <w:rPr>
          <w:lang w:val="fr-FR"/>
        </w:rPr>
        <w:t>t</w:t>
      </w:r>
      <w:r w:rsidRPr="00B76985">
        <w:rPr>
          <w:rFonts w:hint="eastAsia"/>
          <w:lang w:val="fr-FR"/>
        </w:rPr>
        <w:t>é</w:t>
      </w:r>
      <w:r w:rsidRPr="00B76985">
        <w:rPr>
          <w:lang w:val="fr-FR"/>
        </w:rPr>
        <w:t>. Ce n'est qu'alors que la r</w:t>
      </w:r>
      <w:r w:rsidRPr="00B76985">
        <w:rPr>
          <w:rFonts w:hint="eastAsia"/>
          <w:lang w:val="fr-FR"/>
        </w:rPr>
        <w:t>é</w:t>
      </w:r>
      <w:r w:rsidRPr="00B76985">
        <w:rPr>
          <w:lang w:val="fr-FR"/>
        </w:rPr>
        <w:t xml:space="preserve">siliation du fichier prend effet. Un dossier soumis </w:t>
      </w:r>
      <w:r w:rsidRPr="00B76985">
        <w:rPr>
          <w:rFonts w:hint="eastAsia"/>
          <w:lang w:val="fr-FR"/>
        </w:rPr>
        <w:lastRenderedPageBreak/>
        <w:t>à</w:t>
      </w:r>
      <w:r w:rsidRPr="00B76985">
        <w:rPr>
          <w:lang w:val="fr-FR"/>
        </w:rPr>
        <w:t xml:space="preserve"> des fins</w:t>
      </w:r>
      <w:r w:rsidR="00216801">
        <w:rPr>
          <w:lang w:val="fr-FR"/>
        </w:rPr>
        <w:t xml:space="preserve"> de R</w:t>
      </w:r>
      <w:r w:rsidR="00216801" w:rsidRPr="00216801">
        <w:rPr>
          <w:lang w:val="fr-FR"/>
        </w:rPr>
        <w:t>&amp;</w:t>
      </w:r>
      <w:r w:rsidRPr="00B76985">
        <w:rPr>
          <w:lang w:val="fr-FR"/>
        </w:rPr>
        <w:t xml:space="preserve">D ou un dossier soumis par le fournisseur </w:t>
      </w:r>
      <w:r w:rsidRPr="00B76985">
        <w:rPr>
          <w:rFonts w:hint="eastAsia"/>
          <w:lang w:val="fr-FR"/>
        </w:rPr>
        <w:t>é</w:t>
      </w:r>
      <w:r w:rsidRPr="00B76985">
        <w:rPr>
          <w:lang w:val="fr-FR"/>
        </w:rPr>
        <w:t xml:space="preserve">tranger ne doit pas </w:t>
      </w:r>
      <w:r w:rsidRPr="00B76985">
        <w:rPr>
          <w:rFonts w:hint="eastAsia"/>
          <w:lang w:val="fr-FR"/>
        </w:rPr>
        <w:t>ê</w:t>
      </w:r>
      <w:r w:rsidRPr="00B76985">
        <w:rPr>
          <w:lang w:val="fr-FR"/>
        </w:rPr>
        <w:t xml:space="preserve">tre mis </w:t>
      </w:r>
      <w:r w:rsidRPr="00B76985">
        <w:rPr>
          <w:rFonts w:hint="eastAsia"/>
          <w:lang w:val="fr-FR"/>
        </w:rPr>
        <w:t>à</w:t>
      </w:r>
      <w:r w:rsidRPr="00B76985">
        <w:rPr>
          <w:lang w:val="fr-FR"/>
        </w:rPr>
        <w:t xml:space="preserve"> jour et ne peut </w:t>
      </w:r>
      <w:r w:rsidR="003D3A6E">
        <w:rPr>
          <w:lang w:val="fr-FR"/>
        </w:rPr>
        <w:t xml:space="preserve">donc </w:t>
      </w:r>
      <w:r w:rsidRPr="00B76985">
        <w:rPr>
          <w:rFonts w:hint="eastAsia"/>
          <w:lang w:val="fr-FR"/>
        </w:rPr>
        <w:t>ê</w:t>
      </w:r>
      <w:r w:rsidRPr="00B76985">
        <w:rPr>
          <w:lang w:val="fr-FR"/>
        </w:rPr>
        <w:t>tre interrompu.</w:t>
      </w:r>
    </w:p>
    <w:p w14:paraId="6D854217" w14:textId="33677501" w:rsidR="00216801" w:rsidRPr="00152719" w:rsidRDefault="00216801" w:rsidP="00B76985">
      <w:pPr>
        <w:jc w:val="both"/>
        <w:rPr>
          <w:color w:val="FF0000"/>
          <w:lang w:val="fr-BE"/>
        </w:rPr>
      </w:pPr>
      <w:r w:rsidRPr="00152719">
        <w:rPr>
          <w:color w:val="FF0000"/>
          <w:lang w:val="fr-BE"/>
        </w:rPr>
        <w:br/>
      </w:r>
      <w:r w:rsidRPr="006D6328">
        <w:rPr>
          <w:lang w:val="fr-FR"/>
        </w:rPr>
        <w:t>Pour l'année</w:t>
      </w:r>
      <w:r w:rsidR="003D3A6E" w:rsidRPr="006D6328">
        <w:rPr>
          <w:lang w:val="fr-FR"/>
        </w:rPr>
        <w:t xml:space="preserve"> de commerc</w:t>
      </w:r>
      <w:r w:rsidRPr="006D6328">
        <w:rPr>
          <w:lang w:val="fr-FR"/>
        </w:rPr>
        <w:t xml:space="preserve">e </w:t>
      </w:r>
      <w:r w:rsidR="006D6328" w:rsidRPr="00775288">
        <w:rPr>
          <w:lang w:val="fr-FR"/>
        </w:rPr>
        <w:t>20</w:t>
      </w:r>
      <w:r w:rsidR="00C354C2">
        <w:rPr>
          <w:lang w:val="fr-FR"/>
        </w:rPr>
        <w:t>20</w:t>
      </w:r>
      <w:r w:rsidRPr="005504D7">
        <w:rPr>
          <w:lang w:val="fr-FR"/>
        </w:rPr>
        <w:t xml:space="preserve">, </w:t>
      </w:r>
      <w:r w:rsidR="00C354C2">
        <w:rPr>
          <w:lang w:val="fr-FR"/>
        </w:rPr>
        <w:t>661</w:t>
      </w:r>
      <w:r w:rsidR="006D6328" w:rsidRPr="008A08CB">
        <w:rPr>
          <w:lang w:val="fr-FR"/>
        </w:rPr>
        <w:t xml:space="preserve"> </w:t>
      </w:r>
      <w:r w:rsidR="001D6991" w:rsidRPr="00DE1F47">
        <w:rPr>
          <w:lang w:val="fr-FR"/>
        </w:rPr>
        <w:t>enregistrements</w:t>
      </w:r>
      <w:r w:rsidR="001D6991" w:rsidRPr="006D6328">
        <w:rPr>
          <w:lang w:val="fr-FR"/>
        </w:rPr>
        <w:t xml:space="preserve"> ont été soumis</w:t>
      </w:r>
      <w:r w:rsidRPr="006D6328">
        <w:rPr>
          <w:lang w:val="fr-FR"/>
        </w:rPr>
        <w:t xml:space="preserve"> au 01/04/</w:t>
      </w:r>
      <w:r w:rsidR="006D6328" w:rsidRPr="006D6328">
        <w:rPr>
          <w:lang w:val="fr-FR"/>
        </w:rPr>
        <w:t>20</w:t>
      </w:r>
      <w:r w:rsidR="006D6328" w:rsidRPr="00152719">
        <w:rPr>
          <w:lang w:val="fr-FR"/>
        </w:rPr>
        <w:t>2</w:t>
      </w:r>
      <w:r w:rsidR="00C354C2">
        <w:rPr>
          <w:lang w:val="fr-FR"/>
        </w:rPr>
        <w:t>1</w:t>
      </w:r>
      <w:r w:rsidRPr="006D6328">
        <w:rPr>
          <w:lang w:val="fr-FR"/>
        </w:rPr>
        <w:t xml:space="preserve">. </w:t>
      </w:r>
    </w:p>
    <w:p w14:paraId="2DF85639" w14:textId="1E899538" w:rsidR="003E15E3" w:rsidRPr="00B76985" w:rsidRDefault="00216801" w:rsidP="00B76985">
      <w:pPr>
        <w:jc w:val="both"/>
        <w:rPr>
          <w:lang w:val="fr-BE"/>
        </w:rPr>
      </w:pPr>
      <w:r w:rsidRPr="00B76985">
        <w:rPr>
          <w:lang w:val="fr-FR"/>
        </w:rPr>
        <w:t>P.S. Ce n</w:t>
      </w:r>
      <w:r>
        <w:rPr>
          <w:lang w:val="fr-FR"/>
        </w:rPr>
        <w:t>ombre</w:t>
      </w:r>
      <w:r w:rsidRPr="00B76985">
        <w:rPr>
          <w:lang w:val="fr-FR"/>
        </w:rPr>
        <w:t xml:space="preserve"> n’est pas le même que dans </w:t>
      </w:r>
      <w:r>
        <w:rPr>
          <w:lang w:val="fr-FR"/>
        </w:rPr>
        <w:t xml:space="preserve">le </w:t>
      </w:r>
      <w:r w:rsidR="003D3A6E" w:rsidRPr="003D3A6E">
        <w:rPr>
          <w:lang w:val="fr-FR"/>
        </w:rPr>
        <w:t>§</w:t>
      </w:r>
      <w:r w:rsidR="0011696F">
        <w:rPr>
          <w:lang w:val="fr-FR"/>
        </w:rPr>
        <w:fldChar w:fldCharType="begin"/>
      </w:r>
      <w:r w:rsidR="0011696F">
        <w:rPr>
          <w:lang w:val="fr-FR"/>
        </w:rPr>
        <w:instrText xml:space="preserve"> REF _Ref74734995 \w \h </w:instrText>
      </w:r>
      <w:r w:rsidR="0011696F">
        <w:rPr>
          <w:lang w:val="fr-FR"/>
        </w:rPr>
      </w:r>
      <w:r w:rsidR="0011696F">
        <w:rPr>
          <w:lang w:val="fr-FR"/>
        </w:rPr>
        <w:fldChar w:fldCharType="separate"/>
      </w:r>
      <w:r w:rsidR="0011696F">
        <w:rPr>
          <w:lang w:val="fr-FR"/>
        </w:rPr>
        <w:t>6.1</w:t>
      </w:r>
      <w:r w:rsidR="0011696F">
        <w:rPr>
          <w:lang w:val="fr-FR"/>
        </w:rPr>
        <w:fldChar w:fldCharType="end"/>
      </w:r>
      <w:r w:rsidRPr="00B76985">
        <w:rPr>
          <w:lang w:val="fr-FR"/>
        </w:rPr>
        <w:t xml:space="preserve">- nombre d’enregistrements. Dans </w:t>
      </w:r>
      <w:r>
        <w:rPr>
          <w:lang w:val="fr-FR"/>
        </w:rPr>
        <w:t xml:space="preserve">le </w:t>
      </w:r>
      <w:r w:rsidRPr="00B76985">
        <w:rPr>
          <w:lang w:val="fr-FR"/>
        </w:rPr>
        <w:t>§</w:t>
      </w:r>
      <w:r w:rsidR="0011696F">
        <w:rPr>
          <w:lang w:val="fr-FR"/>
        </w:rPr>
        <w:t>6</w:t>
      </w:r>
      <w:r w:rsidR="00AC1E0D">
        <w:rPr>
          <w:lang w:val="fr-FR"/>
        </w:rPr>
        <w:t>.1</w:t>
      </w:r>
      <w:r w:rsidR="003D3A6E" w:rsidRPr="003D3A6E">
        <w:rPr>
          <w:lang w:val="fr-FR"/>
        </w:rPr>
        <w:t>, tou</w:t>
      </w:r>
      <w:r w:rsidRPr="00B76985">
        <w:rPr>
          <w:lang w:val="fr-FR"/>
        </w:rPr>
        <w:t xml:space="preserve">s les </w:t>
      </w:r>
      <w:r w:rsidR="005F1F75">
        <w:rPr>
          <w:lang w:val="fr-FR"/>
        </w:rPr>
        <w:t>enregistrements</w:t>
      </w:r>
      <w:r w:rsidR="005F1F75" w:rsidRPr="005F1F75">
        <w:rPr>
          <w:lang w:val="fr-FR"/>
        </w:rPr>
        <w:t xml:space="preserve"> qui ont été soumi</w:t>
      </w:r>
      <w:r w:rsidRPr="00B76985">
        <w:rPr>
          <w:lang w:val="fr-FR"/>
        </w:rPr>
        <w:t xml:space="preserve">s </w:t>
      </w:r>
      <w:r w:rsidR="005F1F75">
        <w:rPr>
          <w:lang w:val="fr-FR"/>
        </w:rPr>
        <w:t>au</w:t>
      </w:r>
      <w:r w:rsidRPr="00B76985">
        <w:rPr>
          <w:lang w:val="fr-FR"/>
        </w:rPr>
        <w:t xml:space="preserve"> 01-04-</w:t>
      </w:r>
      <w:r w:rsidR="006D6328" w:rsidRPr="00B76985">
        <w:rPr>
          <w:lang w:val="fr-FR"/>
        </w:rPr>
        <w:t>20</w:t>
      </w:r>
      <w:r w:rsidR="006D6328">
        <w:rPr>
          <w:lang w:val="fr-FR"/>
        </w:rPr>
        <w:t>2</w:t>
      </w:r>
      <w:r w:rsidR="00C354C2">
        <w:rPr>
          <w:lang w:val="fr-FR"/>
        </w:rPr>
        <w:t>1</w:t>
      </w:r>
      <w:r w:rsidRPr="00B76985">
        <w:rPr>
          <w:lang w:val="fr-FR"/>
        </w:rPr>
        <w:t>, quelle que soit l'année commerciale, sont inclus. Dans cette section,</w:t>
      </w:r>
      <w:r w:rsidR="00E43D2F" w:rsidRPr="00E43D2F">
        <w:rPr>
          <w:lang w:val="fr-FR"/>
        </w:rPr>
        <w:t xml:space="preserve"> seul</w:t>
      </w:r>
      <w:r w:rsidRPr="00B76985">
        <w:rPr>
          <w:lang w:val="fr-FR"/>
        </w:rPr>
        <w:t xml:space="preserve">s les </w:t>
      </w:r>
      <w:r w:rsidR="005F1F75">
        <w:rPr>
          <w:lang w:val="fr-FR"/>
        </w:rPr>
        <w:t>enregistrements</w:t>
      </w:r>
      <w:r w:rsidRPr="00B76985">
        <w:rPr>
          <w:lang w:val="fr-FR"/>
        </w:rPr>
        <w:t xml:space="preserve"> pour l</w:t>
      </w:r>
      <w:r w:rsidR="005F1F75">
        <w:rPr>
          <w:lang w:val="fr-FR"/>
        </w:rPr>
        <w:t>’année</w:t>
      </w:r>
      <w:r w:rsidRPr="00B76985">
        <w:rPr>
          <w:lang w:val="fr-FR"/>
        </w:rPr>
        <w:t xml:space="preserve"> de c</w:t>
      </w:r>
      <w:r w:rsidR="00E43D2F" w:rsidRPr="00E43D2F">
        <w:rPr>
          <w:lang w:val="fr-FR"/>
        </w:rPr>
        <w:t xml:space="preserve">ommercialisation </w:t>
      </w:r>
      <w:r w:rsidR="006D6328" w:rsidRPr="00E43D2F">
        <w:rPr>
          <w:lang w:val="fr-FR"/>
        </w:rPr>
        <w:t>20</w:t>
      </w:r>
      <w:r w:rsidR="00C354C2">
        <w:rPr>
          <w:lang w:val="fr-FR"/>
        </w:rPr>
        <w:t>20</w:t>
      </w:r>
      <w:r w:rsidR="006D6328">
        <w:rPr>
          <w:lang w:val="fr-FR"/>
        </w:rPr>
        <w:t xml:space="preserve"> </w:t>
      </w:r>
      <w:r w:rsidR="00E43D2F" w:rsidRPr="00E43D2F">
        <w:rPr>
          <w:lang w:val="fr-FR"/>
        </w:rPr>
        <w:t>sont pris</w:t>
      </w:r>
      <w:r w:rsidRPr="00B76985">
        <w:rPr>
          <w:lang w:val="fr-FR"/>
        </w:rPr>
        <w:t xml:space="preserve"> en compte.</w:t>
      </w:r>
    </w:p>
    <w:p w14:paraId="291463E4" w14:textId="693512A2" w:rsidR="00720E0D" w:rsidRPr="00F0423E" w:rsidRDefault="00DA0281" w:rsidP="00B76985">
      <w:pPr>
        <w:jc w:val="both"/>
        <w:rPr>
          <w:lang w:val="fr-FR"/>
        </w:rPr>
      </w:pPr>
      <w:r>
        <w:rPr>
          <w:lang w:val="fr-FR"/>
        </w:rPr>
        <w:t>415</w:t>
      </w:r>
      <w:r w:rsidRPr="006D6328">
        <w:rPr>
          <w:lang w:val="fr-FR"/>
        </w:rPr>
        <w:t xml:space="preserve"> </w:t>
      </w:r>
      <w:r w:rsidR="00720E0D" w:rsidRPr="006D6328">
        <w:rPr>
          <w:lang w:val="fr-FR"/>
        </w:rPr>
        <w:t xml:space="preserve">mises </w:t>
      </w:r>
      <w:r w:rsidR="00720E0D" w:rsidRPr="006D6328">
        <w:rPr>
          <w:rFonts w:hint="eastAsia"/>
          <w:lang w:val="fr-FR"/>
        </w:rPr>
        <w:t>à</w:t>
      </w:r>
      <w:r w:rsidR="00720E0D" w:rsidRPr="006D6328">
        <w:rPr>
          <w:lang w:val="fr-FR"/>
        </w:rPr>
        <w:t xml:space="preserve"> jour ont </w:t>
      </w:r>
      <w:r w:rsidR="00720E0D" w:rsidRPr="006D6328">
        <w:rPr>
          <w:rFonts w:hint="eastAsia"/>
          <w:lang w:val="fr-FR"/>
        </w:rPr>
        <w:t>é</w:t>
      </w:r>
      <w:r w:rsidR="00720E0D" w:rsidRPr="006D6328">
        <w:rPr>
          <w:lang w:val="fr-FR"/>
        </w:rPr>
        <w:t>t</w:t>
      </w:r>
      <w:r w:rsidR="00720E0D" w:rsidRPr="006D6328">
        <w:rPr>
          <w:rFonts w:hint="eastAsia"/>
          <w:lang w:val="fr-FR"/>
        </w:rPr>
        <w:t>é</w:t>
      </w:r>
      <w:r w:rsidR="00720E0D" w:rsidRPr="006D6328">
        <w:rPr>
          <w:lang w:val="fr-FR"/>
        </w:rPr>
        <w:t xml:space="preserve"> cr</w:t>
      </w:r>
      <w:r w:rsidR="00720E0D" w:rsidRPr="006D6328">
        <w:rPr>
          <w:rFonts w:hint="eastAsia"/>
          <w:lang w:val="fr-FR"/>
        </w:rPr>
        <w:t>éé</w:t>
      </w:r>
      <w:r w:rsidR="00720E0D" w:rsidRPr="006D6328">
        <w:rPr>
          <w:lang w:val="fr-FR"/>
        </w:rPr>
        <w:t>es</w:t>
      </w:r>
      <w:r w:rsidR="00587917">
        <w:rPr>
          <w:lang w:val="fr-FR"/>
        </w:rPr>
        <w:t>, dont 6 sont encore sous statut « brouillon » et ne sont alors pas prises en compte</w:t>
      </w:r>
      <w:r w:rsidR="00720E0D" w:rsidRPr="006D6328">
        <w:rPr>
          <w:lang w:val="fr-FR"/>
        </w:rPr>
        <w:t xml:space="preserve">. Cela signifie que </w:t>
      </w:r>
      <w:r w:rsidR="00587917">
        <w:rPr>
          <w:lang w:val="fr-FR"/>
        </w:rPr>
        <w:t>61,88</w:t>
      </w:r>
      <w:r w:rsidR="006D6328" w:rsidRPr="00152719">
        <w:rPr>
          <w:lang w:val="fr-FR"/>
        </w:rPr>
        <w:t xml:space="preserve"> </w:t>
      </w:r>
      <w:r w:rsidR="00720E0D" w:rsidRPr="006D6328">
        <w:rPr>
          <w:lang w:val="fr-FR"/>
        </w:rPr>
        <w:t xml:space="preserve">% des enregistrements </w:t>
      </w:r>
      <w:r w:rsidR="00720E0D" w:rsidRPr="006D6328">
        <w:rPr>
          <w:rFonts w:hint="eastAsia"/>
          <w:lang w:val="fr-FR"/>
        </w:rPr>
        <w:t>à</w:t>
      </w:r>
      <w:r w:rsidR="00720E0D" w:rsidRPr="006D6328">
        <w:rPr>
          <w:lang w:val="fr-FR"/>
        </w:rPr>
        <w:t xml:space="preserve"> mettre </w:t>
      </w:r>
      <w:r w:rsidR="00720E0D" w:rsidRPr="006D6328">
        <w:rPr>
          <w:rFonts w:hint="eastAsia"/>
          <w:lang w:val="fr-FR"/>
        </w:rPr>
        <w:t>à</w:t>
      </w:r>
      <w:r w:rsidR="00720E0D" w:rsidRPr="006D6328">
        <w:rPr>
          <w:lang w:val="fr-FR"/>
        </w:rPr>
        <w:t xml:space="preserve"> jour ont </w:t>
      </w:r>
      <w:r w:rsidR="00720E0D" w:rsidRPr="006D6328">
        <w:rPr>
          <w:rFonts w:hint="eastAsia"/>
          <w:lang w:val="fr-FR"/>
        </w:rPr>
        <w:t>é</w:t>
      </w:r>
      <w:r w:rsidR="00720E0D" w:rsidRPr="006D6328">
        <w:rPr>
          <w:lang w:val="fr-FR"/>
        </w:rPr>
        <w:t>t</w:t>
      </w:r>
      <w:r w:rsidR="00720E0D" w:rsidRPr="006D6328">
        <w:rPr>
          <w:rFonts w:hint="eastAsia"/>
          <w:lang w:val="fr-FR"/>
        </w:rPr>
        <w:t>é</w:t>
      </w:r>
      <w:r w:rsidR="00720E0D" w:rsidRPr="006D6328">
        <w:rPr>
          <w:lang w:val="fr-FR"/>
        </w:rPr>
        <w:t xml:space="preserve"> mis </w:t>
      </w:r>
      <w:r w:rsidR="00720E0D" w:rsidRPr="006D6328">
        <w:rPr>
          <w:rFonts w:hint="eastAsia"/>
          <w:lang w:val="fr-FR"/>
        </w:rPr>
        <w:t>à</w:t>
      </w:r>
      <w:r w:rsidR="00720E0D" w:rsidRPr="006D6328">
        <w:rPr>
          <w:lang w:val="fr-FR"/>
        </w:rPr>
        <w:t xml:space="preserve"> jour </w:t>
      </w:r>
      <w:r w:rsidR="00720E0D" w:rsidRPr="00F0423E">
        <w:rPr>
          <w:rFonts w:hint="eastAsia"/>
          <w:lang w:val="fr-FR"/>
        </w:rPr>
        <w:t>à</w:t>
      </w:r>
      <w:r w:rsidR="00720E0D" w:rsidRPr="00F0423E">
        <w:rPr>
          <w:lang w:val="fr-FR"/>
        </w:rPr>
        <w:t xml:space="preserve"> temps. Ce chiffre</w:t>
      </w:r>
      <w:r w:rsidR="00587917">
        <w:rPr>
          <w:lang w:val="fr-FR"/>
        </w:rPr>
        <w:t xml:space="preserve"> est en légère augmentation par rapport à 2019 (55,7 %) et 2018 (44,6 %). </w:t>
      </w:r>
      <w:bookmarkStart w:id="37" w:name="_Hlk63850316"/>
      <w:r w:rsidR="00D06874" w:rsidRPr="00F0423E">
        <w:rPr>
          <w:lang w:val="fr-FR"/>
        </w:rPr>
        <w:t xml:space="preserve">Une phase de rappel </w:t>
      </w:r>
      <w:r w:rsidR="00587917">
        <w:rPr>
          <w:lang w:val="fr-FR"/>
        </w:rPr>
        <w:t>a été</w:t>
      </w:r>
      <w:r w:rsidR="00D06874" w:rsidRPr="00F0423E">
        <w:rPr>
          <w:lang w:val="fr-FR"/>
        </w:rPr>
        <w:t xml:space="preserve"> opéré</w:t>
      </w:r>
      <w:r w:rsidR="00F0423E" w:rsidRPr="001F569C">
        <w:rPr>
          <w:lang w:val="fr-FR"/>
        </w:rPr>
        <w:t>e</w:t>
      </w:r>
      <w:r w:rsidR="00D06874" w:rsidRPr="00F0423E">
        <w:rPr>
          <w:lang w:val="fr-FR"/>
        </w:rPr>
        <w:t xml:space="preserve"> par l’autorité compétente afin d’augmenter </w:t>
      </w:r>
      <w:r w:rsidR="00F0423E" w:rsidRPr="001F569C">
        <w:rPr>
          <w:lang w:val="fr-FR"/>
        </w:rPr>
        <w:t>l</w:t>
      </w:r>
      <w:r w:rsidR="00F0423E" w:rsidRPr="00F0423E">
        <w:rPr>
          <w:lang w:val="fr-FR"/>
        </w:rPr>
        <w:t xml:space="preserve">e </w:t>
      </w:r>
      <w:r w:rsidR="00D06874" w:rsidRPr="00F0423E">
        <w:rPr>
          <w:lang w:val="fr-FR"/>
        </w:rPr>
        <w:t>pourcentage</w:t>
      </w:r>
      <w:r w:rsidR="00F0423E" w:rsidRPr="001F569C">
        <w:rPr>
          <w:lang w:val="fr-FR"/>
        </w:rPr>
        <w:t xml:space="preserve"> de mises à jour annuelles de l’année </w:t>
      </w:r>
      <w:bookmarkEnd w:id="37"/>
      <w:r w:rsidR="00587917" w:rsidRPr="001F569C">
        <w:rPr>
          <w:lang w:val="fr-FR"/>
        </w:rPr>
        <w:t>202</w:t>
      </w:r>
      <w:r w:rsidR="00587917">
        <w:rPr>
          <w:lang w:val="fr-FR"/>
        </w:rPr>
        <w:t>1</w:t>
      </w:r>
      <w:r w:rsidR="00D06874" w:rsidRPr="00F0423E">
        <w:rPr>
          <w:lang w:val="fr-FR"/>
        </w:rPr>
        <w:t>.</w:t>
      </w:r>
    </w:p>
    <w:p w14:paraId="1F95902F" w14:textId="3418B781" w:rsidR="00720E0D" w:rsidRPr="001F569C" w:rsidRDefault="00720E0D" w:rsidP="00B76985">
      <w:pPr>
        <w:jc w:val="both"/>
        <w:rPr>
          <w:color w:val="FF0000"/>
          <w:lang w:val="fr-FR"/>
        </w:rPr>
      </w:pPr>
      <w:r w:rsidRPr="00F0423E">
        <w:rPr>
          <w:lang w:val="fr-FR"/>
        </w:rPr>
        <w:t>Pour les m</w:t>
      </w:r>
      <w:r w:rsidRPr="00F0423E">
        <w:rPr>
          <w:rFonts w:hint="eastAsia"/>
          <w:lang w:val="fr-FR"/>
        </w:rPr>
        <w:t>é</w:t>
      </w:r>
      <w:r w:rsidRPr="00F0423E">
        <w:rPr>
          <w:lang w:val="fr-FR"/>
        </w:rPr>
        <w:t xml:space="preserve">langes, </w:t>
      </w:r>
      <w:r w:rsidR="00B9042B">
        <w:rPr>
          <w:lang w:val="fr-FR"/>
        </w:rPr>
        <w:t>405</w:t>
      </w:r>
      <w:r w:rsidR="00B9042B" w:rsidRPr="00F0423E">
        <w:rPr>
          <w:lang w:val="fr-FR"/>
        </w:rPr>
        <w:t xml:space="preserve"> </w:t>
      </w:r>
      <w:r w:rsidRPr="00F0423E">
        <w:rPr>
          <w:lang w:val="fr-FR"/>
        </w:rPr>
        <w:t>enregistrements d</w:t>
      </w:r>
      <w:r w:rsidR="00505EDD">
        <w:rPr>
          <w:lang w:val="fr-FR"/>
        </w:rPr>
        <w:t>e</w:t>
      </w:r>
      <w:r w:rsidRPr="00F0423E">
        <w:rPr>
          <w:lang w:val="fr-FR"/>
        </w:rPr>
        <w:t>v</w:t>
      </w:r>
      <w:r w:rsidR="00505EDD">
        <w:rPr>
          <w:lang w:val="fr-FR"/>
        </w:rPr>
        <w:t>ai</w:t>
      </w:r>
      <w:r w:rsidRPr="00F0423E">
        <w:rPr>
          <w:lang w:val="fr-FR"/>
        </w:rPr>
        <w:t xml:space="preserve">ent </w:t>
      </w:r>
      <w:r w:rsidRPr="00F0423E">
        <w:rPr>
          <w:rFonts w:hint="eastAsia"/>
          <w:lang w:val="fr-FR"/>
        </w:rPr>
        <w:t>ê</w:t>
      </w:r>
      <w:r w:rsidRPr="00F0423E">
        <w:rPr>
          <w:lang w:val="fr-FR"/>
        </w:rPr>
        <w:t xml:space="preserve">tre mis </w:t>
      </w:r>
      <w:r w:rsidRPr="00F0423E">
        <w:rPr>
          <w:rFonts w:hint="eastAsia"/>
          <w:lang w:val="fr-FR"/>
        </w:rPr>
        <w:t>à</w:t>
      </w:r>
      <w:r w:rsidRPr="00F0423E">
        <w:rPr>
          <w:lang w:val="fr-FR"/>
        </w:rPr>
        <w:t xml:space="preserve"> jour pour </w:t>
      </w:r>
      <w:r w:rsidR="00F0423E" w:rsidRPr="00F0423E">
        <w:rPr>
          <w:lang w:val="fr-FR"/>
        </w:rPr>
        <w:t>20</w:t>
      </w:r>
      <w:r w:rsidR="00B9042B">
        <w:rPr>
          <w:lang w:val="fr-FR"/>
        </w:rPr>
        <w:t>20</w:t>
      </w:r>
      <w:r w:rsidRPr="00F0423E">
        <w:rPr>
          <w:lang w:val="fr-FR"/>
        </w:rPr>
        <w:t xml:space="preserve">. Pour cela, </w:t>
      </w:r>
      <w:r w:rsidR="00B9042B">
        <w:rPr>
          <w:lang w:val="fr-FR"/>
        </w:rPr>
        <w:t>215</w:t>
      </w:r>
      <w:r w:rsidR="00F0423E" w:rsidRPr="001F569C">
        <w:rPr>
          <w:lang w:val="fr-FR"/>
        </w:rPr>
        <w:t xml:space="preserve"> </w:t>
      </w:r>
      <w:r w:rsidRPr="00F0423E">
        <w:rPr>
          <w:lang w:val="fr-FR"/>
        </w:rPr>
        <w:t xml:space="preserve">mises </w:t>
      </w:r>
      <w:r w:rsidRPr="00F0423E">
        <w:rPr>
          <w:rFonts w:hint="eastAsia"/>
          <w:lang w:val="fr-FR"/>
        </w:rPr>
        <w:t>à</w:t>
      </w:r>
      <w:r w:rsidRPr="00F0423E">
        <w:rPr>
          <w:lang w:val="fr-FR"/>
        </w:rPr>
        <w:t xml:space="preserve"> jour ont </w:t>
      </w:r>
      <w:r w:rsidRPr="00F0423E">
        <w:rPr>
          <w:rFonts w:hint="eastAsia"/>
          <w:lang w:val="fr-FR"/>
        </w:rPr>
        <w:t>é</w:t>
      </w:r>
      <w:r w:rsidRPr="00F0423E">
        <w:rPr>
          <w:lang w:val="fr-FR"/>
        </w:rPr>
        <w:t>t</w:t>
      </w:r>
      <w:r w:rsidRPr="00F0423E">
        <w:rPr>
          <w:rFonts w:hint="eastAsia"/>
          <w:lang w:val="fr-FR"/>
        </w:rPr>
        <w:t>é</w:t>
      </w:r>
      <w:r w:rsidRPr="00F0423E">
        <w:rPr>
          <w:lang w:val="fr-FR"/>
        </w:rPr>
        <w:t xml:space="preserve"> effectu</w:t>
      </w:r>
      <w:r w:rsidRPr="00F0423E">
        <w:rPr>
          <w:rFonts w:hint="eastAsia"/>
          <w:lang w:val="fr-FR"/>
        </w:rPr>
        <w:t>é</w:t>
      </w:r>
      <w:r w:rsidRPr="00F0423E">
        <w:rPr>
          <w:lang w:val="fr-FR"/>
        </w:rPr>
        <w:t>es</w:t>
      </w:r>
      <w:r w:rsidR="00F0423E" w:rsidRPr="001F569C">
        <w:rPr>
          <w:lang w:val="fr-FR"/>
        </w:rPr>
        <w:t xml:space="preserve"> (dont </w:t>
      </w:r>
      <w:r w:rsidR="00B9042B">
        <w:rPr>
          <w:lang w:val="fr-FR"/>
        </w:rPr>
        <w:t>212</w:t>
      </w:r>
      <w:r w:rsidR="00B9042B" w:rsidRPr="001F569C">
        <w:rPr>
          <w:lang w:val="fr-FR"/>
        </w:rPr>
        <w:t xml:space="preserve"> </w:t>
      </w:r>
      <w:r w:rsidR="00F0423E" w:rsidRPr="001F569C">
        <w:rPr>
          <w:lang w:val="fr-FR"/>
        </w:rPr>
        <w:t>ont été soumises)</w:t>
      </w:r>
      <w:r w:rsidRPr="00F0423E">
        <w:rPr>
          <w:lang w:val="fr-FR"/>
        </w:rPr>
        <w:t xml:space="preserve">. Seulement </w:t>
      </w:r>
      <w:r w:rsidR="00B9042B">
        <w:rPr>
          <w:lang w:val="fr-FR"/>
        </w:rPr>
        <w:t>52</w:t>
      </w:r>
      <w:r w:rsidR="00B9042B" w:rsidRPr="001F569C">
        <w:rPr>
          <w:lang w:val="fr-FR"/>
        </w:rPr>
        <w:t xml:space="preserve"> </w:t>
      </w:r>
      <w:r w:rsidRPr="00F0423E">
        <w:rPr>
          <w:lang w:val="fr-FR"/>
        </w:rPr>
        <w:t xml:space="preserve">% des inscriptions ont donc </w:t>
      </w:r>
      <w:r w:rsidRPr="00F0423E">
        <w:rPr>
          <w:rFonts w:hint="eastAsia"/>
          <w:lang w:val="fr-FR"/>
        </w:rPr>
        <w:t>é</w:t>
      </w:r>
      <w:r w:rsidRPr="00F0423E">
        <w:rPr>
          <w:lang w:val="fr-FR"/>
        </w:rPr>
        <w:t>t</w:t>
      </w:r>
      <w:r w:rsidRPr="00F0423E">
        <w:rPr>
          <w:rFonts w:hint="eastAsia"/>
          <w:lang w:val="fr-FR"/>
        </w:rPr>
        <w:t>é</w:t>
      </w:r>
      <w:r w:rsidRPr="00F0423E">
        <w:rPr>
          <w:lang w:val="fr-FR"/>
        </w:rPr>
        <w:t xml:space="preserve"> mises </w:t>
      </w:r>
      <w:r w:rsidRPr="00F0423E">
        <w:rPr>
          <w:rFonts w:hint="eastAsia"/>
          <w:lang w:val="fr-FR"/>
        </w:rPr>
        <w:t>à</w:t>
      </w:r>
      <w:r w:rsidRPr="00F0423E">
        <w:rPr>
          <w:lang w:val="fr-FR"/>
        </w:rPr>
        <w:t xml:space="preserve"> jour </w:t>
      </w:r>
      <w:r w:rsidRPr="00F0423E">
        <w:rPr>
          <w:rFonts w:hint="eastAsia"/>
          <w:lang w:val="fr-FR"/>
        </w:rPr>
        <w:t>à</w:t>
      </w:r>
      <w:r w:rsidRPr="00F0423E">
        <w:rPr>
          <w:lang w:val="fr-FR"/>
        </w:rPr>
        <w:t xml:space="preserve"> temps.</w:t>
      </w:r>
      <w:r w:rsidR="00D06874" w:rsidRPr="00F0423E">
        <w:rPr>
          <w:lang w:val="fr-FR"/>
        </w:rPr>
        <w:t xml:space="preserve"> Ce chiffre s’est amélioré </w:t>
      </w:r>
      <w:r w:rsidR="00B9042B">
        <w:rPr>
          <w:lang w:val="fr-FR"/>
        </w:rPr>
        <w:t xml:space="preserve">(43 % en 2019) </w:t>
      </w:r>
      <w:r w:rsidR="00D06874" w:rsidRPr="00F0423E">
        <w:rPr>
          <w:lang w:val="fr-FR"/>
        </w:rPr>
        <w:t>mais reste encore insuffisant.</w:t>
      </w:r>
      <w:r w:rsidR="00B9042B">
        <w:rPr>
          <w:lang w:val="fr-FR"/>
        </w:rPr>
        <w:t xml:space="preserve"> Nous relevons par ailleurs que quatre entreprises ayant enregistré un grand nombre de dossiers (111, 50, 14 et 22, respectivement) n’ont pas procédé à temps à la mise à jour. Dans le cas contraire, le taux de mises jour aurait été supérieur à 88 %.</w:t>
      </w:r>
    </w:p>
    <w:p w14:paraId="5D81C5E5" w14:textId="33B204ED" w:rsidR="0002145E" w:rsidRPr="00BD15C9" w:rsidRDefault="004A1690" w:rsidP="00D06100">
      <w:pPr>
        <w:jc w:val="both"/>
        <w:rPr>
          <w:lang w:val="fr-FR"/>
        </w:rPr>
      </w:pPr>
      <w:r w:rsidRPr="00BD15C9">
        <w:rPr>
          <w:lang w:val="fr-FR"/>
        </w:rPr>
        <w:t xml:space="preserve">Dans la suite du présent rapport, </w:t>
      </w:r>
      <w:r w:rsidR="00197358">
        <w:rPr>
          <w:lang w:val="fr-FR"/>
        </w:rPr>
        <w:t>nous n’avons</w:t>
      </w:r>
      <w:r w:rsidRPr="00BD15C9">
        <w:rPr>
          <w:lang w:val="fr-FR"/>
        </w:rPr>
        <w:t xml:space="preserve"> pas travaillé avec des quantités </w:t>
      </w:r>
      <w:r w:rsidR="009B5D7A" w:rsidRPr="00BD15C9">
        <w:rPr>
          <w:lang w:val="fr-FR"/>
        </w:rPr>
        <w:t>individuelles,</w:t>
      </w:r>
      <w:r w:rsidRPr="00BD15C9">
        <w:rPr>
          <w:lang w:val="fr-FR"/>
        </w:rPr>
        <w:t xml:space="preserve"> mais principalement avec de grands intervalles de tailles. </w:t>
      </w:r>
    </w:p>
    <w:p w14:paraId="5691D2F5" w14:textId="241B1240" w:rsidR="00E17C11" w:rsidRPr="00BD15C9" w:rsidRDefault="00827288" w:rsidP="00B76985">
      <w:pPr>
        <w:pStyle w:val="Titre2"/>
      </w:pPr>
      <w:bookmarkStart w:id="38" w:name="_Ref74735226"/>
      <w:bookmarkStart w:id="39" w:name="_Toc76034165"/>
      <w:r w:rsidRPr="00BD15C9">
        <w:t>Utilisation d'un autre numéro d'enregistrement (enregistrement réduit)</w:t>
      </w:r>
      <w:bookmarkEnd w:id="38"/>
      <w:bookmarkEnd w:id="39"/>
    </w:p>
    <w:p w14:paraId="3356E901" w14:textId="77777777" w:rsidR="00E17C11" w:rsidRPr="00BD15C9" w:rsidRDefault="00E17C11" w:rsidP="00E17C11">
      <w:pPr>
        <w:jc w:val="both"/>
        <w:rPr>
          <w:lang w:val="fr-FR"/>
        </w:rPr>
      </w:pPr>
      <w:r w:rsidRPr="00BD15C9">
        <w:rPr>
          <w:lang w:val="fr-FR"/>
        </w:rPr>
        <w:t xml:space="preserve">Dans le cadre de l'enregistrement d'une substance mise sur le marché à des fins commerciales, une série de caractéristiques physiques et chimiques doivent être mentionnées, comme stipulé à la section 2 de l'annexe 1 de l'AR du 27 mai 2014. </w:t>
      </w:r>
    </w:p>
    <w:p w14:paraId="2835A9B3" w14:textId="11461805" w:rsidR="00E17C11" w:rsidRPr="00BD15C9" w:rsidRDefault="00E17C11" w:rsidP="00E17C11">
      <w:pPr>
        <w:jc w:val="both"/>
        <w:rPr>
          <w:lang w:val="fr-FR"/>
        </w:rPr>
      </w:pPr>
      <w:r w:rsidRPr="00BD15C9">
        <w:rPr>
          <w:lang w:val="fr-FR"/>
        </w:rPr>
        <w:t xml:space="preserve">Si la même substance a déjà été enregistrée, le déclarant peut faire référence à cet enregistrement en reprenant ce premier numéro d'enregistrement </w:t>
      </w:r>
      <w:r w:rsidR="00885A47">
        <w:rPr>
          <w:lang w:val="fr-FR"/>
        </w:rPr>
        <w:t>et, dès lors,</w:t>
      </w:r>
      <w:r w:rsidRPr="00BD15C9">
        <w:rPr>
          <w:lang w:val="fr-FR"/>
        </w:rPr>
        <w:t xml:space="preserve"> il ne doit pas réintroduire les caractéristiques physiques et chimiques du nanomatériau (enregistrement réduit, voir aussi </w:t>
      </w:r>
      <w:r w:rsidR="00CA78E7" w:rsidRPr="00BD15C9">
        <w:rPr>
          <w:i/>
          <w:lang w:val="fr-FR"/>
        </w:rPr>
        <w:t>§</w:t>
      </w:r>
      <w:r w:rsidR="0011696F">
        <w:rPr>
          <w:i/>
          <w:lang w:val="fr-FR"/>
        </w:rPr>
        <w:fldChar w:fldCharType="begin"/>
      </w:r>
      <w:r w:rsidR="0011696F">
        <w:rPr>
          <w:i/>
          <w:lang w:val="fr-FR"/>
        </w:rPr>
        <w:instrText xml:space="preserve"> REF _Ref74735039 \w \h </w:instrText>
      </w:r>
      <w:r w:rsidR="0011696F">
        <w:rPr>
          <w:i/>
          <w:lang w:val="fr-FR"/>
        </w:rPr>
      </w:r>
      <w:r w:rsidR="0011696F">
        <w:rPr>
          <w:i/>
          <w:lang w:val="fr-FR"/>
        </w:rPr>
        <w:fldChar w:fldCharType="separate"/>
      </w:r>
      <w:r w:rsidR="0011696F">
        <w:rPr>
          <w:i/>
          <w:lang w:val="fr-FR"/>
        </w:rPr>
        <w:t>3.2.4</w:t>
      </w:r>
      <w:r w:rsidR="0011696F">
        <w:rPr>
          <w:i/>
          <w:lang w:val="fr-FR"/>
        </w:rPr>
        <w:fldChar w:fldCharType="end"/>
      </w:r>
      <w:r w:rsidR="00CA78E7" w:rsidRPr="00BD15C9">
        <w:rPr>
          <w:i/>
          <w:lang w:val="fr-FR"/>
        </w:rPr>
        <w:t>-Types d'enregistrement</w:t>
      </w:r>
      <w:r w:rsidRPr="00BD15C9">
        <w:rPr>
          <w:lang w:val="fr-FR"/>
        </w:rPr>
        <w:t xml:space="preserve">). Cette possibilité est proposée aussi bien au Déclarant qu'au Fournisseur étranger, mais elle n'est pas obligatoire. </w:t>
      </w:r>
    </w:p>
    <w:p w14:paraId="2DBC05CE" w14:textId="6CBF5048" w:rsidR="00E17C11" w:rsidRPr="00BD15C9" w:rsidRDefault="00E17C11" w:rsidP="00E17C11">
      <w:pPr>
        <w:jc w:val="both"/>
        <w:rPr>
          <w:lang w:val="fr-FR"/>
        </w:rPr>
      </w:pPr>
      <w:r w:rsidRPr="00BD15C9">
        <w:rPr>
          <w:lang w:val="fr-FR"/>
        </w:rPr>
        <w:t>Pour les substances mises sur le marché exclusivement à des fins scientifiques (enregistrement simplifié), seule l'identification chimique doit être enregistrée. Dans ce type d'enregistrement</w:t>
      </w:r>
      <w:r w:rsidR="00AE4CCB">
        <w:rPr>
          <w:lang w:val="fr-FR"/>
        </w:rPr>
        <w:t xml:space="preserve">, </w:t>
      </w:r>
      <w:r w:rsidRPr="00BD15C9">
        <w:rPr>
          <w:lang w:val="fr-FR"/>
        </w:rPr>
        <w:t xml:space="preserve">les caractéristiques physico-chimiques du nanomatériau ne sont pas demandées et il ne peut donc pas non plus être fait référence à un enregistrement antérieur. </w:t>
      </w:r>
    </w:p>
    <w:p w14:paraId="21377825" w14:textId="37705309" w:rsidR="00827288" w:rsidRPr="00BD15C9" w:rsidRDefault="00E17C11" w:rsidP="00E17C11">
      <w:pPr>
        <w:jc w:val="both"/>
        <w:rPr>
          <w:lang w:val="fr-FR"/>
        </w:rPr>
      </w:pPr>
      <w:r w:rsidRPr="00BD15C9">
        <w:rPr>
          <w:lang w:val="fr-FR"/>
        </w:rPr>
        <w:t xml:space="preserve">Sur </w:t>
      </w:r>
      <w:r w:rsidRPr="00775288">
        <w:rPr>
          <w:lang w:val="fr-FR"/>
        </w:rPr>
        <w:t xml:space="preserve">les </w:t>
      </w:r>
      <w:r w:rsidR="00885A47" w:rsidRPr="001C46ED">
        <w:rPr>
          <w:lang w:val="fr-FR"/>
        </w:rPr>
        <w:t>1</w:t>
      </w:r>
      <w:r w:rsidR="00B9042B">
        <w:rPr>
          <w:lang w:val="fr-FR"/>
        </w:rPr>
        <w:t>815</w:t>
      </w:r>
      <w:r w:rsidR="00885A47" w:rsidRPr="001C46ED">
        <w:rPr>
          <w:lang w:val="fr-FR"/>
        </w:rPr>
        <w:t xml:space="preserve"> </w:t>
      </w:r>
      <w:r w:rsidRPr="001C46ED">
        <w:rPr>
          <w:lang w:val="fr-FR"/>
        </w:rPr>
        <w:t>enregistrements</w:t>
      </w:r>
      <w:r w:rsidRPr="00BD15C9">
        <w:rPr>
          <w:lang w:val="fr-FR"/>
        </w:rPr>
        <w:t xml:space="preserve"> devant mentionner les caractéristiques physico-chimiques, env. 1 sur 3 a utilisé l'enregistrement réduit</w:t>
      </w:r>
      <w:r w:rsidR="003C65A3">
        <w:rPr>
          <w:lang w:val="fr-FR"/>
        </w:rPr>
        <w:t>, comme en 2019</w:t>
      </w:r>
      <w:r w:rsidRPr="00BD15C9">
        <w:rPr>
          <w:lang w:val="fr-FR"/>
        </w:rPr>
        <w:t xml:space="preserve">. </w:t>
      </w:r>
    </w:p>
    <w:p w14:paraId="6808E1C8" w14:textId="2167DE20" w:rsidR="00E17C11" w:rsidRPr="00BD15C9" w:rsidRDefault="00CA78E7" w:rsidP="00E17C11">
      <w:pPr>
        <w:jc w:val="both"/>
        <w:rPr>
          <w:lang w:val="fr-FR"/>
        </w:rPr>
      </w:pPr>
      <w:r w:rsidRPr="00BD15C9">
        <w:rPr>
          <w:lang w:val="fr-FR"/>
        </w:rPr>
        <w:lastRenderedPageBreak/>
        <w:t>Dans le cadre de l'évaluation de ces enregistrements réduits, il ressort</w:t>
      </w:r>
      <w:r w:rsidR="00AE4CCB">
        <w:rPr>
          <w:lang w:val="fr-FR"/>
        </w:rPr>
        <w:t xml:space="preserve"> de cela </w:t>
      </w:r>
      <w:r w:rsidRPr="00C46825">
        <w:rPr>
          <w:lang w:val="fr-FR"/>
        </w:rPr>
        <w:t xml:space="preserve">qu'environ </w:t>
      </w:r>
      <w:r w:rsidR="007B2AFD">
        <w:rPr>
          <w:lang w:val="fr-FR"/>
        </w:rPr>
        <w:t>3.2 % (</w:t>
      </w:r>
      <w:r w:rsidR="002724C5" w:rsidRPr="007B2AFD">
        <w:rPr>
          <w:lang w:val="fr-FR"/>
        </w:rPr>
        <w:t xml:space="preserve">8.9 </w:t>
      </w:r>
      <w:r w:rsidRPr="007B2AFD">
        <w:rPr>
          <w:lang w:val="fr-FR"/>
        </w:rPr>
        <w:t>%</w:t>
      </w:r>
      <w:r w:rsidR="007B2AFD">
        <w:rPr>
          <w:lang w:val="fr-FR"/>
        </w:rPr>
        <w:t>, en 2019)</w:t>
      </w:r>
      <w:r w:rsidRPr="00C46825">
        <w:rPr>
          <w:lang w:val="fr-FR"/>
        </w:rPr>
        <w:t xml:space="preserve"> des</w:t>
      </w:r>
      <w:r w:rsidRPr="00BD15C9">
        <w:rPr>
          <w:lang w:val="fr-FR"/>
        </w:rPr>
        <w:t xml:space="preserve"> références à un autre numéro d'enregistrement ne sont pas corrects, e.a. pour les raisons suivantes :</w:t>
      </w:r>
    </w:p>
    <w:p w14:paraId="37CA944B" w14:textId="77777777" w:rsidR="00E17C11" w:rsidRPr="00BD15C9" w:rsidRDefault="00E17C11" w:rsidP="00E17C11">
      <w:pPr>
        <w:pStyle w:val="Paragraphedeliste"/>
        <w:numPr>
          <w:ilvl w:val="0"/>
          <w:numId w:val="1"/>
        </w:numPr>
        <w:jc w:val="both"/>
        <w:rPr>
          <w:lang w:val="fr-FR"/>
        </w:rPr>
      </w:pPr>
      <w:r w:rsidRPr="00BD15C9">
        <w:rPr>
          <w:lang w:val="fr-FR"/>
        </w:rPr>
        <w:t>Référence à un enregistrement non existant</w:t>
      </w:r>
    </w:p>
    <w:p w14:paraId="71A7C487" w14:textId="77777777" w:rsidR="00E17C11" w:rsidRPr="00BD15C9" w:rsidRDefault="00735642" w:rsidP="00E17C11">
      <w:pPr>
        <w:pStyle w:val="Paragraphedeliste"/>
        <w:numPr>
          <w:ilvl w:val="0"/>
          <w:numId w:val="1"/>
        </w:numPr>
        <w:jc w:val="both"/>
        <w:rPr>
          <w:lang w:val="fr-FR"/>
        </w:rPr>
      </w:pPr>
      <w:r w:rsidRPr="00BD15C9">
        <w:rPr>
          <w:lang w:val="fr-FR"/>
        </w:rPr>
        <w:t>Référence croisée (p. ex. BE-1 fait référence à BE-1)</w:t>
      </w:r>
    </w:p>
    <w:p w14:paraId="4C2B7397" w14:textId="77777777" w:rsidR="00E17C11" w:rsidRPr="00BD15C9" w:rsidRDefault="00735642" w:rsidP="00E17C11">
      <w:pPr>
        <w:pStyle w:val="Paragraphedeliste"/>
        <w:numPr>
          <w:ilvl w:val="0"/>
          <w:numId w:val="1"/>
        </w:numPr>
        <w:jc w:val="both"/>
        <w:rPr>
          <w:lang w:val="fr-FR"/>
        </w:rPr>
      </w:pPr>
      <w:r w:rsidRPr="00BD15C9">
        <w:rPr>
          <w:lang w:val="fr-FR"/>
        </w:rPr>
        <w:t>Les substances chimiques ne correspondent pas</w:t>
      </w:r>
    </w:p>
    <w:p w14:paraId="6C0845DE" w14:textId="4D53B00B" w:rsidR="00735642" w:rsidRPr="00BD15C9" w:rsidRDefault="00735642" w:rsidP="00E17C11">
      <w:pPr>
        <w:jc w:val="both"/>
        <w:rPr>
          <w:lang w:val="fr-FR"/>
        </w:rPr>
      </w:pPr>
      <w:r w:rsidRPr="00BD15C9">
        <w:rPr>
          <w:lang w:val="fr-FR"/>
        </w:rPr>
        <w:t>Pour les enregistrements réduits qui font référence à un numéro d'enregistrement introduit par le type Fournisseur étranger, un autre problème a également été constaté en ce sens que plusieurs des enregistrements soumis volontairement par des Fournisseurs étrangers ne contiennent pas suffisamment d'informations et ne peuvent donc pas être considérés c</w:t>
      </w:r>
      <w:r w:rsidR="00AE4CCB">
        <w:rPr>
          <w:lang w:val="fr-FR"/>
        </w:rPr>
        <w:t>omme co</w:t>
      </w:r>
      <w:r w:rsidRPr="00BD15C9">
        <w:rPr>
          <w:lang w:val="fr-FR"/>
        </w:rPr>
        <w:t xml:space="preserve">nformes à l'AR du 27 mai 2014. De ce fait, les enregistrements qui font référence à de tels numéros ne sont pas non plus conformes à l'AR du 27 mai 2014. </w:t>
      </w:r>
    </w:p>
    <w:p w14:paraId="146D357C" w14:textId="64E6CCE1" w:rsidR="00BA7A60" w:rsidRPr="00BD15C9" w:rsidRDefault="00BA7A60" w:rsidP="00E17C11">
      <w:pPr>
        <w:jc w:val="both"/>
        <w:rPr>
          <w:lang w:val="fr-FR"/>
        </w:rPr>
      </w:pPr>
      <w:r w:rsidRPr="00BD15C9">
        <w:rPr>
          <w:lang w:val="fr-FR"/>
        </w:rPr>
        <w:t xml:space="preserve">Le recours aux enregistrements réduits peut aussi donner une idée sur la longueur de la chaîne d'approvisionnement, et plus précisément sur la fréquence à laquelle un nanomatériau donné est déclaré par le client suivant. </w:t>
      </w:r>
    </w:p>
    <w:p w14:paraId="3CA995D0" w14:textId="0277C23C" w:rsidR="00E413DB" w:rsidRPr="00885A47" w:rsidRDefault="00E413DB" w:rsidP="00E17C11">
      <w:pPr>
        <w:jc w:val="both"/>
        <w:rPr>
          <w:lang w:val="fr-FR"/>
        </w:rPr>
      </w:pPr>
      <w:r w:rsidRPr="00C46825">
        <w:rPr>
          <w:lang w:val="fr-FR"/>
        </w:rPr>
        <w:t xml:space="preserve">Environ 1/3 des enregistrements font référence à un autre enregistrement, ce qui indique une étape dans la chaîne d'approvisionnement. Une deuxième étape dans la chaîne d'approvisionnement n'est observée que dans </w:t>
      </w:r>
      <w:r w:rsidR="00E838D3" w:rsidRPr="00C46825">
        <w:rPr>
          <w:rFonts w:cstheme="minorHAnsi"/>
          <w:lang w:val="fr-FR"/>
        </w:rPr>
        <w:t>~</w:t>
      </w:r>
      <w:r w:rsidR="003C65A3">
        <w:rPr>
          <w:lang w:val="fr-FR"/>
        </w:rPr>
        <w:t>6</w:t>
      </w:r>
      <w:r w:rsidR="00517654" w:rsidRPr="00C46825">
        <w:rPr>
          <w:lang w:val="fr-FR"/>
        </w:rPr>
        <w:t xml:space="preserve"> </w:t>
      </w:r>
      <w:r w:rsidRPr="00C46825">
        <w:rPr>
          <w:lang w:val="fr-FR"/>
        </w:rPr>
        <w:t>% de ces enregistrements réduits.</w:t>
      </w:r>
      <w:r w:rsidRPr="00885A47">
        <w:rPr>
          <w:lang w:val="fr-FR"/>
        </w:rPr>
        <w:t xml:space="preserve"> </w:t>
      </w:r>
    </w:p>
    <w:p w14:paraId="0F26353C" w14:textId="6C8C8FA8" w:rsidR="00E413DB" w:rsidRDefault="00E413DB" w:rsidP="00E17C11">
      <w:pPr>
        <w:jc w:val="both"/>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552"/>
        <w:gridCol w:w="3117"/>
      </w:tblGrid>
      <w:tr w:rsidR="00720E0D" w:rsidRPr="007F1FE2" w14:paraId="5DDE4F8E" w14:textId="77777777" w:rsidTr="000E2C47">
        <w:trPr>
          <w:tblHeader/>
        </w:trPr>
        <w:tc>
          <w:tcPr>
            <w:tcW w:w="9350" w:type="dxa"/>
            <w:gridSpan w:val="3"/>
          </w:tcPr>
          <w:p w14:paraId="5E9038C2" w14:textId="1642CD22" w:rsidR="00720E0D" w:rsidRPr="00B76985" w:rsidRDefault="00720E0D" w:rsidP="000E2C47">
            <w:pPr>
              <w:jc w:val="both"/>
              <w:rPr>
                <w:b/>
                <w:i/>
                <w:color w:val="FF0000"/>
                <w:lang w:val="fr-BE"/>
              </w:rPr>
            </w:pPr>
            <w:r w:rsidRPr="00BD15C9">
              <w:rPr>
                <w:b/>
                <w:i/>
                <w:lang w:val="fr-FR"/>
              </w:rPr>
              <w:t>Tableau : aperçu du nombre d'étapes dans la chaîne d'approvisionnement</w:t>
            </w:r>
            <w:r>
              <w:rPr>
                <w:b/>
                <w:i/>
                <w:lang w:val="fr-FR"/>
              </w:rPr>
              <w:t xml:space="preserve"> – Tout enregistrement confondu</w:t>
            </w:r>
          </w:p>
        </w:tc>
      </w:tr>
      <w:tr w:rsidR="00720E0D" w:rsidRPr="009F68AA" w14:paraId="5D24DD2D" w14:textId="77777777" w:rsidTr="000E2C47">
        <w:trPr>
          <w:tblHeader/>
        </w:trPr>
        <w:tc>
          <w:tcPr>
            <w:tcW w:w="3681" w:type="dxa"/>
          </w:tcPr>
          <w:p w14:paraId="349ED5B3" w14:textId="5530AB4C" w:rsidR="00720E0D" w:rsidRPr="00B76985" w:rsidRDefault="00720E0D" w:rsidP="00720E0D">
            <w:pPr>
              <w:jc w:val="both"/>
              <w:rPr>
                <w:b/>
                <w:color w:val="FF0000"/>
                <w:lang w:val="fr-BE"/>
              </w:rPr>
            </w:pPr>
            <w:r w:rsidRPr="00BD15C9">
              <w:rPr>
                <w:b/>
                <w:lang w:val="fr-FR"/>
              </w:rPr>
              <w:t>Longueur de la chaîne des références</w:t>
            </w:r>
          </w:p>
        </w:tc>
        <w:tc>
          <w:tcPr>
            <w:tcW w:w="2552" w:type="dxa"/>
          </w:tcPr>
          <w:p w14:paraId="4C790912" w14:textId="73DF68E5" w:rsidR="00720E0D" w:rsidRPr="009F68AA" w:rsidRDefault="00720E0D" w:rsidP="00720E0D">
            <w:pPr>
              <w:jc w:val="center"/>
              <w:rPr>
                <w:b/>
                <w:color w:val="FF0000"/>
                <w:lang w:val="nl-BE"/>
              </w:rPr>
            </w:pPr>
            <w:r w:rsidRPr="00BD15C9">
              <w:rPr>
                <w:b/>
                <w:lang w:val="fr-FR"/>
              </w:rPr>
              <w:t>Nombre d'enregistrements</w:t>
            </w:r>
          </w:p>
        </w:tc>
        <w:tc>
          <w:tcPr>
            <w:tcW w:w="3117" w:type="dxa"/>
          </w:tcPr>
          <w:p w14:paraId="5A5DD799" w14:textId="7F21FBDF" w:rsidR="00720E0D" w:rsidRPr="009F68AA" w:rsidRDefault="00720E0D" w:rsidP="00720E0D">
            <w:pPr>
              <w:jc w:val="center"/>
              <w:rPr>
                <w:b/>
                <w:color w:val="FF0000"/>
                <w:lang w:val="nl-BE"/>
              </w:rPr>
            </w:pPr>
            <w:r w:rsidRPr="00C46825">
              <w:rPr>
                <w:b/>
                <w:lang w:val="fr-FR"/>
              </w:rPr>
              <w:t>% d'enregistrements</w:t>
            </w:r>
          </w:p>
        </w:tc>
      </w:tr>
      <w:tr w:rsidR="003C65A3" w:rsidRPr="009F68AA" w14:paraId="560FB90A" w14:textId="77777777" w:rsidTr="000E2C47">
        <w:tc>
          <w:tcPr>
            <w:tcW w:w="3681" w:type="dxa"/>
          </w:tcPr>
          <w:p w14:paraId="6A45E3F5" w14:textId="77777777" w:rsidR="003C65A3" w:rsidRPr="009F68AA" w:rsidRDefault="003C65A3" w:rsidP="003C65A3">
            <w:pPr>
              <w:jc w:val="center"/>
              <w:rPr>
                <w:color w:val="FF0000"/>
                <w:lang w:val="nl-BE"/>
              </w:rPr>
            </w:pPr>
            <w:r w:rsidRPr="009F68AA">
              <w:rPr>
                <w:color w:val="FF0000"/>
                <w:lang w:val="nl-BE"/>
              </w:rPr>
              <w:t>0</w:t>
            </w:r>
          </w:p>
        </w:tc>
        <w:tc>
          <w:tcPr>
            <w:tcW w:w="2552" w:type="dxa"/>
          </w:tcPr>
          <w:p w14:paraId="16471B54" w14:textId="74F45631" w:rsidR="003C65A3" w:rsidRPr="009F68AA" w:rsidRDefault="004D26AB" w:rsidP="004D26AB">
            <w:pPr>
              <w:tabs>
                <w:tab w:val="center" w:pos="1168"/>
                <w:tab w:val="right" w:pos="2336"/>
              </w:tabs>
              <w:rPr>
                <w:color w:val="FF0000"/>
                <w:lang w:val="nl-BE"/>
              </w:rPr>
            </w:pPr>
            <w:r>
              <w:rPr>
                <w:color w:val="FF0000"/>
                <w:lang w:val="nl-BE"/>
              </w:rPr>
              <w:tab/>
            </w:r>
            <w:r w:rsidR="003C65A3">
              <w:rPr>
                <w:color w:val="FF0000"/>
                <w:lang w:val="nl-BE"/>
              </w:rPr>
              <w:t>181</w:t>
            </w:r>
            <w:r>
              <w:rPr>
                <w:color w:val="FF0000"/>
                <w:lang w:val="nl-BE"/>
              </w:rPr>
              <w:t>5</w:t>
            </w:r>
          </w:p>
        </w:tc>
        <w:tc>
          <w:tcPr>
            <w:tcW w:w="3117" w:type="dxa"/>
          </w:tcPr>
          <w:p w14:paraId="40F01984" w14:textId="1739FF01" w:rsidR="003C65A3" w:rsidRPr="009F68AA" w:rsidRDefault="003C65A3" w:rsidP="003C65A3">
            <w:pPr>
              <w:jc w:val="center"/>
              <w:rPr>
                <w:color w:val="FF0000"/>
                <w:lang w:val="nl-BE"/>
              </w:rPr>
            </w:pPr>
            <w:r>
              <w:rPr>
                <w:lang w:val="nl-NL"/>
              </w:rPr>
              <w:t>67,11</w:t>
            </w:r>
          </w:p>
        </w:tc>
      </w:tr>
      <w:tr w:rsidR="003C65A3" w:rsidRPr="007C1C94" w14:paraId="436D7480" w14:textId="77777777" w:rsidTr="000E2C47">
        <w:tc>
          <w:tcPr>
            <w:tcW w:w="3681" w:type="dxa"/>
          </w:tcPr>
          <w:p w14:paraId="343A978A" w14:textId="77777777" w:rsidR="003C65A3" w:rsidRPr="009F68AA" w:rsidRDefault="003C65A3" w:rsidP="003C65A3">
            <w:pPr>
              <w:jc w:val="center"/>
              <w:rPr>
                <w:color w:val="FF0000"/>
                <w:lang w:val="nl-BE"/>
              </w:rPr>
            </w:pPr>
            <w:r w:rsidRPr="009F68AA">
              <w:rPr>
                <w:color w:val="FF0000"/>
                <w:lang w:val="nl-BE"/>
              </w:rPr>
              <w:t>1</w:t>
            </w:r>
          </w:p>
        </w:tc>
        <w:tc>
          <w:tcPr>
            <w:tcW w:w="2552" w:type="dxa"/>
          </w:tcPr>
          <w:p w14:paraId="46D459FB" w14:textId="26F87B7E" w:rsidR="003C65A3" w:rsidRPr="009F68AA" w:rsidRDefault="003C65A3" w:rsidP="003C65A3">
            <w:pPr>
              <w:jc w:val="center"/>
              <w:rPr>
                <w:color w:val="FF0000"/>
                <w:lang w:val="nl-BE"/>
              </w:rPr>
            </w:pPr>
            <w:r>
              <w:rPr>
                <w:color w:val="FF0000"/>
                <w:lang w:val="nl-BE"/>
              </w:rPr>
              <w:t>482</w:t>
            </w:r>
          </w:p>
        </w:tc>
        <w:tc>
          <w:tcPr>
            <w:tcW w:w="3117" w:type="dxa"/>
          </w:tcPr>
          <w:p w14:paraId="5B8CCBA6" w14:textId="25A6581B" w:rsidR="003C65A3" w:rsidRPr="009F68AA" w:rsidRDefault="003C65A3" w:rsidP="003C65A3">
            <w:pPr>
              <w:jc w:val="center"/>
              <w:rPr>
                <w:color w:val="FF0000"/>
                <w:lang w:val="nl-BE"/>
              </w:rPr>
            </w:pPr>
            <w:r>
              <w:rPr>
                <w:lang w:val="nl-NL"/>
              </w:rPr>
              <w:t>26,56</w:t>
            </w:r>
          </w:p>
        </w:tc>
      </w:tr>
      <w:tr w:rsidR="003C65A3" w:rsidRPr="009F68AA" w14:paraId="4C9DF02D" w14:textId="77777777" w:rsidTr="000E2C47">
        <w:tc>
          <w:tcPr>
            <w:tcW w:w="3681" w:type="dxa"/>
          </w:tcPr>
          <w:p w14:paraId="591B1A21" w14:textId="77777777" w:rsidR="003C65A3" w:rsidRPr="009F68AA" w:rsidRDefault="003C65A3" w:rsidP="003C65A3">
            <w:pPr>
              <w:jc w:val="center"/>
              <w:rPr>
                <w:color w:val="FF0000"/>
                <w:lang w:val="nl-BE"/>
              </w:rPr>
            </w:pPr>
            <w:r w:rsidRPr="009F68AA">
              <w:rPr>
                <w:color w:val="FF0000"/>
                <w:lang w:val="nl-BE"/>
              </w:rPr>
              <w:t>2</w:t>
            </w:r>
          </w:p>
        </w:tc>
        <w:tc>
          <w:tcPr>
            <w:tcW w:w="2552" w:type="dxa"/>
          </w:tcPr>
          <w:p w14:paraId="7FC656B3" w14:textId="798EDAA6" w:rsidR="003C65A3" w:rsidRPr="009F68AA" w:rsidRDefault="003C65A3" w:rsidP="003C65A3">
            <w:pPr>
              <w:jc w:val="center"/>
              <w:rPr>
                <w:color w:val="FF0000"/>
                <w:lang w:val="nl-BE"/>
              </w:rPr>
            </w:pPr>
            <w:r w:rsidRPr="00A63EC2">
              <w:rPr>
                <w:color w:val="FF0000"/>
                <w:lang w:val="nl-NL"/>
              </w:rPr>
              <w:t>111</w:t>
            </w:r>
          </w:p>
        </w:tc>
        <w:tc>
          <w:tcPr>
            <w:tcW w:w="3117" w:type="dxa"/>
          </w:tcPr>
          <w:p w14:paraId="76F914C0" w14:textId="78670025" w:rsidR="003C65A3" w:rsidRPr="009F68AA" w:rsidRDefault="003C65A3" w:rsidP="003C65A3">
            <w:pPr>
              <w:jc w:val="center"/>
              <w:rPr>
                <w:color w:val="FF0000"/>
                <w:lang w:val="nl-BE"/>
              </w:rPr>
            </w:pPr>
            <w:r>
              <w:rPr>
                <w:lang w:val="nl-NL"/>
              </w:rPr>
              <w:t>6,12</w:t>
            </w:r>
          </w:p>
        </w:tc>
      </w:tr>
      <w:tr w:rsidR="003C65A3" w:rsidRPr="009F68AA" w14:paraId="7706842B" w14:textId="77777777" w:rsidTr="000E2C47">
        <w:tc>
          <w:tcPr>
            <w:tcW w:w="3681" w:type="dxa"/>
          </w:tcPr>
          <w:p w14:paraId="6213D3E0" w14:textId="77777777" w:rsidR="003C65A3" w:rsidRPr="009F68AA" w:rsidRDefault="003C65A3" w:rsidP="003C65A3">
            <w:pPr>
              <w:jc w:val="center"/>
              <w:rPr>
                <w:color w:val="FF0000"/>
                <w:lang w:val="nl-BE"/>
              </w:rPr>
            </w:pPr>
            <w:r>
              <w:rPr>
                <w:color w:val="FF0000"/>
                <w:lang w:val="nl-BE"/>
              </w:rPr>
              <w:t>3</w:t>
            </w:r>
          </w:p>
        </w:tc>
        <w:tc>
          <w:tcPr>
            <w:tcW w:w="2552" w:type="dxa"/>
          </w:tcPr>
          <w:p w14:paraId="2DB416F0" w14:textId="227D96BC" w:rsidR="003C65A3" w:rsidRPr="009F68AA" w:rsidRDefault="003C65A3" w:rsidP="003C65A3">
            <w:pPr>
              <w:jc w:val="center"/>
              <w:rPr>
                <w:color w:val="FF0000"/>
                <w:lang w:val="nl-BE"/>
              </w:rPr>
            </w:pPr>
            <w:r w:rsidRPr="00A63EC2">
              <w:rPr>
                <w:color w:val="FF0000"/>
                <w:lang w:val="nl-NL"/>
              </w:rPr>
              <w:t>4</w:t>
            </w:r>
          </w:p>
        </w:tc>
        <w:tc>
          <w:tcPr>
            <w:tcW w:w="3117" w:type="dxa"/>
          </w:tcPr>
          <w:p w14:paraId="70E0B181" w14:textId="470C778C" w:rsidR="003C65A3" w:rsidRPr="009F68AA" w:rsidRDefault="003C65A3" w:rsidP="003C65A3">
            <w:pPr>
              <w:jc w:val="center"/>
              <w:rPr>
                <w:color w:val="FF0000"/>
                <w:lang w:val="nl-BE"/>
              </w:rPr>
            </w:pPr>
            <w:r>
              <w:rPr>
                <w:lang w:val="nl-NL"/>
              </w:rPr>
              <w:t>0,22</w:t>
            </w:r>
          </w:p>
        </w:tc>
      </w:tr>
    </w:tbl>
    <w:p w14:paraId="677002A3" w14:textId="77777777" w:rsidR="00720E0D" w:rsidRPr="00BD15C9" w:rsidRDefault="00720E0D" w:rsidP="00E17C11">
      <w:pPr>
        <w:jc w:val="both"/>
        <w:rPr>
          <w:lang w:val="fr-FR"/>
        </w:rPr>
      </w:pPr>
    </w:p>
    <w:p w14:paraId="47D4FF4F" w14:textId="2526F56C" w:rsidR="00E413DB" w:rsidRPr="00BD15C9" w:rsidRDefault="00CA7D1D" w:rsidP="00E17C11">
      <w:pPr>
        <w:jc w:val="both"/>
        <w:rPr>
          <w:lang w:val="fr-FR"/>
        </w:rPr>
      </w:pPr>
      <w:r w:rsidRPr="00BD15C9">
        <w:rPr>
          <w:lang w:val="fr-FR"/>
        </w:rPr>
        <w:t xml:space="preserve">Ces chiffres correspondent, en grande partie, avec la répartition des rôles dans la chaîne d'approvisionnement (voir </w:t>
      </w:r>
      <w:r w:rsidR="00AF729A" w:rsidRPr="00BD15C9">
        <w:rPr>
          <w:i/>
          <w:lang w:val="fr-FR"/>
        </w:rPr>
        <w:t xml:space="preserve">§ </w:t>
      </w:r>
      <w:r w:rsidR="0011696F">
        <w:rPr>
          <w:i/>
          <w:lang w:val="fr-FR"/>
        </w:rPr>
        <w:t>7</w:t>
      </w:r>
      <w:r w:rsidR="00AF729A" w:rsidRPr="00BD15C9">
        <w:rPr>
          <w:i/>
          <w:lang w:val="fr-FR"/>
        </w:rPr>
        <w:t xml:space="preserve"> Rôles dans la chaîne d'approvisionnement</w:t>
      </w:r>
      <w:r w:rsidRPr="00BD15C9">
        <w:rPr>
          <w:lang w:val="fr-FR"/>
        </w:rPr>
        <w:t xml:space="preserve">). Dans les enregistrements, ce qu'on retrouve surtout, ce sont des mises sur le marché belge (importation et production). On dénombre nettement moins d'enregistrements relatifs à la distribution ultérieure des nanomatériaux sur le marché belge. </w:t>
      </w:r>
    </w:p>
    <w:p w14:paraId="5D0C7F19" w14:textId="583271F8" w:rsidR="0088215E" w:rsidRPr="00B76985" w:rsidRDefault="0088215E" w:rsidP="00B76985">
      <w:pPr>
        <w:jc w:val="both"/>
        <w:rPr>
          <w:lang w:val="fr-FR"/>
        </w:rPr>
      </w:pPr>
      <w:r w:rsidRPr="00B76985">
        <w:rPr>
          <w:lang w:val="fr-FR"/>
        </w:rPr>
        <w:t>Par ailleurs, pr</w:t>
      </w:r>
      <w:r w:rsidRPr="00B76985">
        <w:rPr>
          <w:rFonts w:hint="eastAsia"/>
          <w:lang w:val="fr-FR"/>
        </w:rPr>
        <w:t>è</w:t>
      </w:r>
      <w:r w:rsidRPr="00B76985">
        <w:rPr>
          <w:lang w:val="fr-FR"/>
        </w:rPr>
        <w:t xml:space="preserve">s </w:t>
      </w:r>
      <w:r w:rsidRPr="00DC5C95">
        <w:rPr>
          <w:lang w:val="fr-FR"/>
        </w:rPr>
        <w:t xml:space="preserve">de </w:t>
      </w:r>
      <w:r w:rsidR="007B2AFD">
        <w:rPr>
          <w:lang w:val="fr-FR"/>
        </w:rPr>
        <w:t>31.5</w:t>
      </w:r>
      <w:r w:rsidR="00775288" w:rsidRPr="007B2AFD">
        <w:rPr>
          <w:lang w:val="fr-FR"/>
        </w:rPr>
        <w:t xml:space="preserve"> </w:t>
      </w:r>
      <w:r w:rsidRPr="007B2AFD">
        <w:rPr>
          <w:lang w:val="fr-FR"/>
        </w:rPr>
        <w:t>%</w:t>
      </w:r>
      <w:r w:rsidRPr="00DC5C95">
        <w:rPr>
          <w:lang w:val="fr-FR"/>
        </w:rPr>
        <w:t xml:space="preserve"> des</w:t>
      </w:r>
      <w:r w:rsidRPr="00B76985">
        <w:rPr>
          <w:lang w:val="fr-FR"/>
        </w:rPr>
        <w:t xml:space="preserve"> num</w:t>
      </w:r>
      <w:r w:rsidRPr="00B76985">
        <w:rPr>
          <w:rFonts w:hint="eastAsia"/>
          <w:lang w:val="fr-FR"/>
        </w:rPr>
        <w:t>é</w:t>
      </w:r>
      <w:r w:rsidRPr="00B76985">
        <w:rPr>
          <w:lang w:val="fr-FR"/>
        </w:rPr>
        <w:t>ros d</w:t>
      </w:r>
      <w:r w:rsidR="00885A47">
        <w:rPr>
          <w:lang w:val="fr-FR"/>
        </w:rPr>
        <w:t>’</w:t>
      </w:r>
      <w:r w:rsidRPr="00B76985">
        <w:rPr>
          <w:lang w:val="fr-FR"/>
        </w:rPr>
        <w:t>enregistrement utilis</w:t>
      </w:r>
      <w:r w:rsidRPr="00B76985">
        <w:rPr>
          <w:rFonts w:hint="eastAsia"/>
          <w:lang w:val="fr-FR"/>
        </w:rPr>
        <w:t>é</w:t>
      </w:r>
      <w:r w:rsidRPr="00B76985">
        <w:rPr>
          <w:lang w:val="fr-FR"/>
        </w:rPr>
        <w:t>s dans les enregistrements limit</w:t>
      </w:r>
      <w:r w:rsidRPr="00B76985">
        <w:rPr>
          <w:rFonts w:hint="eastAsia"/>
          <w:lang w:val="fr-FR"/>
        </w:rPr>
        <w:t>é</w:t>
      </w:r>
      <w:r w:rsidRPr="00B76985">
        <w:rPr>
          <w:lang w:val="fr-FR"/>
        </w:rPr>
        <w:t>s sont r</w:t>
      </w:r>
      <w:r w:rsidRPr="00B76985">
        <w:rPr>
          <w:rFonts w:hint="eastAsia"/>
          <w:lang w:val="fr-FR"/>
        </w:rPr>
        <w:t>é</w:t>
      </w:r>
      <w:r w:rsidRPr="00B76985">
        <w:rPr>
          <w:lang w:val="fr-FR"/>
        </w:rPr>
        <w:t>pertori</w:t>
      </w:r>
      <w:r w:rsidRPr="00B76985">
        <w:rPr>
          <w:rFonts w:hint="eastAsia"/>
          <w:lang w:val="fr-FR"/>
        </w:rPr>
        <w:t>é</w:t>
      </w:r>
      <w:r w:rsidRPr="00B76985">
        <w:rPr>
          <w:lang w:val="fr-FR"/>
        </w:rPr>
        <w:t>s plus d</w:t>
      </w:r>
      <w:r w:rsidR="00885A47">
        <w:rPr>
          <w:lang w:val="fr-FR"/>
        </w:rPr>
        <w:t>’</w:t>
      </w:r>
      <w:r w:rsidRPr="00B76985">
        <w:rPr>
          <w:lang w:val="fr-FR"/>
        </w:rPr>
        <w:t xml:space="preserve">une fois, avec un </w:t>
      </w:r>
      <w:r w:rsidRPr="00DC5C95">
        <w:rPr>
          <w:lang w:val="fr-FR"/>
        </w:rPr>
        <w:t xml:space="preserve">maximum de </w:t>
      </w:r>
      <w:r w:rsidR="007B2AFD">
        <w:rPr>
          <w:lang w:val="fr-FR"/>
        </w:rPr>
        <w:t>81</w:t>
      </w:r>
      <w:r w:rsidRPr="00C46825">
        <w:rPr>
          <w:lang w:val="fr-FR"/>
        </w:rPr>
        <w:t xml:space="preserve"> fois</w:t>
      </w:r>
      <w:r w:rsidRPr="00B76985">
        <w:rPr>
          <w:lang w:val="fr-FR"/>
        </w:rPr>
        <w:t xml:space="preserve"> pour un num</w:t>
      </w:r>
      <w:r w:rsidRPr="00B76985">
        <w:rPr>
          <w:rFonts w:hint="eastAsia"/>
          <w:lang w:val="fr-FR"/>
        </w:rPr>
        <w:t>é</w:t>
      </w:r>
      <w:r w:rsidRPr="00B76985">
        <w:rPr>
          <w:lang w:val="fr-FR"/>
        </w:rPr>
        <w:t>ro d</w:t>
      </w:r>
      <w:r w:rsidR="00885A47">
        <w:rPr>
          <w:lang w:val="fr-FR"/>
        </w:rPr>
        <w:t>’</w:t>
      </w:r>
      <w:r w:rsidRPr="00B76985">
        <w:rPr>
          <w:lang w:val="fr-FR"/>
        </w:rPr>
        <w:t>enregistrement sp</w:t>
      </w:r>
      <w:r w:rsidRPr="00B76985">
        <w:rPr>
          <w:rFonts w:hint="eastAsia"/>
          <w:lang w:val="fr-FR"/>
        </w:rPr>
        <w:t>é</w:t>
      </w:r>
      <w:r w:rsidR="00B92EAF" w:rsidRPr="00B92EAF">
        <w:rPr>
          <w:lang w:val="fr-FR"/>
        </w:rPr>
        <w:t>cifique.</w:t>
      </w:r>
    </w:p>
    <w:p w14:paraId="61C21CF6" w14:textId="77777777" w:rsidR="0088215E" w:rsidRPr="00BD15C9" w:rsidRDefault="0088215E" w:rsidP="00E17C11">
      <w:pPr>
        <w:jc w:val="both"/>
        <w:rPr>
          <w:lang w:val="fr-FR"/>
        </w:rPr>
      </w:pPr>
    </w:p>
    <w:p w14:paraId="06FA6CD0" w14:textId="35C9BD3A" w:rsidR="009C6E06" w:rsidRPr="00BD15C9" w:rsidRDefault="00150835" w:rsidP="00BB22C7">
      <w:pPr>
        <w:pStyle w:val="Titre1"/>
        <w:rPr>
          <w:lang w:val="fr-FR"/>
        </w:rPr>
      </w:pPr>
      <w:bookmarkStart w:id="40" w:name="_Toc76034166"/>
      <w:r w:rsidRPr="00BD15C9">
        <w:rPr>
          <w:lang w:val="fr-FR"/>
        </w:rPr>
        <w:lastRenderedPageBreak/>
        <w:t>Rôles dans la chaîne d'approvisionnement</w:t>
      </w:r>
      <w:bookmarkEnd w:id="40"/>
    </w:p>
    <w:p w14:paraId="502D2A3F" w14:textId="77CA75E9" w:rsidR="00BC5CBF" w:rsidRPr="00BD15C9" w:rsidRDefault="00150835" w:rsidP="00B76985">
      <w:pPr>
        <w:pStyle w:val="Titre2"/>
      </w:pPr>
      <w:bookmarkStart w:id="41" w:name="_Toc76034167"/>
      <w:r w:rsidRPr="0088215E">
        <w:t>Répartition</w:t>
      </w:r>
      <w:r w:rsidRPr="00BD15C9">
        <w:t xml:space="preserve"> du nombre des entreprises par rôle</w:t>
      </w:r>
      <w:bookmarkEnd w:id="41"/>
    </w:p>
    <w:p w14:paraId="6FBAA60D" w14:textId="2DD8F94A" w:rsidR="00597E75" w:rsidRPr="00BD15C9" w:rsidRDefault="00597E75" w:rsidP="00597E75">
      <w:pPr>
        <w:jc w:val="both"/>
        <w:rPr>
          <w:lang w:val="fr-FR"/>
        </w:rPr>
      </w:pPr>
      <w:r w:rsidRPr="00BD15C9">
        <w:rPr>
          <w:lang w:val="fr-FR"/>
        </w:rPr>
        <w:t>Les Déclarants qui mettent des nanomatériaux sur le marché belge à des fins commerciales ont enregistré, dans le cadre de l'actualisation annuelle, entre le 1</w:t>
      </w:r>
      <w:r w:rsidRPr="00BD15C9">
        <w:rPr>
          <w:vertAlign w:val="superscript"/>
          <w:lang w:val="fr-FR"/>
        </w:rPr>
        <w:t>er</w:t>
      </w:r>
      <w:r w:rsidRPr="00BD15C9">
        <w:rPr>
          <w:lang w:val="fr-FR"/>
        </w:rPr>
        <w:t xml:space="preserve"> janvier </w:t>
      </w:r>
      <w:r w:rsidR="005A61C2" w:rsidRPr="00BD15C9">
        <w:rPr>
          <w:lang w:val="fr-FR"/>
        </w:rPr>
        <w:t>20</w:t>
      </w:r>
      <w:r w:rsidR="005A61C2">
        <w:rPr>
          <w:lang w:val="fr-FR"/>
        </w:rPr>
        <w:t>2</w:t>
      </w:r>
      <w:r w:rsidR="003C65A3">
        <w:rPr>
          <w:lang w:val="fr-FR"/>
        </w:rPr>
        <w:t>1</w:t>
      </w:r>
      <w:r w:rsidR="005A61C2" w:rsidRPr="00BD15C9">
        <w:rPr>
          <w:lang w:val="fr-FR"/>
        </w:rPr>
        <w:t xml:space="preserve"> </w:t>
      </w:r>
      <w:r w:rsidRPr="00BD15C9">
        <w:rPr>
          <w:lang w:val="fr-FR"/>
        </w:rPr>
        <w:t xml:space="preserve">et le 31 mars </w:t>
      </w:r>
      <w:r w:rsidR="005A61C2" w:rsidRPr="00BD15C9">
        <w:rPr>
          <w:lang w:val="fr-FR"/>
        </w:rPr>
        <w:t>20</w:t>
      </w:r>
      <w:r w:rsidR="005A61C2">
        <w:rPr>
          <w:lang w:val="fr-FR"/>
        </w:rPr>
        <w:t>2</w:t>
      </w:r>
      <w:r w:rsidR="003C65A3">
        <w:rPr>
          <w:lang w:val="fr-FR"/>
        </w:rPr>
        <w:t>1</w:t>
      </w:r>
      <w:r w:rsidRPr="00BD15C9">
        <w:rPr>
          <w:lang w:val="fr-FR"/>
        </w:rPr>
        <w:t>, la quantité exacte qu'ils ont mise sur le marché en 20</w:t>
      </w:r>
      <w:r w:rsidR="003C65A3">
        <w:rPr>
          <w:lang w:val="fr-FR"/>
        </w:rPr>
        <w:t>20</w:t>
      </w:r>
      <w:r w:rsidRPr="00BD15C9">
        <w:rPr>
          <w:lang w:val="fr-FR"/>
        </w:rPr>
        <w:t xml:space="preserve">. Ils ont aussi mentionné leur rôle endossé dans la chaîne d'approvisionnement pour ces quantités. Les différents rôles possibles dans la chaîne d'approvisionnement sont expliqués sous </w:t>
      </w:r>
      <w:r w:rsidR="00950597" w:rsidRPr="00BD15C9">
        <w:rPr>
          <w:i/>
          <w:lang w:val="fr-FR"/>
        </w:rPr>
        <w:t xml:space="preserve">§ </w:t>
      </w:r>
      <w:r w:rsidR="0011696F">
        <w:rPr>
          <w:i/>
          <w:lang w:val="fr-FR"/>
        </w:rPr>
        <w:fldChar w:fldCharType="begin"/>
      </w:r>
      <w:r w:rsidR="0011696F">
        <w:rPr>
          <w:i/>
          <w:lang w:val="fr-FR"/>
        </w:rPr>
        <w:instrText xml:space="preserve"> REF _Ref74735158 \w \h </w:instrText>
      </w:r>
      <w:r w:rsidR="0011696F">
        <w:rPr>
          <w:i/>
          <w:lang w:val="fr-FR"/>
        </w:rPr>
      </w:r>
      <w:r w:rsidR="0011696F">
        <w:rPr>
          <w:i/>
          <w:lang w:val="fr-FR"/>
        </w:rPr>
        <w:fldChar w:fldCharType="separate"/>
      </w:r>
      <w:r w:rsidR="0011696F">
        <w:rPr>
          <w:i/>
          <w:lang w:val="fr-FR"/>
        </w:rPr>
        <w:t>3.2.5</w:t>
      </w:r>
      <w:r w:rsidR="0011696F">
        <w:rPr>
          <w:i/>
          <w:lang w:val="fr-FR"/>
        </w:rPr>
        <w:fldChar w:fldCharType="end"/>
      </w:r>
      <w:r w:rsidR="00950597" w:rsidRPr="00BD15C9">
        <w:rPr>
          <w:i/>
          <w:lang w:val="fr-FR"/>
        </w:rPr>
        <w:t>Définition des rôles dans la chaîne d'approvisionnement.</w:t>
      </w:r>
    </w:p>
    <w:p w14:paraId="39AAFFB5" w14:textId="7C88282E" w:rsidR="0063678C" w:rsidRDefault="00180510" w:rsidP="00597E75">
      <w:pPr>
        <w:jc w:val="both"/>
        <w:rPr>
          <w:lang w:val="fr-FR"/>
        </w:rPr>
      </w:pPr>
      <w:r w:rsidRPr="00180510">
        <w:rPr>
          <w:lang w:val="fr-FR"/>
        </w:rPr>
        <w:t>Le tableau ci-dessous indique le nombre relatif de fois qu'un déclarant a rempli l'un de</w:t>
      </w:r>
      <w:r w:rsidR="006A441D">
        <w:rPr>
          <w:lang w:val="fr-FR"/>
        </w:rPr>
        <w:t>s</w:t>
      </w:r>
      <w:r w:rsidRPr="00180510">
        <w:rPr>
          <w:lang w:val="fr-FR"/>
        </w:rPr>
        <w:t xml:space="preserve"> rôles possibles. Il y a des déclarants qui remplissent plus d'un rôle. Le nombre maximal de rôles par déclarant est de cinq. Lors de la ré</w:t>
      </w:r>
      <w:r w:rsidR="004560A8">
        <w:rPr>
          <w:lang w:val="fr-FR"/>
        </w:rPr>
        <w:t>alisation</w:t>
      </w:r>
      <w:r w:rsidRPr="00180510">
        <w:rPr>
          <w:lang w:val="fr-FR"/>
        </w:rPr>
        <w:t xml:space="preserve"> de ce graphique, il </w:t>
      </w:r>
      <w:r w:rsidR="006A441D">
        <w:rPr>
          <w:lang w:val="fr-FR"/>
        </w:rPr>
        <w:t>a été</w:t>
      </w:r>
      <w:r w:rsidRPr="00180510">
        <w:rPr>
          <w:lang w:val="fr-FR"/>
        </w:rPr>
        <w:t xml:space="preserve"> supposé que lorsque le déclarant remplissait le nombre «0» à côté d'un certain rôle (mais pas de tous les rôles), il pouvait jouer ce rôle mais que ce n'était pas le cas pour </w:t>
      </w:r>
      <w:r w:rsidR="009674DA" w:rsidRPr="00180510">
        <w:rPr>
          <w:lang w:val="fr-FR"/>
        </w:rPr>
        <w:t>20</w:t>
      </w:r>
      <w:r w:rsidR="003C65A3">
        <w:rPr>
          <w:lang w:val="fr-FR"/>
        </w:rPr>
        <w:t>20</w:t>
      </w:r>
      <w:r w:rsidRPr="00180510">
        <w:rPr>
          <w:lang w:val="fr-FR"/>
        </w:rPr>
        <w:t>.</w:t>
      </w:r>
    </w:p>
    <w:p w14:paraId="3F333482" w14:textId="77AD8EF9" w:rsidR="0080662D" w:rsidRDefault="004560A8" w:rsidP="00384923">
      <w:pPr>
        <w:jc w:val="both"/>
        <w:rPr>
          <w:lang w:val="fr-FR"/>
        </w:rPr>
      </w:pPr>
      <w:r w:rsidRPr="00BD15C9">
        <w:rPr>
          <w:lang w:val="fr-FR"/>
        </w:rPr>
        <w:t>Les autres spécifications mentionnées quand le Déclarant a opté pour le rôle ‘Autre’ ne sont</w:t>
      </w:r>
      <w:r>
        <w:rPr>
          <w:lang w:val="fr-FR"/>
        </w:rPr>
        <w:t xml:space="preserve"> pas discutées dans ce rapport.</w:t>
      </w:r>
    </w:p>
    <w:p w14:paraId="5FB86303" w14:textId="77777777" w:rsidR="00414E81" w:rsidRDefault="00414E81" w:rsidP="00597E75">
      <w:pPr>
        <w:jc w:val="both"/>
        <w:rPr>
          <w:lang w:val="fr-FR"/>
        </w:rPr>
      </w:pPr>
      <w:r>
        <w:rPr>
          <w:lang w:val="fr-FR"/>
        </w:rPr>
        <w:t>Substances et mélanges ensemble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1688"/>
        <w:gridCol w:w="1767"/>
        <w:gridCol w:w="1830"/>
        <w:gridCol w:w="2276"/>
      </w:tblGrid>
      <w:tr w:rsidR="003C65A3" w:rsidRPr="007F1FE2" w14:paraId="591F28AE" w14:textId="43DE4F81" w:rsidTr="004D26AB">
        <w:trPr>
          <w:trHeight w:val="745"/>
          <w:tblHeader/>
        </w:trPr>
        <w:tc>
          <w:tcPr>
            <w:tcW w:w="9349" w:type="dxa"/>
            <w:gridSpan w:val="5"/>
          </w:tcPr>
          <w:p w14:paraId="7A2784D0" w14:textId="416EDAEF" w:rsidR="003C65A3" w:rsidRPr="00B76985" w:rsidRDefault="003C65A3" w:rsidP="000E2C47">
            <w:pPr>
              <w:jc w:val="both"/>
              <w:rPr>
                <w:color w:val="FF0000"/>
                <w:lang w:val="fr-BE"/>
              </w:rPr>
            </w:pPr>
            <w:r w:rsidRPr="00C46825">
              <w:rPr>
                <w:b/>
                <w:i/>
                <w:lang w:val="fr-BE"/>
              </w:rPr>
              <w:t>Tableau: répartition relative (en %) des entreprises entre les différents rôles dans la chaîne d'approvisionnement pour les substances et les mélanges pris ensemble</w:t>
            </w:r>
          </w:p>
        </w:tc>
      </w:tr>
      <w:tr w:rsidR="003C65A3" w:rsidRPr="003E3055" w14:paraId="64BE26A4" w14:textId="1906F6FF" w:rsidTr="004D26AB">
        <w:trPr>
          <w:trHeight w:val="320"/>
          <w:tblHeader/>
        </w:trPr>
        <w:tc>
          <w:tcPr>
            <w:tcW w:w="1788" w:type="dxa"/>
          </w:tcPr>
          <w:p w14:paraId="1B6884A3" w14:textId="4199BA78" w:rsidR="003C65A3" w:rsidRPr="003E3055" w:rsidRDefault="003C65A3" w:rsidP="00414E81">
            <w:pPr>
              <w:jc w:val="center"/>
              <w:rPr>
                <w:color w:val="FF0000"/>
                <w:lang w:val="nl-BE"/>
              </w:rPr>
            </w:pPr>
            <w:r w:rsidRPr="00BD15C9">
              <w:rPr>
                <w:lang w:val="fr-FR"/>
              </w:rPr>
              <w:t>Importateur</w:t>
            </w:r>
          </w:p>
        </w:tc>
        <w:tc>
          <w:tcPr>
            <w:tcW w:w="1688" w:type="dxa"/>
          </w:tcPr>
          <w:p w14:paraId="13B52A7F" w14:textId="4E13A915" w:rsidR="003C65A3" w:rsidRPr="003E3055" w:rsidRDefault="003C65A3" w:rsidP="00414E81">
            <w:pPr>
              <w:jc w:val="center"/>
              <w:rPr>
                <w:color w:val="FF0000"/>
                <w:lang w:val="nl-BE"/>
              </w:rPr>
            </w:pPr>
            <w:r w:rsidRPr="00BD15C9">
              <w:rPr>
                <w:lang w:val="fr-FR"/>
              </w:rPr>
              <w:t>Producteur</w:t>
            </w:r>
          </w:p>
        </w:tc>
        <w:tc>
          <w:tcPr>
            <w:tcW w:w="1767" w:type="dxa"/>
          </w:tcPr>
          <w:p w14:paraId="282C1657" w14:textId="3A1988F4" w:rsidR="003C65A3" w:rsidRPr="003E3055" w:rsidRDefault="003C65A3" w:rsidP="00414E81">
            <w:pPr>
              <w:jc w:val="center"/>
              <w:rPr>
                <w:color w:val="FF0000"/>
                <w:lang w:val="nl-BE"/>
              </w:rPr>
            </w:pPr>
            <w:r w:rsidRPr="00BD15C9">
              <w:rPr>
                <w:lang w:val="fr-FR"/>
              </w:rPr>
              <w:t>Distributeur</w:t>
            </w:r>
          </w:p>
        </w:tc>
        <w:tc>
          <w:tcPr>
            <w:tcW w:w="1830" w:type="dxa"/>
          </w:tcPr>
          <w:p w14:paraId="3E61D708" w14:textId="4011D810" w:rsidR="003C65A3" w:rsidRPr="003E3055" w:rsidRDefault="003C65A3" w:rsidP="00414E81">
            <w:pPr>
              <w:jc w:val="center"/>
              <w:rPr>
                <w:color w:val="FF0000"/>
                <w:lang w:val="nl-BE"/>
              </w:rPr>
            </w:pPr>
            <w:r w:rsidRPr="00BD15C9">
              <w:rPr>
                <w:lang w:val="fr-FR"/>
              </w:rPr>
              <w:t>Formulateur</w:t>
            </w:r>
          </w:p>
        </w:tc>
        <w:tc>
          <w:tcPr>
            <w:tcW w:w="2274" w:type="dxa"/>
          </w:tcPr>
          <w:p w14:paraId="4A831610" w14:textId="0E7A5983" w:rsidR="003C65A3" w:rsidRPr="003E3055" w:rsidRDefault="003C65A3" w:rsidP="00414E81">
            <w:pPr>
              <w:jc w:val="center"/>
              <w:rPr>
                <w:color w:val="FF0000"/>
                <w:lang w:val="nl-BE"/>
              </w:rPr>
            </w:pPr>
            <w:r>
              <w:rPr>
                <w:lang w:val="fr-FR"/>
              </w:rPr>
              <w:t>Autre</w:t>
            </w:r>
            <w:r w:rsidRPr="00BD15C9">
              <w:rPr>
                <w:lang w:val="fr-FR"/>
              </w:rPr>
              <w:t xml:space="preserve"> </w:t>
            </w:r>
          </w:p>
        </w:tc>
      </w:tr>
      <w:tr w:rsidR="003C65A3" w:rsidRPr="003E3055" w14:paraId="3939BB1D" w14:textId="5E479EE1" w:rsidTr="004D26AB">
        <w:trPr>
          <w:trHeight w:val="648"/>
        </w:trPr>
        <w:tc>
          <w:tcPr>
            <w:tcW w:w="1788" w:type="dxa"/>
          </w:tcPr>
          <w:p w14:paraId="6DDD4A7A" w14:textId="06C8A02E" w:rsidR="003C65A3" w:rsidRPr="003E3055" w:rsidRDefault="003C65A3" w:rsidP="003C65A3">
            <w:pPr>
              <w:jc w:val="center"/>
              <w:rPr>
                <w:color w:val="FF0000"/>
                <w:lang w:val="nl-BE"/>
              </w:rPr>
            </w:pPr>
            <w:r>
              <w:rPr>
                <w:color w:val="FF0000"/>
                <w:lang w:val="nl-BE"/>
              </w:rPr>
              <w:t>36,04</w:t>
            </w:r>
          </w:p>
        </w:tc>
        <w:tc>
          <w:tcPr>
            <w:tcW w:w="1688" w:type="dxa"/>
          </w:tcPr>
          <w:p w14:paraId="5D7F0F8C" w14:textId="59B5B0EB" w:rsidR="003C65A3" w:rsidRPr="003E3055" w:rsidRDefault="003C65A3" w:rsidP="003C65A3">
            <w:pPr>
              <w:jc w:val="center"/>
              <w:rPr>
                <w:color w:val="FF0000"/>
                <w:lang w:val="nl-BE"/>
              </w:rPr>
            </w:pPr>
            <w:r w:rsidRPr="00050209">
              <w:rPr>
                <w:color w:val="FF0000"/>
                <w:lang w:val="nl-NL"/>
              </w:rPr>
              <w:t>19,82</w:t>
            </w:r>
          </w:p>
        </w:tc>
        <w:tc>
          <w:tcPr>
            <w:tcW w:w="1767" w:type="dxa"/>
          </w:tcPr>
          <w:p w14:paraId="6E8456FB" w14:textId="2A5107A8" w:rsidR="003C65A3" w:rsidRPr="003E3055" w:rsidRDefault="003C65A3" w:rsidP="003C65A3">
            <w:pPr>
              <w:jc w:val="center"/>
              <w:rPr>
                <w:color w:val="FF0000"/>
                <w:lang w:val="nl-BE"/>
              </w:rPr>
            </w:pPr>
            <w:r>
              <w:rPr>
                <w:color w:val="FF0000"/>
                <w:lang w:val="nl-BE"/>
              </w:rPr>
              <w:t>26,13</w:t>
            </w:r>
          </w:p>
        </w:tc>
        <w:tc>
          <w:tcPr>
            <w:tcW w:w="1830" w:type="dxa"/>
          </w:tcPr>
          <w:p w14:paraId="6609D551" w14:textId="019F7B2C" w:rsidR="003C65A3" w:rsidRPr="003E3055" w:rsidRDefault="003C65A3" w:rsidP="003C65A3">
            <w:pPr>
              <w:jc w:val="center"/>
              <w:rPr>
                <w:color w:val="FF0000"/>
                <w:lang w:val="nl-BE"/>
              </w:rPr>
            </w:pPr>
            <w:r>
              <w:rPr>
                <w:color w:val="FF0000"/>
                <w:lang w:val="nl-BE"/>
              </w:rPr>
              <w:t>16,22</w:t>
            </w:r>
          </w:p>
        </w:tc>
        <w:tc>
          <w:tcPr>
            <w:tcW w:w="2274" w:type="dxa"/>
          </w:tcPr>
          <w:p w14:paraId="66C2E536" w14:textId="77777777" w:rsidR="003C65A3" w:rsidRDefault="003C65A3" w:rsidP="003C65A3">
            <w:pPr>
              <w:jc w:val="center"/>
              <w:rPr>
                <w:color w:val="FF0000"/>
                <w:lang w:val="nl-BE"/>
              </w:rPr>
            </w:pPr>
            <w:r>
              <w:rPr>
                <w:color w:val="FF0000"/>
                <w:lang w:val="nl-BE"/>
              </w:rPr>
              <w:t>1,80</w:t>
            </w:r>
          </w:p>
          <w:p w14:paraId="22496144" w14:textId="5E44F0DE" w:rsidR="003C65A3" w:rsidRPr="003E3055" w:rsidRDefault="003C65A3" w:rsidP="003C65A3">
            <w:pPr>
              <w:jc w:val="center"/>
              <w:rPr>
                <w:color w:val="FF0000"/>
                <w:lang w:val="nl-BE"/>
              </w:rPr>
            </w:pPr>
          </w:p>
        </w:tc>
      </w:tr>
    </w:tbl>
    <w:p w14:paraId="6F5AB608" w14:textId="0A20B6C3" w:rsidR="00414E81" w:rsidRDefault="00414E81" w:rsidP="00597E75">
      <w:pPr>
        <w:jc w:val="both"/>
        <w:rPr>
          <w:lang w:val="fr-FR"/>
        </w:rPr>
      </w:pPr>
    </w:p>
    <w:p w14:paraId="24100A78" w14:textId="15D96319" w:rsidR="009674DA" w:rsidRDefault="00873C4B" w:rsidP="00DB322C">
      <w:pPr>
        <w:jc w:val="center"/>
        <w:rPr>
          <w:lang w:val="fr-FR"/>
        </w:rPr>
      </w:pPr>
      <w:r>
        <w:rPr>
          <w:noProof/>
        </w:rPr>
        <w:drawing>
          <wp:inline distT="0" distB="0" distL="0" distR="0" wp14:anchorId="293F6849" wp14:editId="4B52A675">
            <wp:extent cx="4019550" cy="2238375"/>
            <wp:effectExtent l="0" t="0" r="0" b="9525"/>
            <wp:docPr id="1" name="Chart 1">
              <a:extLst xmlns:a="http://schemas.openxmlformats.org/drawingml/2006/main">
                <a:ext uri="{FF2B5EF4-FFF2-40B4-BE49-F238E27FC236}">
                  <a16:creationId xmlns:a16="http://schemas.microsoft.com/office/drawing/2014/main" id="{992E5D4F-208F-45F0-AD28-35775289EA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9F36BB1" w14:textId="033C1B3E" w:rsidR="006A441D" w:rsidRPr="001F569C" w:rsidRDefault="006A7C11" w:rsidP="00DB322C">
      <w:pPr>
        <w:keepNext/>
        <w:jc w:val="center"/>
        <w:rPr>
          <w:sz w:val="18"/>
          <w:szCs w:val="18"/>
          <w:lang w:val="fr-BE"/>
        </w:rPr>
      </w:pPr>
      <w:r w:rsidRPr="001F569C">
        <w:rPr>
          <w:sz w:val="18"/>
          <w:szCs w:val="18"/>
          <w:lang w:val="fr-BE"/>
        </w:rPr>
        <w:t xml:space="preserve">Figure </w:t>
      </w:r>
      <w:r w:rsidRPr="001F569C">
        <w:rPr>
          <w:sz w:val="18"/>
          <w:szCs w:val="18"/>
        </w:rPr>
        <w:fldChar w:fldCharType="begin"/>
      </w:r>
      <w:r w:rsidRPr="001F569C">
        <w:rPr>
          <w:sz w:val="18"/>
          <w:szCs w:val="18"/>
          <w:lang w:val="fr-BE"/>
        </w:rPr>
        <w:instrText xml:space="preserve"> SEQ Figure \* ARABIC </w:instrText>
      </w:r>
      <w:r w:rsidRPr="001F569C">
        <w:rPr>
          <w:sz w:val="18"/>
          <w:szCs w:val="18"/>
        </w:rPr>
        <w:fldChar w:fldCharType="separate"/>
      </w:r>
      <w:r w:rsidR="00384923" w:rsidRPr="001F569C">
        <w:rPr>
          <w:noProof/>
          <w:sz w:val="18"/>
          <w:szCs w:val="18"/>
          <w:lang w:val="fr-BE"/>
        </w:rPr>
        <w:t>1</w:t>
      </w:r>
      <w:r w:rsidRPr="001F569C">
        <w:rPr>
          <w:sz w:val="18"/>
          <w:szCs w:val="18"/>
        </w:rPr>
        <w:fldChar w:fldCharType="end"/>
      </w:r>
      <w:r w:rsidRPr="001F569C">
        <w:rPr>
          <w:sz w:val="18"/>
          <w:szCs w:val="18"/>
          <w:lang w:val="fr-BE"/>
        </w:rPr>
        <w:t xml:space="preserve"> : répartition relative (en %) des entreprises entre les différents rôles dans la chaîne d'approvisionnement</w:t>
      </w:r>
    </w:p>
    <w:p w14:paraId="33EDCA14" w14:textId="77777777" w:rsidR="009674DA" w:rsidRPr="00BD15C9" w:rsidRDefault="009674DA" w:rsidP="00C46825">
      <w:pPr>
        <w:keepNext/>
        <w:rPr>
          <w:lang w:val="fr-FR"/>
        </w:rPr>
      </w:pPr>
    </w:p>
    <w:p w14:paraId="1A31C055" w14:textId="77777777" w:rsidR="007F1FE2" w:rsidRDefault="007F1FE2" w:rsidP="00597E75">
      <w:pPr>
        <w:jc w:val="both"/>
        <w:rPr>
          <w:lang w:val="fr-FR"/>
        </w:rPr>
      </w:pPr>
    </w:p>
    <w:p w14:paraId="7487C515" w14:textId="0EE8F5FE" w:rsidR="000E2C47" w:rsidRDefault="00DB48F4" w:rsidP="00597E75">
      <w:pPr>
        <w:jc w:val="both"/>
        <w:rPr>
          <w:lang w:val="fr-FR"/>
        </w:rPr>
      </w:pPr>
      <w:r>
        <w:rPr>
          <w:lang w:val="fr-FR"/>
        </w:rPr>
        <w:t>Uniquement</w:t>
      </w:r>
      <w:r w:rsidR="00F84CAD">
        <w:rPr>
          <w:lang w:val="fr-FR"/>
        </w:rPr>
        <w:t xml:space="preserve"> substance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1551"/>
        <w:gridCol w:w="1521"/>
        <w:gridCol w:w="1636"/>
        <w:gridCol w:w="1709"/>
        <w:gridCol w:w="1382"/>
      </w:tblGrid>
      <w:tr w:rsidR="00F84CAD" w:rsidRPr="007F1FE2" w14:paraId="39BA4A46" w14:textId="77777777" w:rsidTr="00F84CAD">
        <w:trPr>
          <w:tblHeader/>
        </w:trPr>
        <w:tc>
          <w:tcPr>
            <w:tcW w:w="9350" w:type="dxa"/>
            <w:gridSpan w:val="6"/>
            <w:tcBorders>
              <w:top w:val="single" w:sz="4" w:space="0" w:color="auto"/>
              <w:left w:val="single" w:sz="4" w:space="0" w:color="auto"/>
              <w:bottom w:val="single" w:sz="4" w:space="0" w:color="auto"/>
              <w:right w:val="single" w:sz="4" w:space="0" w:color="auto"/>
            </w:tcBorders>
            <w:hideMark/>
          </w:tcPr>
          <w:p w14:paraId="5ED20297" w14:textId="7C8B9837" w:rsidR="00F84CAD" w:rsidRPr="00B76985" w:rsidRDefault="00F84CAD">
            <w:pPr>
              <w:jc w:val="both"/>
              <w:rPr>
                <w:b/>
                <w:i/>
                <w:color w:val="FF0000"/>
                <w:lang w:val="fr-BE"/>
              </w:rPr>
            </w:pPr>
            <w:r w:rsidRPr="00C46825">
              <w:rPr>
                <w:b/>
                <w:i/>
                <w:lang w:val="fr-BE"/>
              </w:rPr>
              <w:lastRenderedPageBreak/>
              <w:t>Tableau: r</w:t>
            </w:r>
            <w:r w:rsidRPr="00C46825">
              <w:rPr>
                <w:rFonts w:hint="eastAsia"/>
                <w:b/>
                <w:i/>
                <w:lang w:val="fr-BE"/>
              </w:rPr>
              <w:t>é</w:t>
            </w:r>
            <w:r w:rsidRPr="00C46825">
              <w:rPr>
                <w:b/>
                <w:i/>
                <w:lang w:val="fr-BE"/>
              </w:rPr>
              <w:t>partition relative (en</w:t>
            </w:r>
            <w:r w:rsidR="009674DA" w:rsidRPr="00C46825">
              <w:rPr>
                <w:b/>
                <w:i/>
                <w:lang w:val="fr-BE"/>
              </w:rPr>
              <w:t xml:space="preserve"> </w:t>
            </w:r>
            <w:r w:rsidRPr="00C46825">
              <w:rPr>
                <w:b/>
                <w:i/>
                <w:lang w:val="fr-BE"/>
              </w:rPr>
              <w:t xml:space="preserve">%) des entreprises </w:t>
            </w:r>
            <w:r w:rsidR="004560A8" w:rsidRPr="00C46825">
              <w:rPr>
                <w:b/>
                <w:i/>
                <w:lang w:val="fr-BE"/>
              </w:rPr>
              <w:t>par rapport aux</w:t>
            </w:r>
            <w:r w:rsidRPr="00C46825">
              <w:rPr>
                <w:b/>
                <w:i/>
                <w:lang w:val="fr-BE"/>
              </w:rPr>
              <w:t xml:space="preserve"> r</w:t>
            </w:r>
            <w:r w:rsidRPr="00C46825">
              <w:rPr>
                <w:rFonts w:hint="eastAsia"/>
                <w:b/>
                <w:i/>
                <w:lang w:val="fr-BE"/>
              </w:rPr>
              <w:t>ô</w:t>
            </w:r>
            <w:r w:rsidRPr="00C46825">
              <w:rPr>
                <w:b/>
                <w:i/>
                <w:lang w:val="fr-BE"/>
              </w:rPr>
              <w:t>les dans la cha</w:t>
            </w:r>
            <w:r w:rsidRPr="00C46825">
              <w:rPr>
                <w:rFonts w:hint="eastAsia"/>
                <w:b/>
                <w:i/>
                <w:lang w:val="fr-BE"/>
              </w:rPr>
              <w:t>î</w:t>
            </w:r>
            <w:r w:rsidRPr="00C46825">
              <w:rPr>
                <w:b/>
                <w:i/>
                <w:lang w:val="fr-BE"/>
              </w:rPr>
              <w:t>ne d'approvisionnement, pour les substances</w:t>
            </w:r>
          </w:p>
        </w:tc>
      </w:tr>
      <w:tr w:rsidR="00F84CAD" w14:paraId="476261C0" w14:textId="77777777" w:rsidTr="003C65A3">
        <w:trPr>
          <w:tblHeader/>
        </w:trPr>
        <w:tc>
          <w:tcPr>
            <w:tcW w:w="1551" w:type="dxa"/>
            <w:tcBorders>
              <w:top w:val="single" w:sz="4" w:space="0" w:color="auto"/>
              <w:left w:val="single" w:sz="4" w:space="0" w:color="auto"/>
              <w:bottom w:val="single" w:sz="4" w:space="0" w:color="auto"/>
              <w:right w:val="single" w:sz="4" w:space="0" w:color="auto"/>
            </w:tcBorders>
            <w:hideMark/>
          </w:tcPr>
          <w:p w14:paraId="3AC03D17" w14:textId="65864E1A" w:rsidR="00F84CAD" w:rsidRDefault="00F84CAD" w:rsidP="00F84CAD">
            <w:pPr>
              <w:jc w:val="center"/>
              <w:rPr>
                <w:color w:val="FF0000"/>
                <w:lang w:val="nl-BE"/>
              </w:rPr>
            </w:pPr>
            <w:r w:rsidRPr="00BD15C9">
              <w:rPr>
                <w:lang w:val="fr-FR"/>
              </w:rPr>
              <w:t>Importateur</w:t>
            </w:r>
          </w:p>
        </w:tc>
        <w:tc>
          <w:tcPr>
            <w:tcW w:w="1551" w:type="dxa"/>
            <w:tcBorders>
              <w:top w:val="single" w:sz="4" w:space="0" w:color="auto"/>
              <w:left w:val="single" w:sz="4" w:space="0" w:color="auto"/>
              <w:bottom w:val="single" w:sz="4" w:space="0" w:color="auto"/>
              <w:right w:val="single" w:sz="4" w:space="0" w:color="auto"/>
            </w:tcBorders>
            <w:hideMark/>
          </w:tcPr>
          <w:p w14:paraId="7BF47724" w14:textId="7FE61CC7" w:rsidR="00F84CAD" w:rsidRDefault="00F84CAD" w:rsidP="00F84CAD">
            <w:pPr>
              <w:jc w:val="center"/>
              <w:rPr>
                <w:color w:val="FF0000"/>
                <w:lang w:val="nl-BE"/>
              </w:rPr>
            </w:pPr>
            <w:r w:rsidRPr="00BD15C9">
              <w:rPr>
                <w:lang w:val="fr-FR"/>
              </w:rPr>
              <w:t>Producteur</w:t>
            </w:r>
          </w:p>
        </w:tc>
        <w:tc>
          <w:tcPr>
            <w:tcW w:w="1521" w:type="dxa"/>
            <w:tcBorders>
              <w:top w:val="single" w:sz="4" w:space="0" w:color="auto"/>
              <w:left w:val="single" w:sz="4" w:space="0" w:color="auto"/>
              <w:bottom w:val="single" w:sz="4" w:space="0" w:color="auto"/>
              <w:right w:val="single" w:sz="4" w:space="0" w:color="auto"/>
            </w:tcBorders>
            <w:hideMark/>
          </w:tcPr>
          <w:p w14:paraId="6C8B8D79" w14:textId="07B09A32" w:rsidR="00F84CAD" w:rsidRDefault="00F84CAD" w:rsidP="00F84CAD">
            <w:pPr>
              <w:jc w:val="center"/>
              <w:rPr>
                <w:color w:val="FF0000"/>
                <w:lang w:val="nl-BE"/>
              </w:rPr>
            </w:pPr>
            <w:r w:rsidRPr="00BD15C9">
              <w:rPr>
                <w:lang w:val="fr-FR"/>
              </w:rPr>
              <w:t>Distributeur</w:t>
            </w:r>
          </w:p>
        </w:tc>
        <w:tc>
          <w:tcPr>
            <w:tcW w:w="1636" w:type="dxa"/>
            <w:tcBorders>
              <w:top w:val="single" w:sz="4" w:space="0" w:color="auto"/>
              <w:left w:val="single" w:sz="4" w:space="0" w:color="auto"/>
              <w:bottom w:val="single" w:sz="4" w:space="0" w:color="auto"/>
              <w:right w:val="single" w:sz="4" w:space="0" w:color="auto"/>
            </w:tcBorders>
            <w:hideMark/>
          </w:tcPr>
          <w:p w14:paraId="40BF3C4A" w14:textId="44A89EE5" w:rsidR="00F84CAD" w:rsidRDefault="00F84CAD" w:rsidP="00F84CAD">
            <w:pPr>
              <w:jc w:val="center"/>
              <w:rPr>
                <w:color w:val="FF0000"/>
                <w:lang w:val="nl-BE"/>
              </w:rPr>
            </w:pPr>
            <w:r w:rsidRPr="00BD15C9">
              <w:rPr>
                <w:lang w:val="fr-FR"/>
              </w:rPr>
              <w:t>Formulateur</w:t>
            </w:r>
          </w:p>
        </w:tc>
        <w:tc>
          <w:tcPr>
            <w:tcW w:w="1709" w:type="dxa"/>
            <w:tcBorders>
              <w:top w:val="single" w:sz="4" w:space="0" w:color="auto"/>
              <w:left w:val="single" w:sz="4" w:space="0" w:color="auto"/>
              <w:bottom w:val="single" w:sz="4" w:space="0" w:color="auto"/>
              <w:right w:val="single" w:sz="4" w:space="0" w:color="auto"/>
            </w:tcBorders>
            <w:hideMark/>
          </w:tcPr>
          <w:p w14:paraId="0378BAED" w14:textId="40552BD5" w:rsidR="00F84CAD" w:rsidRDefault="00F84CAD" w:rsidP="00F84CAD">
            <w:pPr>
              <w:jc w:val="center"/>
              <w:rPr>
                <w:color w:val="FF0000"/>
                <w:lang w:val="nl-BE"/>
              </w:rPr>
            </w:pPr>
            <w:proofErr w:type="spellStart"/>
            <w:r w:rsidRPr="00BD15C9">
              <w:rPr>
                <w:lang w:val="fr-FR"/>
              </w:rPr>
              <w:t>Reconditionneur</w:t>
            </w:r>
            <w:proofErr w:type="spellEnd"/>
            <w:r w:rsidRPr="00BD15C9">
              <w:rPr>
                <w:lang w:val="fr-FR"/>
              </w:rPr>
              <w:t xml:space="preserve">  </w:t>
            </w:r>
          </w:p>
        </w:tc>
        <w:tc>
          <w:tcPr>
            <w:tcW w:w="1382" w:type="dxa"/>
            <w:tcBorders>
              <w:top w:val="single" w:sz="4" w:space="0" w:color="auto"/>
              <w:left w:val="single" w:sz="4" w:space="0" w:color="auto"/>
              <w:bottom w:val="single" w:sz="4" w:space="0" w:color="auto"/>
              <w:right w:val="single" w:sz="4" w:space="0" w:color="auto"/>
            </w:tcBorders>
            <w:hideMark/>
          </w:tcPr>
          <w:p w14:paraId="49A7D9FC" w14:textId="1706B799" w:rsidR="00F84CAD" w:rsidRDefault="00F84CAD" w:rsidP="00F84CAD">
            <w:pPr>
              <w:jc w:val="center"/>
              <w:rPr>
                <w:color w:val="FF0000"/>
                <w:lang w:val="nl-BE"/>
              </w:rPr>
            </w:pPr>
            <w:r w:rsidRPr="00BD15C9">
              <w:rPr>
                <w:lang w:val="fr-FR"/>
              </w:rPr>
              <w:t>Autre</w:t>
            </w:r>
          </w:p>
        </w:tc>
      </w:tr>
      <w:tr w:rsidR="003C65A3" w14:paraId="0B38279A" w14:textId="77777777" w:rsidTr="003C65A3">
        <w:tc>
          <w:tcPr>
            <w:tcW w:w="1551" w:type="dxa"/>
            <w:tcBorders>
              <w:top w:val="single" w:sz="4" w:space="0" w:color="auto"/>
              <w:left w:val="single" w:sz="4" w:space="0" w:color="auto"/>
              <w:bottom w:val="single" w:sz="4" w:space="0" w:color="auto"/>
              <w:right w:val="single" w:sz="4" w:space="0" w:color="auto"/>
            </w:tcBorders>
            <w:hideMark/>
          </w:tcPr>
          <w:p w14:paraId="244CEE59" w14:textId="4FBB6AFB" w:rsidR="003C65A3" w:rsidRDefault="003C65A3" w:rsidP="003C65A3">
            <w:pPr>
              <w:jc w:val="center"/>
              <w:rPr>
                <w:color w:val="FF0000"/>
                <w:lang w:val="nl-BE"/>
              </w:rPr>
            </w:pPr>
            <w:r>
              <w:rPr>
                <w:color w:val="FF0000"/>
                <w:lang w:val="nl-BE"/>
              </w:rPr>
              <w:t>41,54</w:t>
            </w:r>
          </w:p>
        </w:tc>
        <w:tc>
          <w:tcPr>
            <w:tcW w:w="1551" w:type="dxa"/>
            <w:tcBorders>
              <w:top w:val="single" w:sz="4" w:space="0" w:color="auto"/>
              <w:left w:val="single" w:sz="4" w:space="0" w:color="auto"/>
              <w:bottom w:val="single" w:sz="4" w:space="0" w:color="auto"/>
              <w:right w:val="single" w:sz="4" w:space="0" w:color="auto"/>
            </w:tcBorders>
            <w:hideMark/>
          </w:tcPr>
          <w:p w14:paraId="36609FE1" w14:textId="08D3DD14" w:rsidR="003C65A3" w:rsidRDefault="003C65A3" w:rsidP="003C65A3">
            <w:pPr>
              <w:jc w:val="center"/>
              <w:rPr>
                <w:color w:val="FF0000"/>
                <w:lang w:val="nl-BE"/>
              </w:rPr>
            </w:pPr>
            <w:r>
              <w:rPr>
                <w:color w:val="FF0000"/>
                <w:lang w:val="nl-BE"/>
              </w:rPr>
              <w:t>18,46</w:t>
            </w:r>
          </w:p>
        </w:tc>
        <w:tc>
          <w:tcPr>
            <w:tcW w:w="1521" w:type="dxa"/>
            <w:tcBorders>
              <w:top w:val="single" w:sz="4" w:space="0" w:color="auto"/>
              <w:left w:val="single" w:sz="4" w:space="0" w:color="auto"/>
              <w:bottom w:val="single" w:sz="4" w:space="0" w:color="auto"/>
              <w:right w:val="single" w:sz="4" w:space="0" w:color="auto"/>
            </w:tcBorders>
            <w:hideMark/>
          </w:tcPr>
          <w:p w14:paraId="33E24285" w14:textId="42D4F73F" w:rsidR="003C65A3" w:rsidRDefault="003C65A3" w:rsidP="003C65A3">
            <w:pPr>
              <w:jc w:val="center"/>
              <w:rPr>
                <w:color w:val="FF0000"/>
                <w:lang w:val="nl-BE"/>
              </w:rPr>
            </w:pPr>
            <w:r>
              <w:rPr>
                <w:color w:val="FF0000"/>
                <w:lang w:val="nl-NL"/>
              </w:rPr>
              <w:t>26,15</w:t>
            </w:r>
          </w:p>
        </w:tc>
        <w:tc>
          <w:tcPr>
            <w:tcW w:w="1636" w:type="dxa"/>
            <w:tcBorders>
              <w:top w:val="single" w:sz="4" w:space="0" w:color="auto"/>
              <w:left w:val="single" w:sz="4" w:space="0" w:color="auto"/>
              <w:bottom w:val="single" w:sz="4" w:space="0" w:color="auto"/>
              <w:right w:val="single" w:sz="4" w:space="0" w:color="auto"/>
            </w:tcBorders>
            <w:hideMark/>
          </w:tcPr>
          <w:p w14:paraId="0A1EC29C" w14:textId="7F1E0174" w:rsidR="003C65A3" w:rsidRDefault="003C65A3" w:rsidP="003C65A3">
            <w:pPr>
              <w:jc w:val="center"/>
              <w:rPr>
                <w:color w:val="FF0000"/>
                <w:lang w:val="nl-BE"/>
              </w:rPr>
            </w:pPr>
            <w:r>
              <w:rPr>
                <w:color w:val="FF0000"/>
                <w:lang w:val="nl-BE"/>
              </w:rPr>
              <w:t>13,85</w:t>
            </w:r>
          </w:p>
        </w:tc>
        <w:tc>
          <w:tcPr>
            <w:tcW w:w="1709" w:type="dxa"/>
            <w:tcBorders>
              <w:top w:val="single" w:sz="4" w:space="0" w:color="auto"/>
              <w:left w:val="single" w:sz="4" w:space="0" w:color="auto"/>
              <w:bottom w:val="single" w:sz="4" w:space="0" w:color="auto"/>
              <w:right w:val="single" w:sz="4" w:space="0" w:color="auto"/>
            </w:tcBorders>
            <w:hideMark/>
          </w:tcPr>
          <w:p w14:paraId="591C896D" w14:textId="77777777" w:rsidR="003C65A3" w:rsidRDefault="003C65A3" w:rsidP="003C65A3">
            <w:pPr>
              <w:jc w:val="center"/>
              <w:rPr>
                <w:color w:val="FF0000"/>
                <w:lang w:val="nl-BE"/>
              </w:rPr>
            </w:pPr>
            <w:r>
              <w:rPr>
                <w:color w:val="FF0000"/>
                <w:lang w:val="nl-BE"/>
              </w:rPr>
              <w:t>0</w:t>
            </w:r>
          </w:p>
        </w:tc>
        <w:tc>
          <w:tcPr>
            <w:tcW w:w="1382" w:type="dxa"/>
            <w:tcBorders>
              <w:top w:val="single" w:sz="4" w:space="0" w:color="auto"/>
              <w:left w:val="single" w:sz="4" w:space="0" w:color="auto"/>
              <w:bottom w:val="single" w:sz="4" w:space="0" w:color="auto"/>
              <w:right w:val="single" w:sz="4" w:space="0" w:color="auto"/>
            </w:tcBorders>
            <w:hideMark/>
          </w:tcPr>
          <w:p w14:paraId="36D101A0" w14:textId="3D2AA99D" w:rsidR="003C65A3" w:rsidRDefault="003C65A3" w:rsidP="003C65A3">
            <w:pPr>
              <w:jc w:val="center"/>
              <w:rPr>
                <w:color w:val="FF0000"/>
                <w:lang w:val="nl-BE"/>
              </w:rPr>
            </w:pPr>
            <w:r>
              <w:rPr>
                <w:color w:val="FF0000"/>
                <w:lang w:val="nl-BE"/>
              </w:rPr>
              <w:t>0</w:t>
            </w:r>
          </w:p>
        </w:tc>
      </w:tr>
    </w:tbl>
    <w:p w14:paraId="7E0BEA4A" w14:textId="1AFC6468" w:rsidR="00F84CAD" w:rsidRDefault="00F84CAD" w:rsidP="00597E75">
      <w:pPr>
        <w:jc w:val="both"/>
        <w:rPr>
          <w:lang w:val="fr-FR"/>
        </w:rPr>
      </w:pPr>
    </w:p>
    <w:p w14:paraId="475E0FA7" w14:textId="46DDF3E5" w:rsidR="008D225E" w:rsidRPr="00DB322C" w:rsidRDefault="00873C4B" w:rsidP="00DB322C">
      <w:pPr>
        <w:jc w:val="center"/>
        <w:rPr>
          <w:lang w:val="fr-FR"/>
        </w:rPr>
      </w:pPr>
      <w:r>
        <w:rPr>
          <w:noProof/>
        </w:rPr>
        <w:drawing>
          <wp:inline distT="0" distB="0" distL="0" distR="0" wp14:anchorId="17DC3081" wp14:editId="753D8406">
            <wp:extent cx="4572000" cy="2743200"/>
            <wp:effectExtent l="0" t="0" r="0" b="0"/>
            <wp:docPr id="30" name="Chart 30">
              <a:extLst xmlns:a="http://schemas.openxmlformats.org/drawingml/2006/main">
                <a:ext uri="{FF2B5EF4-FFF2-40B4-BE49-F238E27FC236}">
                  <a16:creationId xmlns:a16="http://schemas.microsoft.com/office/drawing/2014/main" id="{C126824A-F962-4E75-A880-5C5213953F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6A1B6B6" w14:textId="27EC3C06" w:rsidR="00F84CAD" w:rsidRDefault="008D225E" w:rsidP="00384923">
      <w:pPr>
        <w:pStyle w:val="Lgende"/>
        <w:jc w:val="center"/>
        <w:rPr>
          <w:lang w:val="fr-FR"/>
        </w:rPr>
      </w:pPr>
      <w:r w:rsidRPr="00B76985">
        <w:rPr>
          <w:lang w:val="fr-BE"/>
        </w:rPr>
        <w:t xml:space="preserve">Figure </w:t>
      </w:r>
      <w:r>
        <w:fldChar w:fldCharType="begin"/>
      </w:r>
      <w:r w:rsidRPr="00B76985">
        <w:rPr>
          <w:lang w:val="fr-BE"/>
        </w:rPr>
        <w:instrText xml:space="preserve"> SEQ Figure \* ARABIC </w:instrText>
      </w:r>
      <w:r>
        <w:fldChar w:fldCharType="separate"/>
      </w:r>
      <w:r w:rsidR="00384923">
        <w:rPr>
          <w:noProof/>
          <w:lang w:val="fr-BE"/>
        </w:rPr>
        <w:t>2</w:t>
      </w:r>
      <w:r>
        <w:fldChar w:fldCharType="end"/>
      </w:r>
      <w:r w:rsidRPr="00B76985">
        <w:rPr>
          <w:lang w:val="fr-BE"/>
        </w:rPr>
        <w:t>: répartition relative (en</w:t>
      </w:r>
      <w:r w:rsidR="009674DA">
        <w:rPr>
          <w:lang w:val="fr-BE"/>
        </w:rPr>
        <w:t xml:space="preserve"> </w:t>
      </w:r>
      <w:r w:rsidRPr="00B76985">
        <w:rPr>
          <w:lang w:val="fr-BE"/>
        </w:rPr>
        <w:t>%) des entreprises par rapport aux rôles dans la chaîne d'approvisionnement, pour les substances</w:t>
      </w:r>
    </w:p>
    <w:p w14:paraId="7F519850" w14:textId="74DB4768" w:rsidR="00F84CAD" w:rsidRPr="00B76985" w:rsidRDefault="00F84CAD" w:rsidP="00597E75">
      <w:pPr>
        <w:jc w:val="both"/>
        <w:rPr>
          <w:lang w:val="fr-FR"/>
        </w:rPr>
      </w:pPr>
      <w:r w:rsidRPr="00B76985">
        <w:rPr>
          <w:lang w:val="fr-BE"/>
        </w:rPr>
        <w:br/>
      </w:r>
      <w:r w:rsidR="00DB48F4">
        <w:rPr>
          <w:lang w:val="fr-FR"/>
        </w:rPr>
        <w:t>La répartition</w:t>
      </w:r>
      <w:r w:rsidRPr="00B76985">
        <w:rPr>
          <w:lang w:val="fr-FR"/>
        </w:rPr>
        <w:t xml:space="preserve"> pour les substances</w:t>
      </w:r>
      <w:r w:rsidR="00DB48F4" w:rsidRPr="00DB48F4">
        <w:rPr>
          <w:lang w:val="fr-FR"/>
        </w:rPr>
        <w:t xml:space="preserve"> est similaire à celle</w:t>
      </w:r>
      <w:r w:rsidRPr="00B76985">
        <w:rPr>
          <w:lang w:val="fr-FR"/>
        </w:rPr>
        <w:t xml:space="preserve"> de </w:t>
      </w:r>
      <w:r w:rsidR="009674DA">
        <w:rPr>
          <w:lang w:val="fr-FR"/>
        </w:rPr>
        <w:t>201</w:t>
      </w:r>
      <w:r w:rsidR="00873C4B">
        <w:rPr>
          <w:lang w:val="fr-FR"/>
        </w:rPr>
        <w:t>9.</w:t>
      </w:r>
      <w:r w:rsidR="002E77D2">
        <w:rPr>
          <w:lang w:val="fr-FR"/>
        </w:rPr>
        <w:t xml:space="preserve"> </w:t>
      </w:r>
    </w:p>
    <w:p w14:paraId="7F8ED0BA" w14:textId="078BE8F2" w:rsidR="00F84CAD" w:rsidRPr="00B76985" w:rsidRDefault="00F84CAD" w:rsidP="00597E75">
      <w:pPr>
        <w:jc w:val="both"/>
        <w:rPr>
          <w:lang w:val="fr-FR"/>
        </w:rPr>
      </w:pPr>
      <w:r w:rsidRPr="00B76985">
        <w:rPr>
          <w:lang w:val="fr-FR"/>
        </w:rPr>
        <w:t>Uniquement mélanges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1551"/>
        <w:gridCol w:w="1521"/>
        <w:gridCol w:w="1636"/>
        <w:gridCol w:w="1709"/>
        <w:gridCol w:w="1382"/>
      </w:tblGrid>
      <w:tr w:rsidR="00F84CAD" w:rsidRPr="007F1FE2" w14:paraId="24977383" w14:textId="77777777" w:rsidTr="00F84CAD">
        <w:trPr>
          <w:tblHeader/>
        </w:trPr>
        <w:tc>
          <w:tcPr>
            <w:tcW w:w="9350" w:type="dxa"/>
            <w:gridSpan w:val="6"/>
            <w:tcBorders>
              <w:top w:val="single" w:sz="4" w:space="0" w:color="auto"/>
              <w:left w:val="single" w:sz="4" w:space="0" w:color="auto"/>
              <w:bottom w:val="single" w:sz="4" w:space="0" w:color="auto"/>
              <w:right w:val="single" w:sz="4" w:space="0" w:color="auto"/>
            </w:tcBorders>
            <w:hideMark/>
          </w:tcPr>
          <w:p w14:paraId="43FB8E86" w14:textId="5006B5EF" w:rsidR="00F84CAD" w:rsidRPr="00B76985" w:rsidRDefault="00F84CAD" w:rsidP="00F84CAD">
            <w:pPr>
              <w:jc w:val="both"/>
              <w:rPr>
                <w:rFonts w:ascii="inherit" w:eastAsia="Times New Roman" w:hAnsi="inherit" w:cs="Courier New"/>
                <w:color w:val="212121"/>
                <w:sz w:val="20"/>
                <w:szCs w:val="20"/>
                <w:lang w:val="fr-BE" w:eastAsia="en-GB"/>
              </w:rPr>
            </w:pPr>
            <w:r w:rsidRPr="00C46825">
              <w:rPr>
                <w:b/>
                <w:i/>
                <w:lang w:val="fr-BE"/>
              </w:rPr>
              <w:t>Tableau: r</w:t>
            </w:r>
            <w:r w:rsidRPr="00C46825">
              <w:rPr>
                <w:rFonts w:hint="eastAsia"/>
                <w:b/>
                <w:i/>
                <w:lang w:val="fr-BE"/>
              </w:rPr>
              <w:t>é</w:t>
            </w:r>
            <w:r w:rsidRPr="00C46825">
              <w:rPr>
                <w:b/>
                <w:i/>
                <w:lang w:val="fr-BE"/>
              </w:rPr>
              <w:t>partition relative (en</w:t>
            </w:r>
            <w:r w:rsidR="00B52C57" w:rsidRPr="00C46825">
              <w:rPr>
                <w:b/>
                <w:i/>
                <w:lang w:val="fr-BE"/>
              </w:rPr>
              <w:t xml:space="preserve"> </w:t>
            </w:r>
            <w:r w:rsidRPr="00C46825">
              <w:rPr>
                <w:b/>
                <w:i/>
                <w:lang w:val="fr-BE"/>
              </w:rPr>
              <w:t>%) des entreprises par rapport aux r</w:t>
            </w:r>
            <w:r w:rsidRPr="00C46825">
              <w:rPr>
                <w:rFonts w:hint="eastAsia"/>
                <w:b/>
                <w:i/>
                <w:lang w:val="fr-BE"/>
              </w:rPr>
              <w:t>ô</w:t>
            </w:r>
            <w:r w:rsidRPr="00C46825">
              <w:rPr>
                <w:b/>
                <w:i/>
                <w:lang w:val="fr-BE"/>
              </w:rPr>
              <w:t>les dans la cha</w:t>
            </w:r>
            <w:r w:rsidRPr="00C46825">
              <w:rPr>
                <w:rFonts w:hint="eastAsia"/>
                <w:b/>
                <w:i/>
                <w:lang w:val="fr-BE"/>
              </w:rPr>
              <w:t>î</w:t>
            </w:r>
            <w:r w:rsidRPr="00C46825">
              <w:rPr>
                <w:b/>
                <w:i/>
                <w:lang w:val="fr-BE"/>
              </w:rPr>
              <w:t>ne d'approvisionnement, pour les m</w:t>
            </w:r>
            <w:r w:rsidRPr="00C46825">
              <w:rPr>
                <w:rFonts w:hint="eastAsia"/>
                <w:b/>
                <w:i/>
                <w:lang w:val="fr-BE"/>
              </w:rPr>
              <w:t>é</w:t>
            </w:r>
            <w:r w:rsidRPr="00C46825">
              <w:rPr>
                <w:b/>
                <w:i/>
                <w:lang w:val="fr-BE"/>
              </w:rPr>
              <w:t>langes</w:t>
            </w:r>
          </w:p>
        </w:tc>
      </w:tr>
      <w:tr w:rsidR="00F84CAD" w14:paraId="1CDCC1C6" w14:textId="77777777" w:rsidTr="00873C4B">
        <w:trPr>
          <w:tblHeader/>
        </w:trPr>
        <w:tc>
          <w:tcPr>
            <w:tcW w:w="1551" w:type="dxa"/>
            <w:tcBorders>
              <w:top w:val="single" w:sz="4" w:space="0" w:color="auto"/>
              <w:left w:val="single" w:sz="4" w:space="0" w:color="auto"/>
              <w:bottom w:val="single" w:sz="4" w:space="0" w:color="auto"/>
              <w:right w:val="single" w:sz="4" w:space="0" w:color="auto"/>
            </w:tcBorders>
            <w:hideMark/>
          </w:tcPr>
          <w:p w14:paraId="61373158" w14:textId="0388E8A6" w:rsidR="00F84CAD" w:rsidRDefault="00F84CAD" w:rsidP="00F84CAD">
            <w:pPr>
              <w:jc w:val="center"/>
              <w:rPr>
                <w:color w:val="FF0000"/>
                <w:lang w:val="nl-BE"/>
              </w:rPr>
            </w:pPr>
            <w:r w:rsidRPr="00BD15C9">
              <w:rPr>
                <w:lang w:val="fr-FR"/>
              </w:rPr>
              <w:t>Importateur</w:t>
            </w:r>
          </w:p>
        </w:tc>
        <w:tc>
          <w:tcPr>
            <w:tcW w:w="1551" w:type="dxa"/>
            <w:tcBorders>
              <w:top w:val="single" w:sz="4" w:space="0" w:color="auto"/>
              <w:left w:val="single" w:sz="4" w:space="0" w:color="auto"/>
              <w:bottom w:val="single" w:sz="4" w:space="0" w:color="auto"/>
              <w:right w:val="single" w:sz="4" w:space="0" w:color="auto"/>
            </w:tcBorders>
            <w:hideMark/>
          </w:tcPr>
          <w:p w14:paraId="1D6CE51F" w14:textId="7AFC7542" w:rsidR="00F84CAD" w:rsidRDefault="00F84CAD" w:rsidP="00F84CAD">
            <w:pPr>
              <w:jc w:val="center"/>
              <w:rPr>
                <w:color w:val="FF0000"/>
                <w:lang w:val="nl-BE"/>
              </w:rPr>
            </w:pPr>
            <w:r w:rsidRPr="00BD15C9">
              <w:rPr>
                <w:lang w:val="fr-FR"/>
              </w:rPr>
              <w:t>Producteur</w:t>
            </w:r>
          </w:p>
        </w:tc>
        <w:tc>
          <w:tcPr>
            <w:tcW w:w="1521" w:type="dxa"/>
            <w:tcBorders>
              <w:top w:val="single" w:sz="4" w:space="0" w:color="auto"/>
              <w:left w:val="single" w:sz="4" w:space="0" w:color="auto"/>
              <w:bottom w:val="single" w:sz="4" w:space="0" w:color="auto"/>
              <w:right w:val="single" w:sz="4" w:space="0" w:color="auto"/>
            </w:tcBorders>
            <w:hideMark/>
          </w:tcPr>
          <w:p w14:paraId="759E9C2B" w14:textId="16EF1AC9" w:rsidR="00F84CAD" w:rsidRDefault="00F84CAD" w:rsidP="00F84CAD">
            <w:pPr>
              <w:jc w:val="center"/>
              <w:rPr>
                <w:color w:val="FF0000"/>
                <w:lang w:val="nl-BE"/>
              </w:rPr>
            </w:pPr>
            <w:r w:rsidRPr="00BD15C9">
              <w:rPr>
                <w:lang w:val="fr-FR"/>
              </w:rPr>
              <w:t>Distributeur</w:t>
            </w:r>
          </w:p>
        </w:tc>
        <w:tc>
          <w:tcPr>
            <w:tcW w:w="1636" w:type="dxa"/>
            <w:tcBorders>
              <w:top w:val="single" w:sz="4" w:space="0" w:color="auto"/>
              <w:left w:val="single" w:sz="4" w:space="0" w:color="auto"/>
              <w:bottom w:val="single" w:sz="4" w:space="0" w:color="auto"/>
              <w:right w:val="single" w:sz="4" w:space="0" w:color="auto"/>
            </w:tcBorders>
            <w:hideMark/>
          </w:tcPr>
          <w:p w14:paraId="60DA0984" w14:textId="46794343" w:rsidR="00F84CAD" w:rsidRDefault="00F84CAD" w:rsidP="00F84CAD">
            <w:pPr>
              <w:jc w:val="center"/>
              <w:rPr>
                <w:color w:val="FF0000"/>
                <w:lang w:val="nl-BE"/>
              </w:rPr>
            </w:pPr>
            <w:r w:rsidRPr="00BD15C9">
              <w:rPr>
                <w:lang w:val="fr-FR"/>
              </w:rPr>
              <w:t>Formulateur</w:t>
            </w:r>
          </w:p>
        </w:tc>
        <w:tc>
          <w:tcPr>
            <w:tcW w:w="1709" w:type="dxa"/>
            <w:tcBorders>
              <w:top w:val="single" w:sz="4" w:space="0" w:color="auto"/>
              <w:left w:val="single" w:sz="4" w:space="0" w:color="auto"/>
              <w:bottom w:val="single" w:sz="4" w:space="0" w:color="auto"/>
              <w:right w:val="single" w:sz="4" w:space="0" w:color="auto"/>
            </w:tcBorders>
            <w:hideMark/>
          </w:tcPr>
          <w:p w14:paraId="27ABFC60" w14:textId="2EE3BCAA" w:rsidR="00F84CAD" w:rsidRDefault="00F84CAD" w:rsidP="00F84CAD">
            <w:pPr>
              <w:jc w:val="center"/>
              <w:rPr>
                <w:color w:val="FF0000"/>
                <w:lang w:val="nl-BE"/>
              </w:rPr>
            </w:pPr>
            <w:proofErr w:type="spellStart"/>
            <w:r w:rsidRPr="00BD15C9">
              <w:rPr>
                <w:lang w:val="fr-FR"/>
              </w:rPr>
              <w:t>Reconditionneur</w:t>
            </w:r>
            <w:proofErr w:type="spellEnd"/>
            <w:r w:rsidRPr="00BD15C9">
              <w:rPr>
                <w:lang w:val="fr-FR"/>
              </w:rPr>
              <w:t xml:space="preserve">  </w:t>
            </w:r>
          </w:p>
        </w:tc>
        <w:tc>
          <w:tcPr>
            <w:tcW w:w="1382" w:type="dxa"/>
            <w:tcBorders>
              <w:top w:val="single" w:sz="4" w:space="0" w:color="auto"/>
              <w:left w:val="single" w:sz="4" w:space="0" w:color="auto"/>
              <w:bottom w:val="single" w:sz="4" w:space="0" w:color="auto"/>
              <w:right w:val="single" w:sz="4" w:space="0" w:color="auto"/>
            </w:tcBorders>
            <w:hideMark/>
          </w:tcPr>
          <w:p w14:paraId="0BFDA62D" w14:textId="5B19EF00" w:rsidR="00F84CAD" w:rsidRDefault="00F84CAD" w:rsidP="00F84CAD">
            <w:pPr>
              <w:jc w:val="center"/>
              <w:rPr>
                <w:color w:val="FF0000"/>
                <w:lang w:val="nl-BE"/>
              </w:rPr>
            </w:pPr>
            <w:r w:rsidRPr="00BD15C9">
              <w:rPr>
                <w:lang w:val="fr-FR"/>
              </w:rPr>
              <w:t>Autre</w:t>
            </w:r>
          </w:p>
        </w:tc>
      </w:tr>
      <w:tr w:rsidR="00873C4B" w14:paraId="2B5596B8" w14:textId="77777777" w:rsidTr="00873C4B">
        <w:tc>
          <w:tcPr>
            <w:tcW w:w="1551" w:type="dxa"/>
            <w:tcBorders>
              <w:top w:val="single" w:sz="4" w:space="0" w:color="auto"/>
              <w:left w:val="single" w:sz="4" w:space="0" w:color="auto"/>
              <w:bottom w:val="single" w:sz="4" w:space="0" w:color="auto"/>
              <w:right w:val="single" w:sz="4" w:space="0" w:color="auto"/>
            </w:tcBorders>
            <w:hideMark/>
          </w:tcPr>
          <w:p w14:paraId="5C028FF6" w14:textId="1B4F44D0" w:rsidR="00873C4B" w:rsidRDefault="00873C4B" w:rsidP="00873C4B">
            <w:pPr>
              <w:jc w:val="center"/>
              <w:rPr>
                <w:color w:val="FF0000"/>
                <w:lang w:val="nl-BE"/>
              </w:rPr>
            </w:pPr>
            <w:r>
              <w:rPr>
                <w:color w:val="FF0000"/>
                <w:lang w:val="nl-BE"/>
              </w:rPr>
              <w:t>34,48</w:t>
            </w:r>
          </w:p>
        </w:tc>
        <w:tc>
          <w:tcPr>
            <w:tcW w:w="1551" w:type="dxa"/>
            <w:tcBorders>
              <w:top w:val="single" w:sz="4" w:space="0" w:color="auto"/>
              <w:left w:val="single" w:sz="4" w:space="0" w:color="auto"/>
              <w:bottom w:val="single" w:sz="4" w:space="0" w:color="auto"/>
              <w:right w:val="single" w:sz="4" w:space="0" w:color="auto"/>
            </w:tcBorders>
            <w:hideMark/>
          </w:tcPr>
          <w:p w14:paraId="6959B1B2" w14:textId="4B0FA5EB" w:rsidR="00873C4B" w:rsidRDefault="00873C4B" w:rsidP="00873C4B">
            <w:pPr>
              <w:jc w:val="center"/>
              <w:rPr>
                <w:color w:val="FF0000"/>
                <w:lang w:val="nl-BE"/>
              </w:rPr>
            </w:pPr>
            <w:r>
              <w:rPr>
                <w:color w:val="FF0000"/>
                <w:lang w:val="nl-BE"/>
              </w:rPr>
              <w:t>18,97</w:t>
            </w:r>
          </w:p>
        </w:tc>
        <w:tc>
          <w:tcPr>
            <w:tcW w:w="1521" w:type="dxa"/>
            <w:tcBorders>
              <w:top w:val="single" w:sz="4" w:space="0" w:color="auto"/>
              <w:left w:val="single" w:sz="4" w:space="0" w:color="auto"/>
              <w:bottom w:val="single" w:sz="4" w:space="0" w:color="auto"/>
              <w:right w:val="single" w:sz="4" w:space="0" w:color="auto"/>
            </w:tcBorders>
            <w:hideMark/>
          </w:tcPr>
          <w:p w14:paraId="3102F7FF" w14:textId="325D17B7" w:rsidR="00873C4B" w:rsidRDefault="00873C4B" w:rsidP="00873C4B">
            <w:pPr>
              <w:jc w:val="center"/>
              <w:rPr>
                <w:color w:val="FF0000"/>
                <w:lang w:val="nl-BE"/>
              </w:rPr>
            </w:pPr>
            <w:r>
              <w:rPr>
                <w:color w:val="FF0000"/>
                <w:lang w:val="nl-NL"/>
              </w:rPr>
              <w:t>25,86</w:t>
            </w:r>
          </w:p>
        </w:tc>
        <w:tc>
          <w:tcPr>
            <w:tcW w:w="1636" w:type="dxa"/>
            <w:tcBorders>
              <w:top w:val="single" w:sz="4" w:space="0" w:color="auto"/>
              <w:left w:val="single" w:sz="4" w:space="0" w:color="auto"/>
              <w:bottom w:val="single" w:sz="4" w:space="0" w:color="auto"/>
              <w:right w:val="single" w:sz="4" w:space="0" w:color="auto"/>
            </w:tcBorders>
            <w:hideMark/>
          </w:tcPr>
          <w:p w14:paraId="59F0AE8D" w14:textId="38639E2C" w:rsidR="00873C4B" w:rsidRDefault="00873C4B" w:rsidP="00873C4B">
            <w:pPr>
              <w:jc w:val="center"/>
              <w:rPr>
                <w:color w:val="FF0000"/>
                <w:lang w:val="nl-BE"/>
              </w:rPr>
            </w:pPr>
            <w:r>
              <w:rPr>
                <w:color w:val="FF0000"/>
                <w:lang w:val="nl-BE"/>
              </w:rPr>
              <w:t>17,24</w:t>
            </w:r>
          </w:p>
        </w:tc>
        <w:tc>
          <w:tcPr>
            <w:tcW w:w="1709" w:type="dxa"/>
            <w:tcBorders>
              <w:top w:val="single" w:sz="4" w:space="0" w:color="auto"/>
              <w:left w:val="single" w:sz="4" w:space="0" w:color="auto"/>
              <w:bottom w:val="single" w:sz="4" w:space="0" w:color="auto"/>
              <w:right w:val="single" w:sz="4" w:space="0" w:color="auto"/>
            </w:tcBorders>
            <w:hideMark/>
          </w:tcPr>
          <w:p w14:paraId="01654AEB" w14:textId="77777777" w:rsidR="00873C4B" w:rsidRDefault="00873C4B" w:rsidP="00873C4B">
            <w:pPr>
              <w:jc w:val="center"/>
              <w:rPr>
                <w:color w:val="FF0000"/>
                <w:lang w:val="nl-BE"/>
              </w:rPr>
            </w:pPr>
            <w:r>
              <w:rPr>
                <w:color w:val="FF0000"/>
                <w:lang w:val="nl-BE"/>
              </w:rPr>
              <w:t>0</w:t>
            </w:r>
          </w:p>
        </w:tc>
        <w:tc>
          <w:tcPr>
            <w:tcW w:w="1382" w:type="dxa"/>
            <w:tcBorders>
              <w:top w:val="single" w:sz="4" w:space="0" w:color="auto"/>
              <w:left w:val="single" w:sz="4" w:space="0" w:color="auto"/>
              <w:bottom w:val="single" w:sz="4" w:space="0" w:color="auto"/>
              <w:right w:val="single" w:sz="4" w:space="0" w:color="auto"/>
            </w:tcBorders>
            <w:hideMark/>
          </w:tcPr>
          <w:p w14:paraId="25F7B7DE" w14:textId="60B7DDE4" w:rsidR="00873C4B" w:rsidRDefault="00873C4B" w:rsidP="00873C4B">
            <w:pPr>
              <w:jc w:val="center"/>
              <w:rPr>
                <w:color w:val="FF0000"/>
                <w:lang w:val="nl-BE"/>
              </w:rPr>
            </w:pPr>
            <w:r>
              <w:rPr>
                <w:color w:val="FF0000"/>
                <w:lang w:val="nl-BE"/>
              </w:rPr>
              <w:t>3,45</w:t>
            </w:r>
          </w:p>
        </w:tc>
      </w:tr>
    </w:tbl>
    <w:p w14:paraId="1D7453C6" w14:textId="785B1635" w:rsidR="00F84CAD" w:rsidRDefault="00F84CAD" w:rsidP="00597E75">
      <w:pPr>
        <w:jc w:val="both"/>
        <w:rPr>
          <w:lang w:val="fr-BE"/>
        </w:rPr>
      </w:pPr>
    </w:p>
    <w:p w14:paraId="79AFA454" w14:textId="08C860DA" w:rsidR="008D225E" w:rsidRDefault="00873C4B" w:rsidP="00DB322C">
      <w:pPr>
        <w:jc w:val="center"/>
      </w:pPr>
      <w:r>
        <w:rPr>
          <w:noProof/>
        </w:rPr>
        <w:lastRenderedPageBreak/>
        <w:drawing>
          <wp:inline distT="0" distB="0" distL="0" distR="0" wp14:anchorId="3338D032" wp14:editId="2597D80C">
            <wp:extent cx="4572000" cy="2743200"/>
            <wp:effectExtent l="0" t="0" r="0" b="0"/>
            <wp:docPr id="32" name="Chart 32">
              <a:extLst xmlns:a="http://schemas.openxmlformats.org/drawingml/2006/main">
                <a:ext uri="{FF2B5EF4-FFF2-40B4-BE49-F238E27FC236}">
                  <a16:creationId xmlns:a16="http://schemas.microsoft.com/office/drawing/2014/main" id="{C7A5EEFA-D6E9-4EE8-A4EA-D4A52231D2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2403309" w14:textId="6E5CFC68" w:rsidR="008D225E" w:rsidRPr="00B76985" w:rsidRDefault="008D225E" w:rsidP="00384923">
      <w:pPr>
        <w:pStyle w:val="Lgende"/>
        <w:jc w:val="center"/>
        <w:rPr>
          <w:lang w:val="fr-BE"/>
        </w:rPr>
      </w:pPr>
      <w:r w:rsidRPr="00B76985">
        <w:rPr>
          <w:lang w:val="fr-BE"/>
        </w:rPr>
        <w:t xml:space="preserve">Figure </w:t>
      </w:r>
      <w:r>
        <w:fldChar w:fldCharType="begin"/>
      </w:r>
      <w:r w:rsidRPr="00B76985">
        <w:rPr>
          <w:lang w:val="fr-BE"/>
        </w:rPr>
        <w:instrText xml:space="preserve"> SEQ Figure \* ARABIC </w:instrText>
      </w:r>
      <w:r>
        <w:fldChar w:fldCharType="separate"/>
      </w:r>
      <w:r w:rsidR="00384923">
        <w:rPr>
          <w:noProof/>
          <w:lang w:val="fr-BE"/>
        </w:rPr>
        <w:t>3</w:t>
      </w:r>
      <w:r>
        <w:fldChar w:fldCharType="end"/>
      </w:r>
      <w:r w:rsidRPr="00B76985">
        <w:rPr>
          <w:lang w:val="fr-BE"/>
        </w:rPr>
        <w:t>: répartition relative (en</w:t>
      </w:r>
      <w:r w:rsidR="00B52C57">
        <w:rPr>
          <w:lang w:val="fr-BE"/>
        </w:rPr>
        <w:t xml:space="preserve"> </w:t>
      </w:r>
      <w:r w:rsidRPr="00B76985">
        <w:rPr>
          <w:lang w:val="fr-BE"/>
        </w:rPr>
        <w:t>%) des entreprises par rapport aux rôles dans la chaîne d'approvisionnement, pour les mélanges</w:t>
      </w:r>
    </w:p>
    <w:p w14:paraId="61C6CD03" w14:textId="0EFD7627" w:rsidR="00F84CAD" w:rsidRPr="00DB48F4" w:rsidRDefault="008D225E" w:rsidP="00597E75">
      <w:pPr>
        <w:jc w:val="both"/>
        <w:rPr>
          <w:lang w:val="fr-FR"/>
        </w:rPr>
      </w:pPr>
      <w:r w:rsidRPr="00B76985">
        <w:rPr>
          <w:lang w:val="fr-FR"/>
        </w:rPr>
        <w:t>L‘observation la plus marquante est le changement de répartition pour les m</w:t>
      </w:r>
      <w:r w:rsidR="00F84CAD" w:rsidRPr="00B76985">
        <w:rPr>
          <w:lang w:val="fr-FR"/>
        </w:rPr>
        <w:t>élanges,</w:t>
      </w:r>
      <w:r w:rsidRPr="00B76985">
        <w:rPr>
          <w:lang w:val="fr-FR"/>
        </w:rPr>
        <w:t xml:space="preserve"> à savoir</w:t>
      </w:r>
      <w:r w:rsidR="00F84CAD" w:rsidRPr="00B76985">
        <w:rPr>
          <w:lang w:val="fr-FR"/>
        </w:rPr>
        <w:t xml:space="preserve"> </w:t>
      </w:r>
      <w:r w:rsidR="008C4806">
        <w:rPr>
          <w:lang w:val="fr-FR"/>
        </w:rPr>
        <w:t xml:space="preserve">une forte </w:t>
      </w:r>
      <w:r w:rsidR="00873C4B">
        <w:rPr>
          <w:lang w:val="fr-FR"/>
        </w:rPr>
        <w:t>augmentation de distributeurs par rapport à 2019 (+ ~20 %) compensée par une diminution de ~10 % de producteurs et formulateurs, respectivement</w:t>
      </w:r>
      <w:r w:rsidR="00F84CAD" w:rsidRPr="00B76985">
        <w:rPr>
          <w:lang w:val="fr-FR"/>
        </w:rPr>
        <w:t>.</w:t>
      </w:r>
    </w:p>
    <w:p w14:paraId="7C5A2374" w14:textId="741A1E27" w:rsidR="004B4282" w:rsidRPr="00BD15C9" w:rsidRDefault="00905FA9" w:rsidP="008F7E98">
      <w:pPr>
        <w:jc w:val="both"/>
        <w:rPr>
          <w:lang w:val="fr-FR"/>
        </w:rPr>
      </w:pPr>
      <w:r w:rsidRPr="00BD15C9">
        <w:rPr>
          <w:lang w:val="fr-FR"/>
        </w:rPr>
        <w:t>Les chiffres montrent que la majorité des Déclarants ont endossé le rôle d'importateur</w:t>
      </w:r>
      <w:r w:rsidR="00873C4B">
        <w:rPr>
          <w:lang w:val="fr-FR"/>
        </w:rPr>
        <w:t xml:space="preserve"> ou de formulateur</w:t>
      </w:r>
      <w:r w:rsidRPr="00BD15C9">
        <w:rPr>
          <w:lang w:val="fr-FR"/>
        </w:rPr>
        <w:t xml:space="preserve">. </w:t>
      </w:r>
    </w:p>
    <w:p w14:paraId="38009F81" w14:textId="1F2F4AAA" w:rsidR="00897402" w:rsidRPr="00BD15C9" w:rsidRDefault="00BA78E5" w:rsidP="00897402">
      <w:pPr>
        <w:jc w:val="both"/>
        <w:rPr>
          <w:lang w:val="fr-FR"/>
        </w:rPr>
      </w:pPr>
      <w:r w:rsidRPr="00BD15C9">
        <w:rPr>
          <w:lang w:val="fr-FR"/>
        </w:rPr>
        <w:t xml:space="preserve">Par ailleurs, la constatation ci-dessus, combinée au nombre élevé d'enregistrements soumis par un Fournisseur étranger et qui n'ont pas été utilisés par la suite dans d'autres enregistrements (voir aussi </w:t>
      </w:r>
      <w:r w:rsidR="00897402" w:rsidRPr="00BD15C9">
        <w:rPr>
          <w:i/>
          <w:lang w:val="fr-FR"/>
        </w:rPr>
        <w:t xml:space="preserve">§ </w:t>
      </w:r>
      <w:r w:rsidR="0011696F">
        <w:rPr>
          <w:i/>
          <w:lang w:val="fr-FR"/>
        </w:rPr>
        <w:fldChar w:fldCharType="begin"/>
      </w:r>
      <w:r w:rsidR="0011696F">
        <w:rPr>
          <w:i/>
          <w:lang w:val="fr-FR"/>
        </w:rPr>
        <w:instrText xml:space="preserve"> REF _Ref74735226 \w \h </w:instrText>
      </w:r>
      <w:r w:rsidR="0011696F">
        <w:rPr>
          <w:i/>
          <w:lang w:val="fr-FR"/>
        </w:rPr>
      </w:r>
      <w:r w:rsidR="0011696F">
        <w:rPr>
          <w:i/>
          <w:lang w:val="fr-FR"/>
        </w:rPr>
        <w:fldChar w:fldCharType="separate"/>
      </w:r>
      <w:r w:rsidR="0011696F">
        <w:rPr>
          <w:i/>
          <w:lang w:val="fr-FR"/>
        </w:rPr>
        <w:t>6.4</w:t>
      </w:r>
      <w:r w:rsidR="0011696F">
        <w:rPr>
          <w:i/>
          <w:lang w:val="fr-FR"/>
        </w:rPr>
        <w:fldChar w:fldCharType="end"/>
      </w:r>
      <w:r w:rsidR="00897402" w:rsidRPr="00BD15C9">
        <w:rPr>
          <w:i/>
          <w:lang w:val="fr-FR"/>
        </w:rPr>
        <w:t>-Utilisation d'un autre numéro d'enregistrement</w:t>
      </w:r>
      <w:r w:rsidRPr="00BD15C9">
        <w:rPr>
          <w:lang w:val="fr-FR"/>
        </w:rPr>
        <w:t>) soulève la question de savoir si certains Fournisseurs étrangers ne sont pas en fait, actifs en tant que ‘distributeur’ (sur le marché belge).</w:t>
      </w:r>
    </w:p>
    <w:p w14:paraId="37386363" w14:textId="406AAB31" w:rsidR="00BA78E5" w:rsidRPr="00BD15C9" w:rsidRDefault="00BA78E5" w:rsidP="00BA78E5">
      <w:pPr>
        <w:jc w:val="both"/>
        <w:rPr>
          <w:lang w:val="fr-FR"/>
        </w:rPr>
      </w:pPr>
      <w:r w:rsidRPr="00BD15C9">
        <w:rPr>
          <w:lang w:val="fr-FR"/>
        </w:rPr>
        <w:t xml:space="preserve">Qui plus est, la présence du rôle de ‘formulateur’ au niveau de la mise sur le marché des substances étonne également. Comme mentionné dans la documentation relative </w:t>
      </w:r>
      <w:r w:rsidR="00D62302" w:rsidRPr="00BD15C9">
        <w:rPr>
          <w:lang w:val="fr-FR"/>
        </w:rPr>
        <w:t>à la procédure d'enregistrement</w:t>
      </w:r>
      <w:r w:rsidR="00DF1ECE" w:rsidRPr="00BD15C9">
        <w:rPr>
          <w:vertAlign w:val="superscript"/>
          <w:lang w:val="fr-FR"/>
        </w:rPr>
        <w:t>22</w:t>
      </w:r>
      <w:r w:rsidRPr="00BD15C9">
        <w:rPr>
          <w:lang w:val="fr-FR"/>
        </w:rPr>
        <w:t xml:space="preserve"> un formulateur fabrique, par définition, des mélanges. </w:t>
      </w:r>
      <w:r w:rsidR="00D07714">
        <w:rPr>
          <w:lang w:val="fr-FR"/>
        </w:rPr>
        <w:t xml:space="preserve">Ceci s’observe d’ailleurs avec </w:t>
      </w:r>
      <w:r w:rsidR="00873C4B">
        <w:rPr>
          <w:lang w:val="fr-FR"/>
        </w:rPr>
        <w:t>17,24</w:t>
      </w:r>
      <w:r w:rsidR="003F09EC">
        <w:rPr>
          <w:lang w:val="fr-FR"/>
        </w:rPr>
        <w:t xml:space="preserve"> </w:t>
      </w:r>
      <w:r w:rsidR="00D07714">
        <w:rPr>
          <w:lang w:val="fr-FR"/>
        </w:rPr>
        <w:t>% de formulateur</w:t>
      </w:r>
      <w:r w:rsidR="003F09EC">
        <w:rPr>
          <w:lang w:val="fr-FR"/>
        </w:rPr>
        <w:t>s</w:t>
      </w:r>
      <w:r w:rsidR="00D07714">
        <w:rPr>
          <w:lang w:val="fr-FR"/>
        </w:rPr>
        <w:t xml:space="preserve"> pour les mélanges. </w:t>
      </w:r>
      <w:r w:rsidRPr="00BD15C9">
        <w:rPr>
          <w:lang w:val="fr-FR"/>
        </w:rPr>
        <w:t xml:space="preserve">On peut s'attendre à retrouver ce rôle dans la chaîne d'approvisionnement au niveau de la mise sur le marché de mélanges, mais pas de l'enregistrement des substances (voir aussi </w:t>
      </w:r>
      <w:r w:rsidRPr="00BD15C9">
        <w:rPr>
          <w:i/>
          <w:lang w:val="fr-FR"/>
        </w:rPr>
        <w:t xml:space="preserve">§ </w:t>
      </w:r>
      <w:r w:rsidR="0011696F">
        <w:rPr>
          <w:i/>
          <w:lang w:val="fr-FR"/>
        </w:rPr>
        <w:fldChar w:fldCharType="begin"/>
      </w:r>
      <w:r w:rsidR="0011696F">
        <w:rPr>
          <w:i/>
          <w:lang w:val="fr-FR"/>
        </w:rPr>
        <w:instrText xml:space="preserve"> REF _Ref74735256 \w \h </w:instrText>
      </w:r>
      <w:r w:rsidR="0011696F">
        <w:rPr>
          <w:i/>
          <w:lang w:val="fr-FR"/>
        </w:rPr>
      </w:r>
      <w:r w:rsidR="0011696F">
        <w:rPr>
          <w:i/>
          <w:lang w:val="fr-FR"/>
        </w:rPr>
        <w:fldChar w:fldCharType="separate"/>
      </w:r>
      <w:r w:rsidR="0011696F">
        <w:rPr>
          <w:i/>
          <w:lang w:val="fr-FR"/>
        </w:rPr>
        <w:t>10.2.2</w:t>
      </w:r>
      <w:r w:rsidR="0011696F">
        <w:rPr>
          <w:i/>
          <w:lang w:val="fr-FR"/>
        </w:rPr>
        <w:fldChar w:fldCharType="end"/>
      </w:r>
      <w:r w:rsidRPr="00BD15C9">
        <w:rPr>
          <w:i/>
          <w:lang w:val="fr-FR"/>
        </w:rPr>
        <w:t>-Quantités distribuées (transformées et non transformées) sur le marché belge</w:t>
      </w:r>
      <w:r w:rsidRPr="00BD15C9">
        <w:rPr>
          <w:lang w:val="fr-FR"/>
        </w:rPr>
        <w:t>).</w:t>
      </w:r>
    </w:p>
    <w:p w14:paraId="5547E601" w14:textId="01CC54EF" w:rsidR="0022349B" w:rsidRPr="0022349B" w:rsidRDefault="0022349B" w:rsidP="00B76985">
      <w:pPr>
        <w:pStyle w:val="Titre2"/>
      </w:pPr>
      <w:bookmarkStart w:id="42" w:name="_Toc76034168"/>
      <w:r>
        <w:t>Répartition du nombre des enregistrements par rôle</w:t>
      </w:r>
      <w:bookmarkEnd w:id="42"/>
    </w:p>
    <w:p w14:paraId="00F53484" w14:textId="54B366F5" w:rsidR="00E01101" w:rsidRDefault="00BC5CBF" w:rsidP="00597E75">
      <w:pPr>
        <w:jc w:val="both"/>
        <w:rPr>
          <w:lang w:val="fr-FR"/>
        </w:rPr>
      </w:pPr>
      <w:r w:rsidRPr="00BD15C9">
        <w:rPr>
          <w:lang w:val="fr-FR"/>
        </w:rPr>
        <w:t xml:space="preserve">Le tableau ci-dessous reprend le nombre de fois qu'un rôle déterminé a été mentionné dans un enregistrement. Ici aussi, plusieurs rôles pouvaient être mentionnés dans un même enregistrement. Le nombre maximum de rôles mentionnés dans un enregistrement est de trois.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1551"/>
        <w:gridCol w:w="1521"/>
        <w:gridCol w:w="1636"/>
        <w:gridCol w:w="1709"/>
        <w:gridCol w:w="1382"/>
      </w:tblGrid>
      <w:tr w:rsidR="0022349B" w:rsidRPr="007F1FE2" w14:paraId="1B7B04F5" w14:textId="77777777" w:rsidTr="0022349B">
        <w:trPr>
          <w:tblHeader/>
        </w:trPr>
        <w:tc>
          <w:tcPr>
            <w:tcW w:w="9350" w:type="dxa"/>
            <w:gridSpan w:val="6"/>
            <w:tcBorders>
              <w:top w:val="single" w:sz="4" w:space="0" w:color="auto"/>
              <w:left w:val="single" w:sz="4" w:space="0" w:color="auto"/>
              <w:bottom w:val="single" w:sz="4" w:space="0" w:color="auto"/>
              <w:right w:val="single" w:sz="4" w:space="0" w:color="auto"/>
            </w:tcBorders>
            <w:hideMark/>
          </w:tcPr>
          <w:p w14:paraId="6C127763" w14:textId="53D96327" w:rsidR="0022349B" w:rsidRPr="00B76985" w:rsidRDefault="0022349B" w:rsidP="0022349B">
            <w:pPr>
              <w:jc w:val="both"/>
              <w:rPr>
                <w:rFonts w:ascii="inherit" w:hAnsi="inherit"/>
                <w:color w:val="212121"/>
                <w:lang w:val="fr-BE"/>
              </w:rPr>
            </w:pPr>
            <w:bookmarkStart w:id="43" w:name="_Hlk27551656"/>
            <w:r w:rsidRPr="00B76985">
              <w:rPr>
                <w:b/>
                <w:i/>
                <w:lang w:val="fr-FR"/>
              </w:rPr>
              <w:t xml:space="preserve">Tableau: </w:t>
            </w:r>
            <w:r w:rsidR="00165D79" w:rsidRPr="00165D79">
              <w:rPr>
                <w:b/>
                <w:i/>
                <w:lang w:val="fr-FR"/>
              </w:rPr>
              <w:t>distribution</w:t>
            </w:r>
            <w:r w:rsidRPr="00B76985">
              <w:rPr>
                <w:b/>
                <w:i/>
                <w:lang w:val="fr-FR"/>
              </w:rPr>
              <w:t xml:space="preserve"> relative (en</w:t>
            </w:r>
            <w:r w:rsidR="000E1A30">
              <w:rPr>
                <w:b/>
                <w:i/>
                <w:lang w:val="fr-FR"/>
              </w:rPr>
              <w:t xml:space="preserve"> </w:t>
            </w:r>
            <w:r w:rsidRPr="00B76985">
              <w:rPr>
                <w:b/>
                <w:i/>
                <w:lang w:val="fr-FR"/>
              </w:rPr>
              <w:t>%) des enregistrements sur les r</w:t>
            </w:r>
            <w:r w:rsidRPr="00B76985">
              <w:rPr>
                <w:rFonts w:hint="eastAsia"/>
                <w:b/>
                <w:i/>
                <w:lang w:val="fr-FR"/>
              </w:rPr>
              <w:t>ô</w:t>
            </w:r>
            <w:r w:rsidRPr="00B76985">
              <w:rPr>
                <w:b/>
                <w:i/>
                <w:lang w:val="fr-FR"/>
              </w:rPr>
              <w:t>les dans la cha</w:t>
            </w:r>
            <w:r w:rsidRPr="00B76985">
              <w:rPr>
                <w:rFonts w:hint="eastAsia"/>
                <w:b/>
                <w:i/>
                <w:lang w:val="fr-FR"/>
              </w:rPr>
              <w:t>î</w:t>
            </w:r>
            <w:r w:rsidRPr="00B76985">
              <w:rPr>
                <w:b/>
                <w:i/>
                <w:lang w:val="fr-FR"/>
              </w:rPr>
              <w:t>ne d'approvisionnement, les substances et les m</w:t>
            </w:r>
            <w:r w:rsidRPr="00B76985">
              <w:rPr>
                <w:rFonts w:hint="eastAsia"/>
                <w:b/>
                <w:i/>
                <w:lang w:val="fr-FR"/>
              </w:rPr>
              <w:t>é</w:t>
            </w:r>
            <w:r w:rsidRPr="00B76985">
              <w:rPr>
                <w:b/>
                <w:i/>
                <w:lang w:val="fr-FR"/>
              </w:rPr>
              <w:t>langes</w:t>
            </w:r>
          </w:p>
        </w:tc>
      </w:tr>
      <w:tr w:rsidR="0022349B" w14:paraId="42D9C078" w14:textId="77777777" w:rsidTr="00BE0799">
        <w:trPr>
          <w:tblHeader/>
        </w:trPr>
        <w:tc>
          <w:tcPr>
            <w:tcW w:w="1551" w:type="dxa"/>
            <w:tcBorders>
              <w:top w:val="single" w:sz="4" w:space="0" w:color="auto"/>
              <w:left w:val="single" w:sz="4" w:space="0" w:color="auto"/>
              <w:bottom w:val="single" w:sz="4" w:space="0" w:color="auto"/>
              <w:right w:val="single" w:sz="4" w:space="0" w:color="auto"/>
            </w:tcBorders>
            <w:hideMark/>
          </w:tcPr>
          <w:p w14:paraId="5979E55F" w14:textId="6A3BB7FA" w:rsidR="0022349B" w:rsidRDefault="0022349B" w:rsidP="0022349B">
            <w:pPr>
              <w:jc w:val="center"/>
              <w:rPr>
                <w:color w:val="FF0000"/>
                <w:lang w:val="nl-BE"/>
              </w:rPr>
            </w:pPr>
            <w:r w:rsidRPr="00BD15C9">
              <w:rPr>
                <w:lang w:val="fr-FR"/>
              </w:rPr>
              <w:t>Importateur</w:t>
            </w:r>
          </w:p>
        </w:tc>
        <w:tc>
          <w:tcPr>
            <w:tcW w:w="1551" w:type="dxa"/>
            <w:tcBorders>
              <w:top w:val="single" w:sz="4" w:space="0" w:color="auto"/>
              <w:left w:val="single" w:sz="4" w:space="0" w:color="auto"/>
              <w:bottom w:val="single" w:sz="4" w:space="0" w:color="auto"/>
              <w:right w:val="single" w:sz="4" w:space="0" w:color="auto"/>
            </w:tcBorders>
            <w:hideMark/>
          </w:tcPr>
          <w:p w14:paraId="34615A75" w14:textId="7E9549AE" w:rsidR="0022349B" w:rsidRDefault="0022349B" w:rsidP="0022349B">
            <w:pPr>
              <w:jc w:val="center"/>
              <w:rPr>
                <w:color w:val="FF0000"/>
                <w:lang w:val="nl-BE"/>
              </w:rPr>
            </w:pPr>
            <w:r w:rsidRPr="00BD15C9">
              <w:rPr>
                <w:lang w:val="fr-FR"/>
              </w:rPr>
              <w:t>Producteur</w:t>
            </w:r>
          </w:p>
        </w:tc>
        <w:tc>
          <w:tcPr>
            <w:tcW w:w="1521" w:type="dxa"/>
            <w:tcBorders>
              <w:top w:val="single" w:sz="4" w:space="0" w:color="auto"/>
              <w:left w:val="single" w:sz="4" w:space="0" w:color="auto"/>
              <w:bottom w:val="single" w:sz="4" w:space="0" w:color="auto"/>
              <w:right w:val="single" w:sz="4" w:space="0" w:color="auto"/>
            </w:tcBorders>
            <w:hideMark/>
          </w:tcPr>
          <w:p w14:paraId="15D81864" w14:textId="56A92757" w:rsidR="0022349B" w:rsidRDefault="0022349B" w:rsidP="0022349B">
            <w:pPr>
              <w:jc w:val="center"/>
              <w:rPr>
                <w:color w:val="FF0000"/>
                <w:lang w:val="nl-BE"/>
              </w:rPr>
            </w:pPr>
            <w:r w:rsidRPr="00BD15C9">
              <w:rPr>
                <w:lang w:val="fr-FR"/>
              </w:rPr>
              <w:t>Distributeur</w:t>
            </w:r>
          </w:p>
        </w:tc>
        <w:tc>
          <w:tcPr>
            <w:tcW w:w="1636" w:type="dxa"/>
            <w:tcBorders>
              <w:top w:val="single" w:sz="4" w:space="0" w:color="auto"/>
              <w:left w:val="single" w:sz="4" w:space="0" w:color="auto"/>
              <w:bottom w:val="single" w:sz="4" w:space="0" w:color="auto"/>
              <w:right w:val="single" w:sz="4" w:space="0" w:color="auto"/>
            </w:tcBorders>
            <w:hideMark/>
          </w:tcPr>
          <w:p w14:paraId="1E2C7EA9" w14:textId="51535744" w:rsidR="0022349B" w:rsidRDefault="0022349B" w:rsidP="0022349B">
            <w:pPr>
              <w:jc w:val="center"/>
              <w:rPr>
                <w:color w:val="FF0000"/>
                <w:lang w:val="nl-BE"/>
              </w:rPr>
            </w:pPr>
            <w:r w:rsidRPr="00BD15C9">
              <w:rPr>
                <w:lang w:val="fr-FR"/>
              </w:rPr>
              <w:t>Formulateur</w:t>
            </w:r>
          </w:p>
        </w:tc>
        <w:tc>
          <w:tcPr>
            <w:tcW w:w="1709" w:type="dxa"/>
            <w:tcBorders>
              <w:top w:val="single" w:sz="4" w:space="0" w:color="auto"/>
              <w:left w:val="single" w:sz="4" w:space="0" w:color="auto"/>
              <w:bottom w:val="single" w:sz="4" w:space="0" w:color="auto"/>
              <w:right w:val="single" w:sz="4" w:space="0" w:color="auto"/>
            </w:tcBorders>
            <w:hideMark/>
          </w:tcPr>
          <w:p w14:paraId="2C03D411" w14:textId="2989ACF4" w:rsidR="0022349B" w:rsidRDefault="0022349B" w:rsidP="0022349B">
            <w:pPr>
              <w:jc w:val="center"/>
              <w:rPr>
                <w:color w:val="FF0000"/>
                <w:lang w:val="nl-BE"/>
              </w:rPr>
            </w:pPr>
            <w:proofErr w:type="spellStart"/>
            <w:r w:rsidRPr="00BD15C9">
              <w:rPr>
                <w:lang w:val="fr-FR"/>
              </w:rPr>
              <w:t>Reconditionneur</w:t>
            </w:r>
            <w:proofErr w:type="spellEnd"/>
          </w:p>
        </w:tc>
        <w:tc>
          <w:tcPr>
            <w:tcW w:w="1382" w:type="dxa"/>
            <w:tcBorders>
              <w:top w:val="single" w:sz="4" w:space="0" w:color="auto"/>
              <w:left w:val="single" w:sz="4" w:space="0" w:color="auto"/>
              <w:bottom w:val="single" w:sz="4" w:space="0" w:color="auto"/>
              <w:right w:val="single" w:sz="4" w:space="0" w:color="auto"/>
            </w:tcBorders>
            <w:hideMark/>
          </w:tcPr>
          <w:p w14:paraId="29EB4C45" w14:textId="6405CF55" w:rsidR="0022349B" w:rsidRDefault="0022349B" w:rsidP="0022349B">
            <w:pPr>
              <w:jc w:val="center"/>
              <w:rPr>
                <w:color w:val="FF0000"/>
                <w:lang w:val="nl-BE"/>
              </w:rPr>
            </w:pPr>
            <w:r w:rsidRPr="00BD15C9">
              <w:rPr>
                <w:lang w:val="fr-FR"/>
              </w:rPr>
              <w:t>Autre</w:t>
            </w:r>
          </w:p>
        </w:tc>
      </w:tr>
      <w:tr w:rsidR="00E40BC9" w14:paraId="6A25DD17" w14:textId="77777777" w:rsidTr="00BE0799">
        <w:tc>
          <w:tcPr>
            <w:tcW w:w="1551" w:type="dxa"/>
            <w:tcBorders>
              <w:top w:val="single" w:sz="4" w:space="0" w:color="auto"/>
              <w:left w:val="single" w:sz="4" w:space="0" w:color="auto"/>
              <w:bottom w:val="single" w:sz="4" w:space="0" w:color="auto"/>
              <w:right w:val="single" w:sz="4" w:space="0" w:color="auto"/>
            </w:tcBorders>
            <w:hideMark/>
          </w:tcPr>
          <w:p w14:paraId="36B9876C" w14:textId="0181A66A" w:rsidR="00E40BC9" w:rsidRPr="00E40BC9" w:rsidRDefault="00E40BC9" w:rsidP="00E40BC9">
            <w:pPr>
              <w:jc w:val="center"/>
              <w:rPr>
                <w:color w:val="FF0000"/>
                <w:lang w:val="nl-BE"/>
              </w:rPr>
            </w:pPr>
            <w:r w:rsidRPr="00A10AD9">
              <w:rPr>
                <w:color w:val="FF0000"/>
                <w:lang w:val="nl-BE"/>
              </w:rPr>
              <w:t>36,38</w:t>
            </w:r>
          </w:p>
        </w:tc>
        <w:tc>
          <w:tcPr>
            <w:tcW w:w="1551" w:type="dxa"/>
            <w:tcBorders>
              <w:top w:val="single" w:sz="4" w:space="0" w:color="auto"/>
              <w:left w:val="single" w:sz="4" w:space="0" w:color="auto"/>
              <w:bottom w:val="single" w:sz="4" w:space="0" w:color="auto"/>
              <w:right w:val="single" w:sz="4" w:space="0" w:color="auto"/>
            </w:tcBorders>
            <w:hideMark/>
          </w:tcPr>
          <w:p w14:paraId="068D0D2F" w14:textId="65D9E914" w:rsidR="00E40BC9" w:rsidRPr="00E40BC9" w:rsidRDefault="00E40BC9" w:rsidP="00E40BC9">
            <w:pPr>
              <w:jc w:val="center"/>
              <w:rPr>
                <w:color w:val="FF0000"/>
                <w:lang w:val="nl-BE"/>
              </w:rPr>
            </w:pPr>
            <w:r w:rsidRPr="00A10AD9">
              <w:rPr>
                <w:color w:val="FF0000"/>
                <w:lang w:val="nl-BE"/>
              </w:rPr>
              <w:t>11,75</w:t>
            </w:r>
          </w:p>
        </w:tc>
        <w:tc>
          <w:tcPr>
            <w:tcW w:w="1521" w:type="dxa"/>
            <w:tcBorders>
              <w:top w:val="single" w:sz="4" w:space="0" w:color="auto"/>
              <w:left w:val="single" w:sz="4" w:space="0" w:color="auto"/>
              <w:bottom w:val="single" w:sz="4" w:space="0" w:color="auto"/>
              <w:right w:val="single" w:sz="4" w:space="0" w:color="auto"/>
            </w:tcBorders>
            <w:hideMark/>
          </w:tcPr>
          <w:p w14:paraId="6C3F7A78" w14:textId="73CF836C" w:rsidR="00E40BC9" w:rsidRPr="00E40BC9" w:rsidRDefault="00E40BC9" w:rsidP="00E40BC9">
            <w:pPr>
              <w:jc w:val="center"/>
              <w:rPr>
                <w:color w:val="FF0000"/>
                <w:lang w:val="nl-BE"/>
              </w:rPr>
            </w:pPr>
            <w:r w:rsidRPr="00A10AD9">
              <w:rPr>
                <w:color w:val="FF0000"/>
                <w:lang w:val="nl-BE"/>
              </w:rPr>
              <w:t>27,13</w:t>
            </w:r>
          </w:p>
        </w:tc>
        <w:tc>
          <w:tcPr>
            <w:tcW w:w="1636" w:type="dxa"/>
            <w:tcBorders>
              <w:top w:val="single" w:sz="4" w:space="0" w:color="auto"/>
              <w:left w:val="single" w:sz="4" w:space="0" w:color="auto"/>
              <w:bottom w:val="single" w:sz="4" w:space="0" w:color="auto"/>
              <w:right w:val="single" w:sz="4" w:space="0" w:color="auto"/>
            </w:tcBorders>
            <w:hideMark/>
          </w:tcPr>
          <w:p w14:paraId="5A4A48D9" w14:textId="7AF1C5C2" w:rsidR="00E40BC9" w:rsidRPr="00E40BC9" w:rsidRDefault="00E40BC9" w:rsidP="00E40BC9">
            <w:pPr>
              <w:jc w:val="center"/>
              <w:rPr>
                <w:color w:val="FF0000"/>
                <w:lang w:val="nl-BE"/>
              </w:rPr>
            </w:pPr>
            <w:r w:rsidRPr="00A10AD9">
              <w:rPr>
                <w:color w:val="FF0000"/>
                <w:lang w:val="nl-BE"/>
              </w:rPr>
              <w:t>24,25</w:t>
            </w:r>
          </w:p>
        </w:tc>
        <w:tc>
          <w:tcPr>
            <w:tcW w:w="1709" w:type="dxa"/>
            <w:tcBorders>
              <w:top w:val="single" w:sz="4" w:space="0" w:color="auto"/>
              <w:left w:val="single" w:sz="4" w:space="0" w:color="auto"/>
              <w:bottom w:val="single" w:sz="4" w:space="0" w:color="auto"/>
              <w:right w:val="single" w:sz="4" w:space="0" w:color="auto"/>
            </w:tcBorders>
            <w:hideMark/>
          </w:tcPr>
          <w:p w14:paraId="6ED9A564" w14:textId="3DAC1DC5" w:rsidR="00E40BC9" w:rsidRDefault="00E40BC9" w:rsidP="00E40BC9">
            <w:pPr>
              <w:jc w:val="center"/>
              <w:rPr>
                <w:color w:val="FF0000"/>
                <w:lang w:val="nl-BE"/>
              </w:rPr>
            </w:pPr>
            <w:r>
              <w:rPr>
                <w:color w:val="FF0000"/>
                <w:lang w:val="nl-BE"/>
              </w:rPr>
              <w:t>0.0</w:t>
            </w:r>
          </w:p>
        </w:tc>
        <w:tc>
          <w:tcPr>
            <w:tcW w:w="1382" w:type="dxa"/>
            <w:tcBorders>
              <w:top w:val="single" w:sz="4" w:space="0" w:color="auto"/>
              <w:left w:val="single" w:sz="4" w:space="0" w:color="auto"/>
              <w:bottom w:val="single" w:sz="4" w:space="0" w:color="auto"/>
              <w:right w:val="single" w:sz="4" w:space="0" w:color="auto"/>
            </w:tcBorders>
            <w:hideMark/>
          </w:tcPr>
          <w:p w14:paraId="2EAAD122" w14:textId="283CA9AD" w:rsidR="00E40BC9" w:rsidRDefault="00E40BC9" w:rsidP="00E40BC9">
            <w:pPr>
              <w:jc w:val="center"/>
              <w:rPr>
                <w:color w:val="FF0000"/>
                <w:lang w:val="nl-BE"/>
              </w:rPr>
            </w:pPr>
            <w:r>
              <w:rPr>
                <w:color w:val="FF0000"/>
                <w:lang w:val="nl-BE"/>
              </w:rPr>
              <w:t>0,50</w:t>
            </w:r>
          </w:p>
        </w:tc>
      </w:tr>
      <w:bookmarkEnd w:id="43"/>
    </w:tbl>
    <w:p w14:paraId="40861BFA" w14:textId="630FDBFF" w:rsidR="0022349B" w:rsidRDefault="0022349B" w:rsidP="00C46825">
      <w:pPr>
        <w:rPr>
          <w:lang w:val="fr-FR"/>
        </w:rPr>
      </w:pPr>
    </w:p>
    <w:p w14:paraId="7E2307D1" w14:textId="4C0C0E3F" w:rsidR="000E1A30" w:rsidRDefault="00E40BC9" w:rsidP="00384923">
      <w:pPr>
        <w:jc w:val="center"/>
        <w:rPr>
          <w:lang w:val="fr-FR"/>
        </w:rPr>
      </w:pPr>
      <w:r>
        <w:rPr>
          <w:noProof/>
        </w:rPr>
        <w:drawing>
          <wp:inline distT="0" distB="0" distL="0" distR="0" wp14:anchorId="1E3C19B9" wp14:editId="02B38F66">
            <wp:extent cx="4572000" cy="2743200"/>
            <wp:effectExtent l="0" t="0" r="0" b="0"/>
            <wp:docPr id="17" name="Chart 35">
              <a:extLst xmlns:a="http://schemas.openxmlformats.org/drawingml/2006/main">
                <a:ext uri="{FF2B5EF4-FFF2-40B4-BE49-F238E27FC236}">
                  <a16:creationId xmlns:a16="http://schemas.microsoft.com/office/drawing/2014/main" id="{BC660B1C-582C-4EB6-A41C-3B45A1022E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58B65D3" w14:textId="2956277D" w:rsidR="00DB322C" w:rsidRPr="00DB322C" w:rsidRDefault="00DB322C" w:rsidP="00384923">
      <w:pPr>
        <w:jc w:val="center"/>
        <w:rPr>
          <w:i/>
          <w:iCs/>
          <w:color w:val="44546A" w:themeColor="text2"/>
          <w:sz w:val="18"/>
          <w:szCs w:val="18"/>
          <w:lang w:val="fr-BE"/>
        </w:rPr>
      </w:pPr>
      <w:r w:rsidRPr="00DB322C">
        <w:rPr>
          <w:i/>
          <w:iCs/>
          <w:color w:val="44546A" w:themeColor="text2"/>
          <w:sz w:val="18"/>
          <w:szCs w:val="18"/>
          <w:lang w:val="fr-BE"/>
        </w:rPr>
        <w:t xml:space="preserve">Figure </w:t>
      </w:r>
      <w:r w:rsidRPr="00DB322C">
        <w:rPr>
          <w:i/>
          <w:iCs/>
          <w:color w:val="44546A" w:themeColor="text2"/>
          <w:sz w:val="18"/>
          <w:szCs w:val="18"/>
          <w:lang w:val="fr-BE"/>
        </w:rPr>
        <w:fldChar w:fldCharType="begin"/>
      </w:r>
      <w:r w:rsidRPr="00DB322C">
        <w:rPr>
          <w:i/>
          <w:iCs/>
          <w:color w:val="44546A" w:themeColor="text2"/>
          <w:sz w:val="18"/>
          <w:szCs w:val="18"/>
          <w:lang w:val="fr-BE"/>
        </w:rPr>
        <w:instrText xml:space="preserve"> SEQ Figure \* ARABIC </w:instrText>
      </w:r>
      <w:r w:rsidRPr="00DB322C">
        <w:rPr>
          <w:i/>
          <w:iCs/>
          <w:color w:val="44546A" w:themeColor="text2"/>
          <w:sz w:val="18"/>
          <w:szCs w:val="18"/>
          <w:lang w:val="fr-BE"/>
        </w:rPr>
        <w:fldChar w:fldCharType="separate"/>
      </w:r>
      <w:r>
        <w:rPr>
          <w:i/>
          <w:iCs/>
          <w:noProof/>
          <w:color w:val="44546A" w:themeColor="text2"/>
          <w:sz w:val="18"/>
          <w:szCs w:val="18"/>
          <w:lang w:val="fr-BE"/>
        </w:rPr>
        <w:t>4</w:t>
      </w:r>
      <w:r w:rsidRPr="00DB322C">
        <w:rPr>
          <w:i/>
          <w:iCs/>
          <w:color w:val="44546A" w:themeColor="text2"/>
          <w:sz w:val="18"/>
          <w:szCs w:val="18"/>
          <w:lang w:val="fr-BE"/>
        </w:rPr>
        <w:fldChar w:fldCharType="end"/>
      </w:r>
      <w:r w:rsidRPr="00DB322C">
        <w:rPr>
          <w:i/>
          <w:iCs/>
          <w:color w:val="44546A" w:themeColor="text2"/>
          <w:sz w:val="18"/>
          <w:szCs w:val="18"/>
          <w:lang w:val="fr-BE"/>
        </w:rPr>
        <w:t>: répartition</w:t>
      </w:r>
      <w:r w:rsidR="00B176EF">
        <w:rPr>
          <w:i/>
          <w:iCs/>
          <w:color w:val="44546A" w:themeColor="text2"/>
          <w:sz w:val="18"/>
          <w:szCs w:val="18"/>
          <w:lang w:val="fr-BE"/>
        </w:rPr>
        <w:t xml:space="preserve"> (en %) du nombre d’enregistrement par rôle dans la chaîne d’approvisionnement, pour les mélanges et les substances</w:t>
      </w:r>
    </w:p>
    <w:p w14:paraId="56C202CA" w14:textId="2B070D4D" w:rsidR="009441CD" w:rsidRDefault="000E1A30" w:rsidP="00597E75">
      <w:pPr>
        <w:jc w:val="both"/>
        <w:rPr>
          <w:lang w:val="fr-FR"/>
        </w:rPr>
      </w:pPr>
      <w:r>
        <w:rPr>
          <w:lang w:val="fr-FR"/>
        </w:rPr>
        <w:t xml:space="preserve">Légèrement </w:t>
      </w:r>
      <w:r w:rsidR="00E40BC9">
        <w:rPr>
          <w:lang w:val="fr-FR"/>
        </w:rPr>
        <w:t>plus d’un tiers</w:t>
      </w:r>
      <w:r w:rsidR="00380E7B" w:rsidRPr="00BD15C9">
        <w:rPr>
          <w:lang w:val="fr-FR"/>
        </w:rPr>
        <w:t xml:space="preserve"> des enregistrements ont été faits par </w:t>
      </w:r>
      <w:r w:rsidR="00002175">
        <w:rPr>
          <w:lang w:val="fr-FR"/>
        </w:rPr>
        <w:t xml:space="preserve">un </w:t>
      </w:r>
      <w:r w:rsidR="00380E7B">
        <w:rPr>
          <w:lang w:val="fr-FR"/>
        </w:rPr>
        <w:t>importateur</w:t>
      </w:r>
      <w:r w:rsidR="00380E7B" w:rsidRPr="00BD15C9">
        <w:rPr>
          <w:lang w:val="fr-FR"/>
        </w:rPr>
        <w:t xml:space="preserve">. </w:t>
      </w:r>
      <w:r w:rsidR="007227E8">
        <w:rPr>
          <w:lang w:val="fr-FR"/>
        </w:rPr>
        <w:t>L’évolution par rapport à l’année précédente n’</w:t>
      </w:r>
      <w:r w:rsidR="00A93EC8">
        <w:rPr>
          <w:lang w:val="fr-FR"/>
        </w:rPr>
        <w:t>est</w:t>
      </w:r>
      <w:r w:rsidR="007227E8">
        <w:rPr>
          <w:lang w:val="fr-FR"/>
        </w:rPr>
        <w:t xml:space="preserve"> pas significative et reste stable.</w:t>
      </w:r>
    </w:p>
    <w:p w14:paraId="26D41BC7" w14:textId="77777777" w:rsidR="000E1A30" w:rsidRPr="00BD15C9" w:rsidRDefault="000E1A30" w:rsidP="00597E75">
      <w:pPr>
        <w:jc w:val="both"/>
        <w:rPr>
          <w:lang w:val="fr-FR"/>
        </w:rPr>
      </w:pPr>
    </w:p>
    <w:p w14:paraId="55E96657" w14:textId="75222C6D" w:rsidR="004439FA" w:rsidRPr="00384923" w:rsidRDefault="00EF2603" w:rsidP="00384923">
      <w:pPr>
        <w:pStyle w:val="Titre1"/>
        <w:rPr>
          <w:lang w:val="fr-FR"/>
        </w:rPr>
      </w:pPr>
      <w:bookmarkStart w:id="44" w:name="_Toc76034169"/>
      <w:r w:rsidRPr="00BD15C9">
        <w:rPr>
          <w:lang w:val="fr-FR"/>
        </w:rPr>
        <w:t>Activités économiques</w:t>
      </w:r>
      <w:bookmarkEnd w:id="44"/>
    </w:p>
    <w:p w14:paraId="7BD989D8" w14:textId="6FDF6BAA" w:rsidR="009441CD" w:rsidRPr="009441CD" w:rsidRDefault="009441CD" w:rsidP="00B76985">
      <w:pPr>
        <w:pStyle w:val="Titre2"/>
      </w:pPr>
      <w:bookmarkStart w:id="45" w:name="_Toc76034170"/>
      <w:r>
        <w:t>Codes NACE(BEL)</w:t>
      </w:r>
      <w:bookmarkEnd w:id="45"/>
    </w:p>
    <w:p w14:paraId="7607F45D" w14:textId="6F546A36" w:rsidR="00517C19" w:rsidRPr="00BD15C9" w:rsidRDefault="00187CCF" w:rsidP="00EF2603">
      <w:pPr>
        <w:jc w:val="both"/>
        <w:rPr>
          <w:lang w:val="fr-FR"/>
        </w:rPr>
      </w:pPr>
      <w:r w:rsidRPr="00BD15C9">
        <w:rPr>
          <w:lang w:val="fr-FR"/>
        </w:rPr>
        <w:t>Le terme NACE signifie « Nomenclature statistique des Activités économiques dans la Communauté Européenne » (« </w:t>
      </w:r>
      <w:proofErr w:type="spellStart"/>
      <w:r w:rsidRPr="00BD15C9">
        <w:rPr>
          <w:lang w:val="fr-FR"/>
        </w:rPr>
        <w:t>Statistische</w:t>
      </w:r>
      <w:proofErr w:type="spellEnd"/>
      <w:r w:rsidRPr="00BD15C9">
        <w:rPr>
          <w:lang w:val="fr-FR"/>
        </w:rPr>
        <w:t xml:space="preserve"> </w:t>
      </w:r>
      <w:proofErr w:type="spellStart"/>
      <w:r w:rsidRPr="00BD15C9">
        <w:rPr>
          <w:lang w:val="fr-FR"/>
        </w:rPr>
        <w:t>naamgeving</w:t>
      </w:r>
      <w:proofErr w:type="spellEnd"/>
      <w:r w:rsidRPr="00BD15C9">
        <w:rPr>
          <w:lang w:val="fr-FR"/>
        </w:rPr>
        <w:t xml:space="preserve"> van de </w:t>
      </w:r>
      <w:proofErr w:type="spellStart"/>
      <w:r w:rsidRPr="00BD15C9">
        <w:rPr>
          <w:lang w:val="fr-FR"/>
        </w:rPr>
        <w:t>economische</w:t>
      </w:r>
      <w:proofErr w:type="spellEnd"/>
      <w:r w:rsidRPr="00BD15C9">
        <w:rPr>
          <w:lang w:val="fr-FR"/>
        </w:rPr>
        <w:t xml:space="preserve"> </w:t>
      </w:r>
      <w:proofErr w:type="spellStart"/>
      <w:r w:rsidRPr="00BD15C9">
        <w:rPr>
          <w:lang w:val="fr-FR"/>
        </w:rPr>
        <w:t>activiteiten</w:t>
      </w:r>
      <w:proofErr w:type="spellEnd"/>
      <w:r w:rsidRPr="00BD15C9">
        <w:rPr>
          <w:lang w:val="fr-FR"/>
        </w:rPr>
        <w:t xml:space="preserve"> in de </w:t>
      </w:r>
      <w:proofErr w:type="spellStart"/>
      <w:r w:rsidRPr="00BD15C9">
        <w:rPr>
          <w:lang w:val="fr-FR"/>
        </w:rPr>
        <w:t>Europese</w:t>
      </w:r>
      <w:proofErr w:type="spellEnd"/>
      <w:r w:rsidRPr="00BD15C9">
        <w:rPr>
          <w:lang w:val="fr-FR"/>
        </w:rPr>
        <w:t xml:space="preserve"> </w:t>
      </w:r>
      <w:proofErr w:type="spellStart"/>
      <w:r w:rsidRPr="00BD15C9">
        <w:rPr>
          <w:lang w:val="fr-FR"/>
        </w:rPr>
        <w:t>Gemeenschap</w:t>
      </w:r>
      <w:proofErr w:type="spellEnd"/>
      <w:r w:rsidRPr="00BD15C9">
        <w:rPr>
          <w:lang w:val="fr-FR"/>
        </w:rPr>
        <w:t> »). Dans toute l'Union européenne, le code « NACE » est utilisé en tant que</w:t>
      </w:r>
      <w:hyperlink r:id="rId19" w:tooltip="Letterwoord" w:history="1">
        <w:r w:rsidRPr="00BD15C9">
          <w:rPr>
            <w:lang w:val="fr-FR"/>
          </w:rPr>
          <w:t xml:space="preserve"> sigle</w:t>
        </w:r>
      </w:hyperlink>
      <w:r w:rsidRPr="00BD15C9">
        <w:rPr>
          <w:lang w:val="fr-FR"/>
        </w:rPr>
        <w:t xml:space="preserve"> officiel.</w:t>
      </w:r>
    </w:p>
    <w:p w14:paraId="2A368F0B" w14:textId="77777777" w:rsidR="00EF2603" w:rsidRPr="00BD15C9" w:rsidRDefault="00EF2603" w:rsidP="00EF2603">
      <w:pPr>
        <w:jc w:val="both"/>
        <w:rPr>
          <w:lang w:val="fr-FR"/>
        </w:rPr>
      </w:pPr>
      <w:r w:rsidRPr="00BD15C9">
        <w:rPr>
          <w:lang w:val="fr-FR"/>
        </w:rPr>
        <w:t>Le NACE est structuré sur quatre niveaux, allant de général à spécifique. En Belgique, ces codes sont complétés d'un cinquième niveau (NACEBEL) :</w:t>
      </w:r>
    </w:p>
    <w:p w14:paraId="0A1A6B32" w14:textId="79602022" w:rsidR="00EF2603" w:rsidRPr="00BD15C9" w:rsidRDefault="002F437C" w:rsidP="00EF2603">
      <w:pPr>
        <w:pStyle w:val="Paragraphedeliste"/>
        <w:numPr>
          <w:ilvl w:val="0"/>
          <w:numId w:val="25"/>
        </w:numPr>
        <w:jc w:val="both"/>
        <w:rPr>
          <w:lang w:val="fr-FR"/>
        </w:rPr>
      </w:pPr>
      <w:r w:rsidRPr="00BD15C9">
        <w:rPr>
          <w:lang w:val="fr-FR"/>
        </w:rPr>
        <w:t xml:space="preserve">Le </w:t>
      </w:r>
      <w:proofErr w:type="spellStart"/>
      <w:r w:rsidRPr="00BD15C9">
        <w:rPr>
          <w:lang w:val="fr-FR"/>
        </w:rPr>
        <w:t>Level</w:t>
      </w:r>
      <w:proofErr w:type="spellEnd"/>
      <w:r w:rsidRPr="00BD15C9">
        <w:rPr>
          <w:lang w:val="fr-FR"/>
        </w:rPr>
        <w:t xml:space="preserve"> 1 compte 21 sections ; qui représente la taille des secteurs économiques et </w:t>
      </w:r>
      <w:r w:rsidR="00AE4CCB">
        <w:rPr>
          <w:lang w:val="fr-FR"/>
        </w:rPr>
        <w:t>es</w:t>
      </w:r>
      <w:r w:rsidRPr="00BD15C9">
        <w:rPr>
          <w:lang w:val="fr-FR"/>
        </w:rPr>
        <w:t>t désigné par une lettre.</w:t>
      </w:r>
    </w:p>
    <w:p w14:paraId="328F1A9B" w14:textId="18822701" w:rsidR="00EF2603" w:rsidRPr="00BD15C9" w:rsidRDefault="002F437C" w:rsidP="00EF2603">
      <w:pPr>
        <w:pStyle w:val="Paragraphedeliste"/>
        <w:numPr>
          <w:ilvl w:val="0"/>
          <w:numId w:val="25"/>
        </w:numPr>
        <w:jc w:val="both"/>
        <w:rPr>
          <w:lang w:val="fr-FR"/>
        </w:rPr>
      </w:pPr>
      <w:r w:rsidRPr="00BD15C9">
        <w:rPr>
          <w:lang w:val="fr-FR"/>
        </w:rPr>
        <w:t xml:space="preserve">Le </w:t>
      </w:r>
      <w:proofErr w:type="spellStart"/>
      <w:r w:rsidRPr="00BD15C9">
        <w:rPr>
          <w:lang w:val="fr-FR"/>
        </w:rPr>
        <w:t>Level</w:t>
      </w:r>
      <w:proofErr w:type="spellEnd"/>
      <w:r w:rsidRPr="00BD15C9">
        <w:rPr>
          <w:lang w:val="fr-FR"/>
        </w:rPr>
        <w:t xml:space="preserve"> 2 compte 88 divisions ; il s'agit des premières subdivisions des sections et elles sont désignées par deux chiffres.</w:t>
      </w:r>
    </w:p>
    <w:p w14:paraId="36FC840D" w14:textId="1B1ADEBE" w:rsidR="00EF2603" w:rsidRPr="00BD15C9" w:rsidRDefault="002F437C" w:rsidP="00EF2603">
      <w:pPr>
        <w:pStyle w:val="Paragraphedeliste"/>
        <w:numPr>
          <w:ilvl w:val="0"/>
          <w:numId w:val="25"/>
        </w:numPr>
        <w:jc w:val="both"/>
        <w:rPr>
          <w:lang w:val="fr-FR"/>
        </w:rPr>
      </w:pPr>
      <w:r w:rsidRPr="00BD15C9">
        <w:rPr>
          <w:lang w:val="fr-FR"/>
        </w:rPr>
        <w:t xml:space="preserve">Le </w:t>
      </w:r>
      <w:proofErr w:type="spellStart"/>
      <w:r w:rsidRPr="00BD15C9">
        <w:rPr>
          <w:lang w:val="fr-FR"/>
        </w:rPr>
        <w:t>Level</w:t>
      </w:r>
      <w:proofErr w:type="spellEnd"/>
      <w:r w:rsidRPr="00BD15C9">
        <w:rPr>
          <w:lang w:val="fr-FR"/>
        </w:rPr>
        <w:t xml:space="preserve"> 3 compte 272 groupes ; il s'agit des subdivisions suivantes et elles se composent de 3 chiffres (le code de la section + un chiffre supplémentaire).</w:t>
      </w:r>
    </w:p>
    <w:p w14:paraId="1062B51A" w14:textId="4EE8AD01" w:rsidR="00EF2603" w:rsidRPr="00BD15C9" w:rsidRDefault="002F437C" w:rsidP="00EF2603">
      <w:pPr>
        <w:pStyle w:val="Paragraphedeliste"/>
        <w:numPr>
          <w:ilvl w:val="0"/>
          <w:numId w:val="25"/>
        </w:numPr>
        <w:jc w:val="both"/>
        <w:rPr>
          <w:lang w:val="fr-FR"/>
        </w:rPr>
      </w:pPr>
      <w:r w:rsidRPr="00BD15C9">
        <w:rPr>
          <w:lang w:val="fr-FR"/>
        </w:rPr>
        <w:t xml:space="preserve">Le </w:t>
      </w:r>
      <w:proofErr w:type="spellStart"/>
      <w:r w:rsidRPr="00BD15C9">
        <w:rPr>
          <w:lang w:val="fr-FR"/>
        </w:rPr>
        <w:t>Level</w:t>
      </w:r>
      <w:proofErr w:type="spellEnd"/>
      <w:r w:rsidRPr="00BD15C9">
        <w:rPr>
          <w:lang w:val="fr-FR"/>
        </w:rPr>
        <w:t xml:space="preserve"> 4 compte 615 classes ; il s'agit d'une subdivision encore plus détaillée et elle se compose de 4 chiffres (le code du groupe + un chiffre supplémentaire)</w:t>
      </w:r>
    </w:p>
    <w:p w14:paraId="35CA59C6" w14:textId="541F0B48" w:rsidR="00EF2603" w:rsidRPr="00BD15C9" w:rsidRDefault="002F437C" w:rsidP="00EF2603">
      <w:pPr>
        <w:pStyle w:val="Paragraphedeliste"/>
        <w:numPr>
          <w:ilvl w:val="0"/>
          <w:numId w:val="25"/>
        </w:numPr>
        <w:jc w:val="both"/>
        <w:rPr>
          <w:lang w:val="fr-FR"/>
        </w:rPr>
      </w:pPr>
      <w:r w:rsidRPr="00BD15C9">
        <w:rPr>
          <w:lang w:val="fr-FR"/>
        </w:rPr>
        <w:t xml:space="preserve">Le </w:t>
      </w:r>
      <w:proofErr w:type="spellStart"/>
      <w:r w:rsidRPr="00BD15C9">
        <w:rPr>
          <w:lang w:val="fr-FR"/>
        </w:rPr>
        <w:t>Level</w:t>
      </w:r>
      <w:proofErr w:type="spellEnd"/>
      <w:r w:rsidRPr="00BD15C9">
        <w:rPr>
          <w:lang w:val="fr-FR"/>
        </w:rPr>
        <w:t xml:space="preserve"> 5 compte 943 sous-classes belges, composées de 5 chiffres (le code de la classe + un chiffre supplémentaire). </w:t>
      </w:r>
    </w:p>
    <w:p w14:paraId="2EE2C4AB" w14:textId="77777777" w:rsidR="001916ED" w:rsidRPr="00BD15C9" w:rsidRDefault="001916ED" w:rsidP="001C36AE">
      <w:pPr>
        <w:jc w:val="both"/>
        <w:rPr>
          <w:lang w:val="fr-FR"/>
        </w:rPr>
      </w:pPr>
      <w:r w:rsidRPr="00BD15C9">
        <w:rPr>
          <w:lang w:val="fr-FR"/>
        </w:rPr>
        <w:lastRenderedPageBreak/>
        <w:t xml:space="preserve">Au moment de l'identification de l'entreprise, le déclarant doit enregistrer tous les codes NACE(BEL) d'application à l'ensemble de l'entreprise, y compris ses unités d'établissement. </w:t>
      </w:r>
    </w:p>
    <w:p w14:paraId="4C9F8F64" w14:textId="391DCE01" w:rsidR="001C36AE" w:rsidRPr="00BD15C9" w:rsidRDefault="001C36AE" w:rsidP="001C36AE">
      <w:pPr>
        <w:jc w:val="both"/>
        <w:rPr>
          <w:lang w:val="fr-FR"/>
        </w:rPr>
      </w:pPr>
      <w:r w:rsidRPr="00BD15C9">
        <w:rPr>
          <w:lang w:val="fr-FR"/>
        </w:rPr>
        <w:t xml:space="preserve">Au moment de l'enregistrement d'une substance donnée, il est mentionné si la substance est mise sur le marché par l'entreprise principale ou par un siège spécifique et les codes NACE(BEL) spécifiquement d'application à cette substance sont mentionnés. </w:t>
      </w:r>
    </w:p>
    <w:p w14:paraId="204CBCCE" w14:textId="698017A3" w:rsidR="008E5C62" w:rsidRPr="00BD15C9" w:rsidRDefault="008E5C62" w:rsidP="008E5C62">
      <w:pPr>
        <w:jc w:val="both"/>
        <w:rPr>
          <w:lang w:val="fr-FR"/>
        </w:rPr>
      </w:pPr>
      <w:r w:rsidRPr="00BD15C9">
        <w:rPr>
          <w:lang w:val="fr-FR"/>
        </w:rPr>
        <w:t xml:space="preserve">Un code NACE(BEL) mentionné au niveau d'une entreprise ne doit donc pas nécessairement être repris dans les enregistrements. Il n'y a donc pas de lien quantitatif entre les codes mentionnés au niveau au niveau de l'entreprise et les codes mentionnés au niveau des enregistrements. </w:t>
      </w:r>
    </w:p>
    <w:p w14:paraId="3AF3FDA2" w14:textId="3E528AE0" w:rsidR="002D26E0" w:rsidRPr="00BD15C9" w:rsidRDefault="003D05E2" w:rsidP="008E5C62">
      <w:pPr>
        <w:jc w:val="both"/>
        <w:rPr>
          <w:lang w:val="fr-FR"/>
        </w:rPr>
      </w:pPr>
      <w:r w:rsidRPr="00BD15C9">
        <w:rPr>
          <w:lang w:val="fr-FR"/>
        </w:rPr>
        <w:t>Le Déclarant est obligé d'enregistrer les codes NACE(BEL). Le Fournisseur étranger peut enregistrer les codes NACE(BEL) au niveau du compte, mais ce n'est pas obligatoire.</w:t>
      </w:r>
    </w:p>
    <w:p w14:paraId="7C38463E" w14:textId="5B1D529A" w:rsidR="00045BDF" w:rsidRPr="00045BDF" w:rsidRDefault="00045BDF" w:rsidP="00B76985">
      <w:pPr>
        <w:pStyle w:val="Titre2"/>
      </w:pPr>
      <w:bookmarkStart w:id="46" w:name="_Ref74735391"/>
      <w:bookmarkStart w:id="47" w:name="_Toc76034171"/>
      <w:r>
        <w:t>Activités économiques des déclarants</w:t>
      </w:r>
      <w:bookmarkEnd w:id="46"/>
      <w:bookmarkEnd w:id="47"/>
    </w:p>
    <w:p w14:paraId="68966A40" w14:textId="3B0F4BE2" w:rsidR="00673101" w:rsidRDefault="00C51440" w:rsidP="001C36AE">
      <w:pPr>
        <w:jc w:val="both"/>
        <w:rPr>
          <w:lang w:val="fr-FR"/>
        </w:rPr>
      </w:pPr>
      <w:r w:rsidRPr="00BD15C9">
        <w:rPr>
          <w:lang w:val="fr-FR"/>
        </w:rPr>
        <w:t xml:space="preserve">Le tableau ci-dessous donne un aperçu de tous les codes NACE(BEL) complétés par les deux types de déclarants au niveau de l'entreprise. La liste est triée sur la base du chiffre du code. </w:t>
      </w:r>
    </w:p>
    <w:p w14:paraId="0D0A09B3" w14:textId="026716B0" w:rsidR="009441CD" w:rsidRPr="00384923" w:rsidRDefault="00A91E8E" w:rsidP="009441CD">
      <w:pPr>
        <w:jc w:val="both"/>
        <w:rPr>
          <w:lang w:val="nl-BE"/>
        </w:rPr>
      </w:pPr>
      <w:r w:rsidRPr="00384923">
        <w:rPr>
          <w:lang w:val="nl-BE"/>
        </w:rPr>
        <w:t>20</w:t>
      </w:r>
      <w:r w:rsidR="00351103">
        <w:rPr>
          <w:lang w:val="nl-BE"/>
        </w:rPr>
        <w:t>20</w:t>
      </w:r>
      <w:r w:rsidR="009441CD" w:rsidRPr="00384923">
        <w:rPr>
          <w:lang w:val="nl-BE"/>
        </w:rPr>
        <w:t>:</w:t>
      </w:r>
    </w:p>
    <w:tbl>
      <w:tblPr>
        <w:tblStyle w:val="Grilledutableau"/>
        <w:tblW w:w="0" w:type="auto"/>
        <w:tblLook w:val="04A0" w:firstRow="1" w:lastRow="0" w:firstColumn="1" w:lastColumn="0" w:noHBand="0" w:noVBand="1"/>
      </w:tblPr>
      <w:tblGrid>
        <w:gridCol w:w="1244"/>
        <w:gridCol w:w="8106"/>
      </w:tblGrid>
      <w:tr w:rsidR="009441CD" w:rsidRPr="007F1FE2" w14:paraId="2280A264" w14:textId="77777777" w:rsidTr="009441CD">
        <w:trPr>
          <w:trHeight w:val="300"/>
          <w:tblHeader/>
        </w:trPr>
        <w:tc>
          <w:tcPr>
            <w:tcW w:w="9350" w:type="dxa"/>
            <w:gridSpan w:val="2"/>
            <w:tcBorders>
              <w:top w:val="single" w:sz="4" w:space="0" w:color="auto"/>
              <w:left w:val="single" w:sz="4" w:space="0" w:color="auto"/>
              <w:bottom w:val="single" w:sz="4" w:space="0" w:color="auto"/>
              <w:right w:val="single" w:sz="4" w:space="0" w:color="auto"/>
            </w:tcBorders>
            <w:noWrap/>
          </w:tcPr>
          <w:p w14:paraId="43139640" w14:textId="77777777" w:rsidR="00462C1B" w:rsidRPr="00384923" w:rsidRDefault="00462C1B" w:rsidP="00462C1B">
            <w:pPr>
              <w:rPr>
                <w:b/>
                <w:i/>
                <w:lang w:val="fr-FR"/>
              </w:rPr>
            </w:pPr>
            <w:r w:rsidRPr="00384923">
              <w:rPr>
                <w:b/>
                <w:i/>
                <w:lang w:val="fr-FR"/>
              </w:rPr>
              <w:t>Tableau : aperçu des codes NACE(BEL) tels qu'ils ont été enregistrés au niveau de l'entreprise</w:t>
            </w:r>
          </w:p>
          <w:p w14:paraId="35C004B0" w14:textId="77777777" w:rsidR="009441CD" w:rsidRPr="00384923" w:rsidRDefault="009441CD">
            <w:pPr>
              <w:rPr>
                <w:lang w:val="fr-FR"/>
              </w:rPr>
            </w:pPr>
          </w:p>
        </w:tc>
      </w:tr>
      <w:tr w:rsidR="009441CD" w14:paraId="242979AB" w14:textId="77777777" w:rsidTr="009441CD">
        <w:trPr>
          <w:trHeight w:val="300"/>
          <w:tblHeader/>
        </w:trPr>
        <w:tc>
          <w:tcPr>
            <w:tcW w:w="1244" w:type="dxa"/>
            <w:tcBorders>
              <w:top w:val="single" w:sz="4" w:space="0" w:color="auto"/>
              <w:left w:val="single" w:sz="4" w:space="0" w:color="auto"/>
              <w:bottom w:val="single" w:sz="4" w:space="0" w:color="auto"/>
              <w:right w:val="single" w:sz="4" w:space="0" w:color="auto"/>
            </w:tcBorders>
            <w:noWrap/>
            <w:hideMark/>
          </w:tcPr>
          <w:p w14:paraId="3BE2909F" w14:textId="77777777" w:rsidR="009441CD" w:rsidRPr="00384923" w:rsidRDefault="009441CD">
            <w:pPr>
              <w:jc w:val="center"/>
              <w:rPr>
                <w:b/>
                <w:lang w:val="nl-BE"/>
              </w:rPr>
            </w:pPr>
            <w:r w:rsidRPr="00384923">
              <w:rPr>
                <w:b/>
                <w:lang w:val="nl-BE"/>
              </w:rPr>
              <w:t>Code</w:t>
            </w:r>
          </w:p>
        </w:tc>
        <w:tc>
          <w:tcPr>
            <w:tcW w:w="8106" w:type="dxa"/>
            <w:tcBorders>
              <w:top w:val="single" w:sz="4" w:space="0" w:color="auto"/>
              <w:left w:val="single" w:sz="4" w:space="0" w:color="auto"/>
              <w:bottom w:val="single" w:sz="4" w:space="0" w:color="auto"/>
              <w:right w:val="single" w:sz="4" w:space="0" w:color="auto"/>
            </w:tcBorders>
            <w:hideMark/>
          </w:tcPr>
          <w:p w14:paraId="7DD309BC" w14:textId="74AEBFE0" w:rsidR="009441CD" w:rsidRPr="00384923" w:rsidRDefault="00462C1B">
            <w:pPr>
              <w:jc w:val="center"/>
              <w:rPr>
                <w:b/>
                <w:lang w:val="nl-BE"/>
              </w:rPr>
            </w:pPr>
            <w:proofErr w:type="spellStart"/>
            <w:r w:rsidRPr="00384923">
              <w:rPr>
                <w:b/>
                <w:lang w:val="nl-BE"/>
              </w:rPr>
              <w:t>Description</w:t>
            </w:r>
            <w:proofErr w:type="spellEnd"/>
          </w:p>
        </w:tc>
      </w:tr>
      <w:tr w:rsidR="009441CD" w:rsidRPr="007F1FE2" w14:paraId="5FA69933" w14:textId="77777777" w:rsidTr="00A10AD9">
        <w:trPr>
          <w:trHeight w:val="300"/>
        </w:trPr>
        <w:tc>
          <w:tcPr>
            <w:tcW w:w="1244" w:type="dxa"/>
            <w:tcBorders>
              <w:top w:val="single" w:sz="4" w:space="0" w:color="auto"/>
              <w:left w:val="single" w:sz="4" w:space="0" w:color="auto"/>
              <w:bottom w:val="single" w:sz="4" w:space="0" w:color="auto"/>
              <w:right w:val="single" w:sz="4" w:space="0" w:color="auto"/>
            </w:tcBorders>
            <w:noWrap/>
          </w:tcPr>
          <w:p w14:paraId="662D5F13" w14:textId="47DE019A" w:rsidR="009441CD" w:rsidRPr="00384923" w:rsidRDefault="00351103">
            <w:pPr>
              <w:jc w:val="right"/>
              <w:rPr>
                <w:rFonts w:ascii="Calibri" w:eastAsia="Times New Roman" w:hAnsi="Calibri" w:cs="Times New Roman"/>
              </w:rPr>
            </w:pPr>
            <w:r>
              <w:rPr>
                <w:rFonts w:ascii="Calibri" w:eastAsia="Times New Roman" w:hAnsi="Calibri" w:cs="Times New Roman"/>
              </w:rPr>
              <w:t>01</w:t>
            </w:r>
          </w:p>
        </w:tc>
        <w:tc>
          <w:tcPr>
            <w:tcW w:w="8106" w:type="dxa"/>
            <w:tcBorders>
              <w:top w:val="single" w:sz="4" w:space="0" w:color="auto"/>
              <w:left w:val="single" w:sz="4" w:space="0" w:color="auto"/>
              <w:bottom w:val="single" w:sz="4" w:space="0" w:color="auto"/>
              <w:right w:val="single" w:sz="4" w:space="0" w:color="auto"/>
            </w:tcBorders>
            <w:noWrap/>
          </w:tcPr>
          <w:p w14:paraId="75A54074" w14:textId="2AF05C79" w:rsidR="009441CD" w:rsidRPr="00384923" w:rsidRDefault="008D3F6D">
            <w:pPr>
              <w:rPr>
                <w:rFonts w:asciiTheme="majorHAnsi" w:hAnsiTheme="majorHAnsi" w:cs="Arial"/>
                <w:lang w:val="fr-FR"/>
              </w:rPr>
            </w:pPr>
            <w:r w:rsidRPr="008D3F6D">
              <w:rPr>
                <w:rFonts w:asciiTheme="majorHAnsi" w:hAnsiTheme="majorHAnsi" w:cs="Arial"/>
                <w:lang w:val="fr-FR"/>
              </w:rPr>
              <w:t>Culture et production animale, chasse et services annexes</w:t>
            </w:r>
          </w:p>
        </w:tc>
      </w:tr>
      <w:tr w:rsidR="00351103" w:rsidRPr="007F1FE2" w14:paraId="4F90F312"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tcPr>
          <w:p w14:paraId="31D508A1" w14:textId="3C3573A6" w:rsidR="00351103" w:rsidRPr="00384923" w:rsidRDefault="00351103">
            <w:pPr>
              <w:jc w:val="right"/>
              <w:rPr>
                <w:rFonts w:ascii="Calibri" w:eastAsia="Times New Roman" w:hAnsi="Calibri" w:cs="Times New Roman"/>
              </w:rPr>
            </w:pPr>
            <w:r>
              <w:rPr>
                <w:rFonts w:ascii="Calibri" w:eastAsia="Times New Roman" w:hAnsi="Calibri" w:cs="Times New Roman"/>
              </w:rPr>
              <w:t>01610</w:t>
            </w:r>
          </w:p>
        </w:tc>
        <w:tc>
          <w:tcPr>
            <w:tcW w:w="8106" w:type="dxa"/>
            <w:tcBorders>
              <w:top w:val="single" w:sz="4" w:space="0" w:color="auto"/>
              <w:left w:val="single" w:sz="4" w:space="0" w:color="auto"/>
              <w:bottom w:val="single" w:sz="4" w:space="0" w:color="auto"/>
              <w:right w:val="single" w:sz="4" w:space="0" w:color="auto"/>
            </w:tcBorders>
            <w:noWrap/>
          </w:tcPr>
          <w:p w14:paraId="54B8C601" w14:textId="6728686F" w:rsidR="00351103" w:rsidRPr="00384923" w:rsidRDefault="008D3F6D">
            <w:pPr>
              <w:rPr>
                <w:rFonts w:asciiTheme="majorHAnsi" w:hAnsiTheme="majorHAnsi" w:cs="Arial"/>
                <w:lang w:val="fr-FR"/>
              </w:rPr>
            </w:pPr>
            <w:r w:rsidRPr="008D3F6D">
              <w:rPr>
                <w:rFonts w:asciiTheme="majorHAnsi" w:hAnsiTheme="majorHAnsi" w:cs="Arial"/>
                <w:lang w:val="fr-FR"/>
              </w:rPr>
              <w:t>Activités de soutien aux cultures</w:t>
            </w:r>
          </w:p>
        </w:tc>
      </w:tr>
      <w:tr w:rsidR="00351103" w:rsidRPr="00BF4BF9" w14:paraId="7A632292"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tcPr>
          <w:p w14:paraId="55B0314C" w14:textId="5C437F79" w:rsidR="00351103" w:rsidRPr="00384923" w:rsidRDefault="00351103" w:rsidP="00351103">
            <w:pPr>
              <w:jc w:val="right"/>
              <w:rPr>
                <w:rFonts w:ascii="Calibri" w:eastAsia="Times New Roman" w:hAnsi="Calibri" w:cs="Times New Roman"/>
              </w:rPr>
            </w:pPr>
            <w:r w:rsidRPr="00384923">
              <w:rPr>
                <w:rFonts w:ascii="Calibri" w:eastAsia="Times New Roman" w:hAnsi="Calibri" w:cs="Times New Roman"/>
              </w:rPr>
              <w:t>10620</w:t>
            </w:r>
          </w:p>
        </w:tc>
        <w:tc>
          <w:tcPr>
            <w:tcW w:w="8106" w:type="dxa"/>
            <w:tcBorders>
              <w:top w:val="single" w:sz="4" w:space="0" w:color="auto"/>
              <w:left w:val="single" w:sz="4" w:space="0" w:color="auto"/>
              <w:bottom w:val="single" w:sz="4" w:space="0" w:color="auto"/>
              <w:right w:val="single" w:sz="4" w:space="0" w:color="auto"/>
            </w:tcBorders>
            <w:noWrap/>
          </w:tcPr>
          <w:p w14:paraId="63602472" w14:textId="247E3D4B" w:rsidR="00351103" w:rsidRPr="00384923" w:rsidRDefault="00351103" w:rsidP="00351103">
            <w:pPr>
              <w:rPr>
                <w:rFonts w:asciiTheme="majorHAnsi" w:hAnsiTheme="majorHAnsi" w:cs="Arial"/>
                <w:lang w:val="fr-FR"/>
              </w:rPr>
            </w:pPr>
            <w:r w:rsidRPr="00384923">
              <w:rPr>
                <w:rFonts w:asciiTheme="majorHAnsi" w:hAnsiTheme="majorHAnsi" w:cs="Arial"/>
                <w:lang w:val="fr-FR"/>
              </w:rPr>
              <w:t>Fabrication de produits amylacés</w:t>
            </w:r>
          </w:p>
        </w:tc>
      </w:tr>
      <w:tr w:rsidR="00351103" w:rsidRPr="007F1FE2" w14:paraId="2DB35879"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15502B7F" w14:textId="77777777" w:rsidR="00351103" w:rsidRPr="00384923" w:rsidRDefault="00351103" w:rsidP="00351103">
            <w:pPr>
              <w:jc w:val="right"/>
              <w:rPr>
                <w:rFonts w:ascii="Calibri" w:eastAsia="Times New Roman" w:hAnsi="Calibri" w:cs="Times New Roman"/>
              </w:rPr>
            </w:pPr>
            <w:r w:rsidRPr="00384923">
              <w:rPr>
                <w:rFonts w:ascii="Calibri" w:eastAsia="Times New Roman" w:hAnsi="Calibri" w:cs="Times New Roman"/>
              </w:rPr>
              <w:t>1814001</w:t>
            </w:r>
          </w:p>
        </w:tc>
        <w:tc>
          <w:tcPr>
            <w:tcW w:w="8106" w:type="dxa"/>
            <w:tcBorders>
              <w:top w:val="single" w:sz="4" w:space="0" w:color="auto"/>
              <w:left w:val="single" w:sz="4" w:space="0" w:color="auto"/>
              <w:bottom w:val="single" w:sz="4" w:space="0" w:color="auto"/>
              <w:right w:val="single" w:sz="4" w:space="0" w:color="auto"/>
            </w:tcBorders>
            <w:noWrap/>
            <w:hideMark/>
          </w:tcPr>
          <w:p w14:paraId="3FA1652D" w14:textId="3EA63D84" w:rsidR="00351103" w:rsidRPr="00384923" w:rsidRDefault="00351103" w:rsidP="00351103">
            <w:pPr>
              <w:rPr>
                <w:rFonts w:asciiTheme="majorHAnsi" w:hAnsiTheme="majorHAnsi" w:cs="Arial"/>
                <w:lang w:val="fr-FR"/>
              </w:rPr>
            </w:pPr>
            <w:r w:rsidRPr="00384923">
              <w:rPr>
                <w:rFonts w:asciiTheme="majorHAnsi" w:hAnsiTheme="majorHAnsi" w:cs="Arial"/>
                <w:lang w:val="fr-FR"/>
              </w:rPr>
              <w:t>Pliage, assemblage, agrafage, reliure, collage, massicotage, dorage de feuillets imprimés à insérer dans des livres, brochures, périodiques, catalogues, etc.</w:t>
            </w:r>
          </w:p>
        </w:tc>
      </w:tr>
      <w:tr w:rsidR="00351103" w14:paraId="7F3B12E6"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5455EDBA" w14:textId="77777777" w:rsidR="00351103" w:rsidRPr="00384923" w:rsidRDefault="00351103" w:rsidP="00351103">
            <w:pPr>
              <w:jc w:val="right"/>
              <w:rPr>
                <w:rFonts w:ascii="Calibri" w:eastAsia="Times New Roman" w:hAnsi="Calibri" w:cs="Times New Roman"/>
              </w:rPr>
            </w:pPr>
            <w:r w:rsidRPr="00384923">
              <w:rPr>
                <w:rFonts w:ascii="Calibri" w:eastAsia="Times New Roman" w:hAnsi="Calibri" w:cs="Times New Roman"/>
              </w:rPr>
              <w:t>20</w:t>
            </w:r>
          </w:p>
        </w:tc>
        <w:tc>
          <w:tcPr>
            <w:tcW w:w="8106" w:type="dxa"/>
            <w:tcBorders>
              <w:top w:val="single" w:sz="4" w:space="0" w:color="auto"/>
              <w:left w:val="single" w:sz="4" w:space="0" w:color="auto"/>
              <w:bottom w:val="single" w:sz="4" w:space="0" w:color="auto"/>
              <w:right w:val="single" w:sz="4" w:space="0" w:color="auto"/>
            </w:tcBorders>
            <w:noWrap/>
            <w:hideMark/>
          </w:tcPr>
          <w:p w14:paraId="7F8DD541" w14:textId="3D9452BF" w:rsidR="00351103" w:rsidRPr="00384923" w:rsidRDefault="00351103" w:rsidP="00351103">
            <w:pPr>
              <w:rPr>
                <w:rFonts w:asciiTheme="majorHAnsi" w:hAnsiTheme="majorHAnsi" w:cs="Arial"/>
                <w:lang w:val="fr-FR"/>
              </w:rPr>
            </w:pPr>
            <w:r w:rsidRPr="00384923">
              <w:rPr>
                <w:rFonts w:asciiTheme="majorHAnsi" w:hAnsiTheme="majorHAnsi" w:cs="Arial"/>
                <w:lang w:val="fr-FR"/>
              </w:rPr>
              <w:t>Industrie chimique</w:t>
            </w:r>
          </w:p>
        </w:tc>
      </w:tr>
      <w:tr w:rsidR="00351103" w:rsidRPr="007F1FE2" w14:paraId="28482D51"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1850FE2A" w14:textId="77777777" w:rsidR="00351103" w:rsidRPr="00384923" w:rsidRDefault="00351103" w:rsidP="00351103">
            <w:pPr>
              <w:jc w:val="right"/>
              <w:rPr>
                <w:rFonts w:ascii="Calibri" w:eastAsia="Times New Roman" w:hAnsi="Calibri" w:cs="Times New Roman"/>
              </w:rPr>
            </w:pPr>
            <w:r w:rsidRPr="00384923">
              <w:rPr>
                <w:rFonts w:ascii="Calibri" w:eastAsia="Times New Roman" w:hAnsi="Calibri" w:cs="Times New Roman"/>
              </w:rPr>
              <w:t>201</w:t>
            </w:r>
          </w:p>
        </w:tc>
        <w:tc>
          <w:tcPr>
            <w:tcW w:w="8106" w:type="dxa"/>
            <w:tcBorders>
              <w:top w:val="single" w:sz="4" w:space="0" w:color="auto"/>
              <w:left w:val="single" w:sz="4" w:space="0" w:color="auto"/>
              <w:bottom w:val="single" w:sz="4" w:space="0" w:color="auto"/>
              <w:right w:val="single" w:sz="4" w:space="0" w:color="auto"/>
            </w:tcBorders>
            <w:noWrap/>
            <w:hideMark/>
          </w:tcPr>
          <w:p w14:paraId="7633476E" w14:textId="26017D70" w:rsidR="00351103" w:rsidRPr="00384923" w:rsidRDefault="00351103" w:rsidP="00351103">
            <w:pPr>
              <w:rPr>
                <w:rFonts w:asciiTheme="majorHAnsi" w:hAnsiTheme="majorHAnsi" w:cs="Arial"/>
                <w:lang w:val="fr-FR"/>
              </w:rPr>
            </w:pPr>
            <w:r w:rsidRPr="00384923">
              <w:rPr>
                <w:rFonts w:asciiTheme="majorHAnsi" w:hAnsiTheme="majorHAnsi" w:cs="Arial"/>
                <w:lang w:val="fr-FR"/>
              </w:rPr>
              <w:t>Fabrication de produits chimiques de base, de produits azotés et d'engrais, de matières plastiques de base et de caoutchouc synthétique</w:t>
            </w:r>
          </w:p>
        </w:tc>
      </w:tr>
      <w:tr w:rsidR="00351103" w:rsidRPr="007F1FE2" w14:paraId="21822D66"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73FF34B2" w14:textId="77777777" w:rsidR="00351103" w:rsidRPr="00384923" w:rsidRDefault="00351103" w:rsidP="00351103">
            <w:pPr>
              <w:jc w:val="right"/>
              <w:rPr>
                <w:rFonts w:ascii="Calibri" w:eastAsia="Times New Roman" w:hAnsi="Calibri" w:cs="Times New Roman"/>
              </w:rPr>
            </w:pPr>
            <w:r w:rsidRPr="00384923">
              <w:rPr>
                <w:rFonts w:ascii="Calibri" w:eastAsia="Times New Roman" w:hAnsi="Calibri" w:cs="Times New Roman"/>
              </w:rPr>
              <w:t>2012</w:t>
            </w:r>
          </w:p>
        </w:tc>
        <w:tc>
          <w:tcPr>
            <w:tcW w:w="8106" w:type="dxa"/>
            <w:tcBorders>
              <w:top w:val="single" w:sz="4" w:space="0" w:color="auto"/>
              <w:left w:val="single" w:sz="4" w:space="0" w:color="auto"/>
              <w:bottom w:val="single" w:sz="4" w:space="0" w:color="auto"/>
              <w:right w:val="single" w:sz="4" w:space="0" w:color="auto"/>
            </w:tcBorders>
            <w:noWrap/>
            <w:hideMark/>
          </w:tcPr>
          <w:p w14:paraId="20957A51" w14:textId="12E328FE" w:rsidR="00351103" w:rsidRPr="00384923" w:rsidRDefault="00351103" w:rsidP="00351103">
            <w:pPr>
              <w:rPr>
                <w:rFonts w:asciiTheme="majorHAnsi" w:hAnsiTheme="majorHAnsi" w:cs="Arial"/>
                <w:lang w:val="fr-FR"/>
              </w:rPr>
            </w:pPr>
            <w:r w:rsidRPr="00384923">
              <w:rPr>
                <w:rFonts w:asciiTheme="majorHAnsi" w:hAnsiTheme="majorHAnsi" w:cs="Arial"/>
                <w:lang w:val="fr-FR"/>
              </w:rPr>
              <w:t>Fabrication de colorants et de pigments</w:t>
            </w:r>
          </w:p>
        </w:tc>
      </w:tr>
      <w:tr w:rsidR="00351103" w:rsidRPr="007F1FE2" w14:paraId="7DF44C46"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1A146FD5" w14:textId="77777777" w:rsidR="00351103" w:rsidRPr="00384923" w:rsidRDefault="00351103" w:rsidP="00351103">
            <w:pPr>
              <w:jc w:val="right"/>
              <w:rPr>
                <w:rFonts w:ascii="Calibri" w:eastAsia="Times New Roman" w:hAnsi="Calibri" w:cs="Times New Roman"/>
              </w:rPr>
            </w:pPr>
            <w:r w:rsidRPr="00384923">
              <w:rPr>
                <w:rFonts w:ascii="Calibri" w:eastAsia="Times New Roman" w:hAnsi="Calibri" w:cs="Times New Roman"/>
              </w:rPr>
              <w:t>20120</w:t>
            </w:r>
          </w:p>
        </w:tc>
        <w:tc>
          <w:tcPr>
            <w:tcW w:w="8106" w:type="dxa"/>
            <w:tcBorders>
              <w:top w:val="single" w:sz="4" w:space="0" w:color="auto"/>
              <w:left w:val="single" w:sz="4" w:space="0" w:color="auto"/>
              <w:bottom w:val="single" w:sz="4" w:space="0" w:color="auto"/>
              <w:right w:val="single" w:sz="4" w:space="0" w:color="auto"/>
            </w:tcBorders>
            <w:noWrap/>
            <w:hideMark/>
          </w:tcPr>
          <w:p w14:paraId="1D1306B0" w14:textId="65DC3D04" w:rsidR="00351103" w:rsidRPr="00384923" w:rsidRDefault="00351103" w:rsidP="00351103">
            <w:pPr>
              <w:rPr>
                <w:rFonts w:asciiTheme="majorHAnsi" w:hAnsiTheme="majorHAnsi" w:cs="Arial"/>
                <w:lang w:val="fr-FR"/>
              </w:rPr>
            </w:pPr>
            <w:r w:rsidRPr="00384923">
              <w:rPr>
                <w:rFonts w:asciiTheme="majorHAnsi" w:hAnsiTheme="majorHAnsi" w:cs="Arial"/>
                <w:lang w:val="fr-FR"/>
              </w:rPr>
              <w:t>Fabrication de colorants et de pigments</w:t>
            </w:r>
          </w:p>
        </w:tc>
      </w:tr>
      <w:tr w:rsidR="00351103" w:rsidRPr="007F1FE2" w14:paraId="5FA79FF1"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201F1E6E" w14:textId="77777777" w:rsidR="00351103" w:rsidRPr="00384923" w:rsidRDefault="00351103" w:rsidP="00351103">
            <w:pPr>
              <w:jc w:val="right"/>
              <w:rPr>
                <w:rFonts w:ascii="Calibri" w:eastAsia="Times New Roman" w:hAnsi="Calibri" w:cs="Times New Roman"/>
              </w:rPr>
            </w:pPr>
            <w:r w:rsidRPr="00384923">
              <w:rPr>
                <w:rFonts w:ascii="Calibri" w:eastAsia="Times New Roman" w:hAnsi="Calibri" w:cs="Times New Roman"/>
              </w:rPr>
              <w:t>2012001</w:t>
            </w:r>
          </w:p>
        </w:tc>
        <w:tc>
          <w:tcPr>
            <w:tcW w:w="8106" w:type="dxa"/>
            <w:tcBorders>
              <w:top w:val="single" w:sz="4" w:space="0" w:color="auto"/>
              <w:left w:val="single" w:sz="4" w:space="0" w:color="auto"/>
              <w:bottom w:val="single" w:sz="4" w:space="0" w:color="auto"/>
              <w:right w:val="single" w:sz="4" w:space="0" w:color="auto"/>
            </w:tcBorders>
            <w:noWrap/>
            <w:hideMark/>
          </w:tcPr>
          <w:p w14:paraId="64DF2552" w14:textId="06B0BC03" w:rsidR="00351103" w:rsidRPr="00384923" w:rsidRDefault="00351103" w:rsidP="00351103">
            <w:pPr>
              <w:rPr>
                <w:rFonts w:asciiTheme="majorHAnsi" w:hAnsiTheme="majorHAnsi" w:cs="Arial"/>
                <w:lang w:val="fr-FR"/>
              </w:rPr>
            </w:pPr>
            <w:r w:rsidRPr="00384923">
              <w:rPr>
                <w:rFonts w:asciiTheme="majorHAnsi" w:hAnsiTheme="majorHAnsi" w:cs="Arial"/>
                <w:lang w:val="fr-FR"/>
              </w:rPr>
              <w:t>Fabrication d'autres produits chimiques inorganiques de base</w:t>
            </w:r>
          </w:p>
        </w:tc>
      </w:tr>
      <w:tr w:rsidR="00351103" w:rsidRPr="007F1FE2" w14:paraId="1F47395D"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3CAFC2A2" w14:textId="77777777" w:rsidR="00351103" w:rsidRPr="00384923" w:rsidRDefault="00351103" w:rsidP="00351103">
            <w:pPr>
              <w:jc w:val="right"/>
              <w:rPr>
                <w:rFonts w:ascii="Calibri" w:eastAsia="Times New Roman" w:hAnsi="Calibri" w:cs="Times New Roman"/>
              </w:rPr>
            </w:pPr>
            <w:r w:rsidRPr="00384923">
              <w:rPr>
                <w:rFonts w:ascii="Calibri" w:eastAsia="Times New Roman" w:hAnsi="Calibri" w:cs="Times New Roman"/>
              </w:rPr>
              <w:t>2013</w:t>
            </w:r>
          </w:p>
        </w:tc>
        <w:tc>
          <w:tcPr>
            <w:tcW w:w="8106" w:type="dxa"/>
            <w:tcBorders>
              <w:top w:val="single" w:sz="4" w:space="0" w:color="auto"/>
              <w:left w:val="single" w:sz="4" w:space="0" w:color="auto"/>
              <w:bottom w:val="single" w:sz="4" w:space="0" w:color="auto"/>
              <w:right w:val="single" w:sz="4" w:space="0" w:color="auto"/>
            </w:tcBorders>
            <w:noWrap/>
            <w:hideMark/>
          </w:tcPr>
          <w:p w14:paraId="3DCA91C6" w14:textId="63EBC186" w:rsidR="00351103" w:rsidRPr="00384923" w:rsidRDefault="00351103" w:rsidP="00351103">
            <w:pPr>
              <w:rPr>
                <w:rFonts w:asciiTheme="majorHAnsi" w:hAnsiTheme="majorHAnsi" w:cs="Arial"/>
                <w:lang w:val="fr-FR"/>
              </w:rPr>
            </w:pPr>
            <w:r w:rsidRPr="00384923">
              <w:rPr>
                <w:rFonts w:asciiTheme="majorHAnsi" w:hAnsiTheme="majorHAnsi" w:cs="Arial"/>
                <w:lang w:val="fr-FR"/>
              </w:rPr>
              <w:t>Fabrication d'autres produits chimiques inorganiques de base</w:t>
            </w:r>
          </w:p>
        </w:tc>
      </w:tr>
      <w:tr w:rsidR="00351103" w:rsidRPr="007F1FE2" w14:paraId="48D5B34B"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0A7075DC" w14:textId="77777777" w:rsidR="00351103" w:rsidRPr="00384923" w:rsidRDefault="00351103" w:rsidP="00351103">
            <w:pPr>
              <w:jc w:val="right"/>
              <w:rPr>
                <w:rFonts w:ascii="Calibri" w:eastAsia="Times New Roman" w:hAnsi="Calibri" w:cs="Times New Roman"/>
              </w:rPr>
            </w:pPr>
            <w:r w:rsidRPr="00384923">
              <w:rPr>
                <w:rFonts w:ascii="Calibri" w:eastAsia="Times New Roman" w:hAnsi="Calibri" w:cs="Times New Roman"/>
              </w:rPr>
              <w:t>20130</w:t>
            </w:r>
          </w:p>
        </w:tc>
        <w:tc>
          <w:tcPr>
            <w:tcW w:w="8106" w:type="dxa"/>
            <w:tcBorders>
              <w:top w:val="single" w:sz="4" w:space="0" w:color="auto"/>
              <w:left w:val="single" w:sz="4" w:space="0" w:color="auto"/>
              <w:bottom w:val="single" w:sz="4" w:space="0" w:color="auto"/>
              <w:right w:val="single" w:sz="4" w:space="0" w:color="auto"/>
            </w:tcBorders>
            <w:noWrap/>
            <w:hideMark/>
          </w:tcPr>
          <w:p w14:paraId="176640EE" w14:textId="5DFF3113" w:rsidR="00351103" w:rsidRPr="00384923" w:rsidRDefault="00351103" w:rsidP="00351103">
            <w:pPr>
              <w:rPr>
                <w:rFonts w:asciiTheme="majorHAnsi" w:hAnsiTheme="majorHAnsi" w:cs="Arial"/>
                <w:lang w:val="fr-FR"/>
              </w:rPr>
            </w:pPr>
            <w:r w:rsidRPr="00384923">
              <w:rPr>
                <w:rFonts w:asciiTheme="majorHAnsi" w:hAnsiTheme="majorHAnsi" w:cs="Arial"/>
                <w:lang w:val="fr-FR"/>
              </w:rPr>
              <w:t>Pliage, assemblage, agrafage, reliure, collage, massicotage, dorage de feuillets imprimés à insérer dans des livres, brochures, périodiques, catalogues, etc.</w:t>
            </w:r>
          </w:p>
        </w:tc>
      </w:tr>
      <w:tr w:rsidR="00351103" w:rsidRPr="007F1FE2" w14:paraId="3E821B14"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494C0D00" w14:textId="77777777" w:rsidR="00351103" w:rsidRPr="00384923" w:rsidRDefault="00351103" w:rsidP="00351103">
            <w:pPr>
              <w:jc w:val="right"/>
              <w:rPr>
                <w:rFonts w:ascii="Calibri" w:eastAsia="Times New Roman" w:hAnsi="Calibri" w:cs="Times New Roman"/>
              </w:rPr>
            </w:pPr>
            <w:r w:rsidRPr="00384923">
              <w:rPr>
                <w:rFonts w:ascii="Calibri" w:eastAsia="Times New Roman" w:hAnsi="Calibri" w:cs="Times New Roman"/>
              </w:rPr>
              <w:t>2013001</w:t>
            </w:r>
          </w:p>
        </w:tc>
        <w:tc>
          <w:tcPr>
            <w:tcW w:w="8106" w:type="dxa"/>
            <w:tcBorders>
              <w:top w:val="single" w:sz="4" w:space="0" w:color="auto"/>
              <w:left w:val="single" w:sz="4" w:space="0" w:color="auto"/>
              <w:bottom w:val="single" w:sz="4" w:space="0" w:color="auto"/>
              <w:right w:val="single" w:sz="4" w:space="0" w:color="auto"/>
            </w:tcBorders>
            <w:noWrap/>
            <w:hideMark/>
          </w:tcPr>
          <w:p w14:paraId="059BA127" w14:textId="6AC2E671" w:rsidR="00351103" w:rsidRPr="00384923" w:rsidRDefault="00351103" w:rsidP="00351103">
            <w:pPr>
              <w:rPr>
                <w:rFonts w:asciiTheme="majorHAnsi" w:hAnsiTheme="majorHAnsi" w:cs="Arial"/>
                <w:lang w:val="fr-FR"/>
              </w:rPr>
            </w:pPr>
            <w:r w:rsidRPr="00384923">
              <w:rPr>
                <w:rFonts w:asciiTheme="majorHAnsi" w:hAnsiTheme="majorHAnsi" w:cs="Arial"/>
                <w:lang w:val="fr-FR"/>
              </w:rPr>
              <w:t>Fabrication d'éléments chimiques, à l'exclusion des métaux, des gaz élémentaires d'origine industrielle et des éléments radioactifs issus de l'industrie des combustibles nucléaires</w:t>
            </w:r>
          </w:p>
        </w:tc>
      </w:tr>
      <w:tr w:rsidR="00351103" w:rsidRPr="007F1FE2" w14:paraId="2C5C6BD1"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tcPr>
          <w:p w14:paraId="08AB235D" w14:textId="10FB2A7F" w:rsidR="00351103" w:rsidRPr="00384923" w:rsidRDefault="00351103" w:rsidP="00351103">
            <w:pPr>
              <w:jc w:val="right"/>
              <w:rPr>
                <w:rFonts w:ascii="Calibri" w:eastAsia="Times New Roman" w:hAnsi="Calibri" w:cs="Times New Roman"/>
              </w:rPr>
            </w:pPr>
            <w:r>
              <w:rPr>
                <w:rFonts w:ascii="Calibri" w:eastAsia="Times New Roman" w:hAnsi="Calibri" w:cs="Times New Roman"/>
              </w:rPr>
              <w:t>2013003</w:t>
            </w:r>
          </w:p>
        </w:tc>
        <w:tc>
          <w:tcPr>
            <w:tcW w:w="8106" w:type="dxa"/>
            <w:tcBorders>
              <w:top w:val="single" w:sz="4" w:space="0" w:color="auto"/>
              <w:left w:val="single" w:sz="4" w:space="0" w:color="auto"/>
              <w:bottom w:val="single" w:sz="4" w:space="0" w:color="auto"/>
              <w:right w:val="single" w:sz="4" w:space="0" w:color="auto"/>
            </w:tcBorders>
            <w:noWrap/>
          </w:tcPr>
          <w:p w14:paraId="28785B89" w14:textId="1AA61708" w:rsidR="00351103" w:rsidRPr="00384923" w:rsidRDefault="00E400B1" w:rsidP="00351103">
            <w:pPr>
              <w:rPr>
                <w:rFonts w:asciiTheme="majorHAnsi" w:hAnsiTheme="majorHAnsi" w:cs="Arial"/>
                <w:lang w:val="fr-FR"/>
              </w:rPr>
            </w:pPr>
            <w:r w:rsidRPr="00E400B1">
              <w:rPr>
                <w:rFonts w:asciiTheme="majorHAnsi" w:hAnsiTheme="majorHAnsi" w:cs="Arial"/>
                <w:lang w:val="fr-FR"/>
              </w:rPr>
              <w:t>Fabrication de sels métalliques inorganiques</w:t>
            </w:r>
          </w:p>
        </w:tc>
      </w:tr>
      <w:tr w:rsidR="00351103" w:rsidRPr="007F1FE2" w14:paraId="2CCC60B4"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205593CD" w14:textId="77777777" w:rsidR="00351103" w:rsidRPr="00384923" w:rsidRDefault="00351103" w:rsidP="00351103">
            <w:pPr>
              <w:jc w:val="right"/>
              <w:rPr>
                <w:rFonts w:ascii="Calibri" w:eastAsia="Times New Roman" w:hAnsi="Calibri" w:cs="Times New Roman"/>
              </w:rPr>
            </w:pPr>
            <w:r w:rsidRPr="00384923">
              <w:rPr>
                <w:rFonts w:ascii="Calibri" w:eastAsia="Times New Roman" w:hAnsi="Calibri" w:cs="Times New Roman"/>
              </w:rPr>
              <w:t>2014</w:t>
            </w:r>
          </w:p>
        </w:tc>
        <w:tc>
          <w:tcPr>
            <w:tcW w:w="8106" w:type="dxa"/>
            <w:tcBorders>
              <w:top w:val="single" w:sz="4" w:space="0" w:color="auto"/>
              <w:left w:val="single" w:sz="4" w:space="0" w:color="auto"/>
              <w:bottom w:val="single" w:sz="4" w:space="0" w:color="auto"/>
              <w:right w:val="single" w:sz="4" w:space="0" w:color="auto"/>
            </w:tcBorders>
            <w:noWrap/>
            <w:hideMark/>
          </w:tcPr>
          <w:p w14:paraId="0E13E888" w14:textId="7DCE951F" w:rsidR="00351103" w:rsidRPr="00384923" w:rsidRDefault="00351103" w:rsidP="00351103">
            <w:pPr>
              <w:rPr>
                <w:rFonts w:asciiTheme="majorHAnsi" w:hAnsiTheme="majorHAnsi" w:cs="Arial"/>
                <w:lang w:val="fr-FR"/>
              </w:rPr>
            </w:pPr>
            <w:r w:rsidRPr="00384923">
              <w:rPr>
                <w:rFonts w:asciiTheme="majorHAnsi" w:hAnsiTheme="majorHAnsi" w:cs="Arial"/>
                <w:lang w:val="fr-FR"/>
              </w:rPr>
              <w:t>Fabrication d'autres produits chimiques organiques de base</w:t>
            </w:r>
          </w:p>
        </w:tc>
      </w:tr>
      <w:tr w:rsidR="00351103" w:rsidRPr="007F1FE2" w14:paraId="2D35965B"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37A6B52E" w14:textId="77777777" w:rsidR="00351103" w:rsidRPr="00384923" w:rsidRDefault="00351103" w:rsidP="00351103">
            <w:pPr>
              <w:jc w:val="right"/>
              <w:rPr>
                <w:rFonts w:ascii="Calibri" w:eastAsia="Times New Roman" w:hAnsi="Calibri" w:cs="Times New Roman"/>
              </w:rPr>
            </w:pPr>
            <w:r w:rsidRPr="00384923">
              <w:rPr>
                <w:rFonts w:ascii="Calibri" w:eastAsia="Times New Roman" w:hAnsi="Calibri" w:cs="Times New Roman"/>
              </w:rPr>
              <w:t>2014001</w:t>
            </w:r>
          </w:p>
        </w:tc>
        <w:tc>
          <w:tcPr>
            <w:tcW w:w="8106" w:type="dxa"/>
            <w:tcBorders>
              <w:top w:val="single" w:sz="4" w:space="0" w:color="auto"/>
              <w:left w:val="single" w:sz="4" w:space="0" w:color="auto"/>
              <w:bottom w:val="single" w:sz="4" w:space="0" w:color="auto"/>
              <w:right w:val="single" w:sz="4" w:space="0" w:color="auto"/>
            </w:tcBorders>
            <w:noWrap/>
            <w:hideMark/>
          </w:tcPr>
          <w:p w14:paraId="11816CBF" w14:textId="05873190" w:rsidR="00351103" w:rsidRPr="00384923" w:rsidRDefault="00351103" w:rsidP="00351103">
            <w:pPr>
              <w:rPr>
                <w:rFonts w:asciiTheme="majorHAnsi" w:hAnsiTheme="majorHAnsi" w:cs="Arial"/>
                <w:lang w:val="fr-FR"/>
              </w:rPr>
            </w:pPr>
            <w:r w:rsidRPr="00384923">
              <w:rPr>
                <w:rFonts w:asciiTheme="majorHAnsi" w:hAnsiTheme="majorHAnsi" w:cs="Arial"/>
                <w:lang w:val="fr-FR"/>
              </w:rPr>
              <w:t>Fabrication d’hydrocarbures cycliques et acycliques, saturés ou non saturés</w:t>
            </w:r>
          </w:p>
        </w:tc>
      </w:tr>
      <w:tr w:rsidR="00351103" w:rsidRPr="007F1FE2" w14:paraId="75CC0244"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7BD5F905" w14:textId="77777777" w:rsidR="00351103" w:rsidRPr="00384923" w:rsidRDefault="00351103" w:rsidP="00351103">
            <w:pPr>
              <w:jc w:val="right"/>
              <w:rPr>
                <w:rFonts w:ascii="Calibri" w:eastAsia="Times New Roman" w:hAnsi="Calibri" w:cs="Times New Roman"/>
              </w:rPr>
            </w:pPr>
            <w:r w:rsidRPr="00384923">
              <w:rPr>
                <w:rFonts w:ascii="Calibri" w:eastAsia="Times New Roman" w:hAnsi="Calibri" w:cs="Times New Roman"/>
              </w:rPr>
              <w:t>2014002</w:t>
            </w:r>
          </w:p>
        </w:tc>
        <w:tc>
          <w:tcPr>
            <w:tcW w:w="8106" w:type="dxa"/>
            <w:tcBorders>
              <w:top w:val="single" w:sz="4" w:space="0" w:color="auto"/>
              <w:left w:val="single" w:sz="4" w:space="0" w:color="auto"/>
              <w:bottom w:val="single" w:sz="4" w:space="0" w:color="auto"/>
              <w:right w:val="single" w:sz="4" w:space="0" w:color="auto"/>
            </w:tcBorders>
            <w:noWrap/>
            <w:hideMark/>
          </w:tcPr>
          <w:p w14:paraId="5ABF3E75" w14:textId="45163D0D" w:rsidR="00351103" w:rsidRPr="00384923" w:rsidRDefault="00351103" w:rsidP="00351103">
            <w:pPr>
              <w:rPr>
                <w:rFonts w:asciiTheme="majorHAnsi" w:hAnsiTheme="majorHAnsi" w:cs="Arial"/>
                <w:lang w:val="fr-FR"/>
              </w:rPr>
            </w:pPr>
            <w:r w:rsidRPr="00384923">
              <w:rPr>
                <w:rFonts w:asciiTheme="majorHAnsi" w:hAnsiTheme="majorHAnsi" w:cs="Arial"/>
                <w:lang w:val="fr-FR"/>
              </w:rPr>
              <w:t>Distillation des goudrons de houille</w:t>
            </w:r>
          </w:p>
        </w:tc>
      </w:tr>
      <w:tr w:rsidR="00351103" w:rsidRPr="007F1FE2" w14:paraId="0659EB7B"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2E7FDCE5" w14:textId="77777777" w:rsidR="00351103" w:rsidRPr="00384923" w:rsidRDefault="00351103" w:rsidP="00351103">
            <w:pPr>
              <w:jc w:val="right"/>
              <w:rPr>
                <w:rFonts w:ascii="Calibri" w:eastAsia="Times New Roman" w:hAnsi="Calibri" w:cs="Times New Roman"/>
              </w:rPr>
            </w:pPr>
            <w:r w:rsidRPr="00384923">
              <w:rPr>
                <w:rFonts w:ascii="Calibri" w:eastAsia="Times New Roman" w:hAnsi="Calibri" w:cs="Times New Roman"/>
              </w:rPr>
              <w:t>2016</w:t>
            </w:r>
          </w:p>
        </w:tc>
        <w:tc>
          <w:tcPr>
            <w:tcW w:w="8106" w:type="dxa"/>
            <w:tcBorders>
              <w:top w:val="single" w:sz="4" w:space="0" w:color="auto"/>
              <w:left w:val="single" w:sz="4" w:space="0" w:color="auto"/>
              <w:bottom w:val="single" w:sz="4" w:space="0" w:color="auto"/>
              <w:right w:val="single" w:sz="4" w:space="0" w:color="auto"/>
            </w:tcBorders>
            <w:noWrap/>
            <w:hideMark/>
          </w:tcPr>
          <w:p w14:paraId="7A4A1022" w14:textId="3183BA4B" w:rsidR="00351103" w:rsidRPr="00384923" w:rsidRDefault="00351103" w:rsidP="00351103">
            <w:pPr>
              <w:rPr>
                <w:rFonts w:asciiTheme="majorHAnsi" w:hAnsiTheme="majorHAnsi" w:cs="Arial"/>
                <w:lang w:val="fr-FR"/>
              </w:rPr>
            </w:pPr>
            <w:r w:rsidRPr="00384923">
              <w:rPr>
                <w:rFonts w:asciiTheme="majorHAnsi" w:hAnsiTheme="majorHAnsi" w:cs="Arial"/>
                <w:lang w:val="fr-FR"/>
              </w:rPr>
              <w:t>Fabrication de matières plastiques de base</w:t>
            </w:r>
          </w:p>
        </w:tc>
      </w:tr>
      <w:tr w:rsidR="00351103" w:rsidRPr="007F1FE2" w14:paraId="65D4C210"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42AB7C5D" w14:textId="77777777" w:rsidR="00351103" w:rsidRPr="00384923" w:rsidRDefault="00351103" w:rsidP="00351103">
            <w:pPr>
              <w:jc w:val="right"/>
              <w:rPr>
                <w:rFonts w:ascii="Calibri" w:eastAsia="Times New Roman" w:hAnsi="Calibri" w:cs="Times New Roman"/>
              </w:rPr>
            </w:pPr>
            <w:r w:rsidRPr="00384923">
              <w:rPr>
                <w:rFonts w:ascii="Calibri" w:eastAsia="Times New Roman" w:hAnsi="Calibri" w:cs="Times New Roman"/>
              </w:rPr>
              <w:t>20160</w:t>
            </w:r>
          </w:p>
        </w:tc>
        <w:tc>
          <w:tcPr>
            <w:tcW w:w="8106" w:type="dxa"/>
            <w:tcBorders>
              <w:top w:val="single" w:sz="4" w:space="0" w:color="auto"/>
              <w:left w:val="single" w:sz="4" w:space="0" w:color="auto"/>
              <w:bottom w:val="single" w:sz="4" w:space="0" w:color="auto"/>
              <w:right w:val="single" w:sz="4" w:space="0" w:color="auto"/>
            </w:tcBorders>
            <w:noWrap/>
            <w:hideMark/>
          </w:tcPr>
          <w:p w14:paraId="47CEDBD8" w14:textId="653CD2B6" w:rsidR="00351103" w:rsidRPr="00384923" w:rsidRDefault="00351103" w:rsidP="00351103">
            <w:pPr>
              <w:rPr>
                <w:rFonts w:asciiTheme="majorHAnsi" w:hAnsiTheme="majorHAnsi" w:cs="Arial"/>
                <w:lang w:val="fr-FR"/>
              </w:rPr>
            </w:pPr>
            <w:r w:rsidRPr="00384923">
              <w:rPr>
                <w:rFonts w:asciiTheme="majorHAnsi" w:hAnsiTheme="majorHAnsi" w:cs="Arial"/>
                <w:lang w:val="fr-FR"/>
              </w:rPr>
              <w:t>Fabrication de matières plastiques de base</w:t>
            </w:r>
          </w:p>
        </w:tc>
      </w:tr>
      <w:tr w:rsidR="00351103" w:rsidRPr="007F1FE2" w14:paraId="2249E9F4"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2E25BC6D" w14:textId="77777777" w:rsidR="00351103" w:rsidRPr="00384923" w:rsidRDefault="00351103" w:rsidP="00351103">
            <w:pPr>
              <w:jc w:val="right"/>
              <w:rPr>
                <w:rFonts w:ascii="Calibri" w:eastAsia="Times New Roman" w:hAnsi="Calibri" w:cs="Times New Roman"/>
              </w:rPr>
            </w:pPr>
            <w:r w:rsidRPr="00384923">
              <w:rPr>
                <w:rFonts w:ascii="Calibri" w:eastAsia="Times New Roman" w:hAnsi="Calibri" w:cs="Times New Roman"/>
              </w:rPr>
              <w:lastRenderedPageBreak/>
              <w:t>2016001</w:t>
            </w:r>
          </w:p>
        </w:tc>
        <w:tc>
          <w:tcPr>
            <w:tcW w:w="8106" w:type="dxa"/>
            <w:tcBorders>
              <w:top w:val="single" w:sz="4" w:space="0" w:color="auto"/>
              <w:left w:val="single" w:sz="4" w:space="0" w:color="auto"/>
              <w:bottom w:val="single" w:sz="4" w:space="0" w:color="auto"/>
              <w:right w:val="single" w:sz="4" w:space="0" w:color="auto"/>
            </w:tcBorders>
            <w:noWrap/>
            <w:hideMark/>
          </w:tcPr>
          <w:p w14:paraId="78BA688D" w14:textId="1D282449" w:rsidR="00351103" w:rsidRPr="00384923" w:rsidRDefault="00351103" w:rsidP="00351103">
            <w:pPr>
              <w:rPr>
                <w:rFonts w:asciiTheme="majorHAnsi" w:hAnsiTheme="majorHAnsi" w:cs="Arial"/>
                <w:lang w:val="fr-FR"/>
              </w:rPr>
            </w:pPr>
            <w:r w:rsidRPr="00384923">
              <w:rPr>
                <w:rFonts w:asciiTheme="majorHAnsi" w:hAnsiTheme="majorHAnsi" w:cs="Arial"/>
                <w:lang w:val="fr-FR"/>
              </w:rPr>
              <w:t>Fabrication des polymères, y compris les polymères acryliques et les polymères d'éthylène, de propylène, de styrène, de chlorure de vinyle, d'acétate de vinyle</w:t>
            </w:r>
          </w:p>
        </w:tc>
      </w:tr>
      <w:tr w:rsidR="00351103" w:rsidRPr="007F1FE2" w14:paraId="3475F7EE"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08A0EB85" w14:textId="77777777" w:rsidR="00351103" w:rsidRPr="00384923" w:rsidRDefault="00351103" w:rsidP="00351103">
            <w:pPr>
              <w:jc w:val="right"/>
              <w:rPr>
                <w:rFonts w:ascii="Calibri" w:eastAsia="Times New Roman" w:hAnsi="Calibri" w:cs="Times New Roman"/>
              </w:rPr>
            </w:pPr>
            <w:r w:rsidRPr="00384923">
              <w:rPr>
                <w:rFonts w:ascii="Calibri" w:eastAsia="Times New Roman" w:hAnsi="Calibri" w:cs="Times New Roman"/>
              </w:rPr>
              <w:t>20200</w:t>
            </w:r>
          </w:p>
        </w:tc>
        <w:tc>
          <w:tcPr>
            <w:tcW w:w="8106" w:type="dxa"/>
            <w:tcBorders>
              <w:top w:val="single" w:sz="4" w:space="0" w:color="auto"/>
              <w:left w:val="single" w:sz="4" w:space="0" w:color="auto"/>
              <w:bottom w:val="single" w:sz="4" w:space="0" w:color="auto"/>
              <w:right w:val="single" w:sz="4" w:space="0" w:color="auto"/>
            </w:tcBorders>
            <w:noWrap/>
            <w:hideMark/>
          </w:tcPr>
          <w:p w14:paraId="2077F16F" w14:textId="4246AFF0" w:rsidR="00351103" w:rsidRPr="00384923" w:rsidRDefault="00351103" w:rsidP="00351103">
            <w:pPr>
              <w:rPr>
                <w:rFonts w:asciiTheme="majorHAnsi" w:hAnsiTheme="majorHAnsi" w:cs="Arial"/>
                <w:lang w:val="fr-FR"/>
              </w:rPr>
            </w:pPr>
            <w:r w:rsidRPr="00384923">
              <w:rPr>
                <w:rFonts w:asciiTheme="majorHAnsi" w:hAnsiTheme="majorHAnsi" w:cs="Arial"/>
                <w:lang w:val="fr-FR"/>
              </w:rPr>
              <w:t>Fabrication de pesticides et d'autres produits agrochimiques</w:t>
            </w:r>
          </w:p>
        </w:tc>
      </w:tr>
      <w:tr w:rsidR="00351103" w:rsidRPr="007F1FE2" w14:paraId="22B22AC9"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2CB53FAD" w14:textId="77777777" w:rsidR="00351103" w:rsidRPr="00384923" w:rsidRDefault="00351103" w:rsidP="00351103">
            <w:pPr>
              <w:jc w:val="right"/>
              <w:rPr>
                <w:rFonts w:ascii="Calibri" w:eastAsia="Times New Roman" w:hAnsi="Calibri" w:cs="Times New Roman"/>
              </w:rPr>
            </w:pPr>
            <w:r w:rsidRPr="00384923">
              <w:rPr>
                <w:rFonts w:ascii="Calibri" w:eastAsia="Times New Roman" w:hAnsi="Calibri" w:cs="Times New Roman"/>
              </w:rPr>
              <w:t>203</w:t>
            </w:r>
          </w:p>
        </w:tc>
        <w:tc>
          <w:tcPr>
            <w:tcW w:w="8106" w:type="dxa"/>
            <w:tcBorders>
              <w:top w:val="single" w:sz="4" w:space="0" w:color="auto"/>
              <w:left w:val="single" w:sz="4" w:space="0" w:color="auto"/>
              <w:bottom w:val="single" w:sz="4" w:space="0" w:color="auto"/>
              <w:right w:val="single" w:sz="4" w:space="0" w:color="auto"/>
            </w:tcBorders>
            <w:noWrap/>
            <w:hideMark/>
          </w:tcPr>
          <w:p w14:paraId="40589E00" w14:textId="4E272DD1" w:rsidR="00351103" w:rsidRPr="00384923" w:rsidRDefault="00351103" w:rsidP="00351103">
            <w:pPr>
              <w:rPr>
                <w:rFonts w:asciiTheme="majorHAnsi" w:hAnsiTheme="majorHAnsi" w:cs="Arial"/>
                <w:lang w:val="fr-FR"/>
              </w:rPr>
            </w:pPr>
            <w:r w:rsidRPr="00384923">
              <w:rPr>
                <w:rFonts w:asciiTheme="majorHAnsi" w:hAnsiTheme="majorHAnsi" w:cs="Arial"/>
                <w:lang w:val="fr-FR"/>
              </w:rPr>
              <w:t>Fabrication de peintures, de vernis, d'encres et de mastics</w:t>
            </w:r>
          </w:p>
        </w:tc>
      </w:tr>
      <w:tr w:rsidR="00351103" w:rsidRPr="007F1FE2" w14:paraId="58F969D2"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2820311F" w14:textId="77777777" w:rsidR="00351103" w:rsidRPr="00384923" w:rsidRDefault="00351103" w:rsidP="00351103">
            <w:pPr>
              <w:jc w:val="right"/>
              <w:rPr>
                <w:rFonts w:ascii="Calibri" w:eastAsia="Times New Roman" w:hAnsi="Calibri" w:cs="Times New Roman"/>
              </w:rPr>
            </w:pPr>
            <w:r w:rsidRPr="00384923">
              <w:rPr>
                <w:rFonts w:ascii="Calibri" w:eastAsia="Times New Roman" w:hAnsi="Calibri" w:cs="Times New Roman"/>
              </w:rPr>
              <w:t>2030</w:t>
            </w:r>
          </w:p>
        </w:tc>
        <w:tc>
          <w:tcPr>
            <w:tcW w:w="8106" w:type="dxa"/>
            <w:tcBorders>
              <w:top w:val="single" w:sz="4" w:space="0" w:color="auto"/>
              <w:left w:val="single" w:sz="4" w:space="0" w:color="auto"/>
              <w:bottom w:val="single" w:sz="4" w:space="0" w:color="auto"/>
              <w:right w:val="single" w:sz="4" w:space="0" w:color="auto"/>
            </w:tcBorders>
            <w:noWrap/>
            <w:hideMark/>
          </w:tcPr>
          <w:p w14:paraId="76092C67" w14:textId="65621B90" w:rsidR="00351103" w:rsidRPr="00384923" w:rsidRDefault="00351103" w:rsidP="00351103">
            <w:pPr>
              <w:rPr>
                <w:rFonts w:asciiTheme="majorHAnsi" w:hAnsiTheme="majorHAnsi" w:cs="Arial"/>
                <w:lang w:val="fr-FR"/>
              </w:rPr>
            </w:pPr>
            <w:r w:rsidRPr="00384923">
              <w:rPr>
                <w:rFonts w:asciiTheme="majorHAnsi" w:hAnsiTheme="majorHAnsi" w:cs="Arial"/>
                <w:lang w:val="fr-FR"/>
              </w:rPr>
              <w:t>Fabrication de peintures, de vernis, d'encres et de mastics</w:t>
            </w:r>
          </w:p>
        </w:tc>
      </w:tr>
      <w:tr w:rsidR="00351103" w:rsidRPr="007F1FE2" w14:paraId="364C72E1"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735D879C" w14:textId="77777777" w:rsidR="00351103" w:rsidRPr="00384923" w:rsidRDefault="00351103" w:rsidP="00351103">
            <w:pPr>
              <w:jc w:val="right"/>
              <w:rPr>
                <w:rFonts w:ascii="Calibri" w:eastAsia="Times New Roman" w:hAnsi="Calibri" w:cs="Times New Roman"/>
              </w:rPr>
            </w:pPr>
            <w:r w:rsidRPr="00384923">
              <w:rPr>
                <w:rFonts w:ascii="Calibri" w:eastAsia="Times New Roman" w:hAnsi="Calibri" w:cs="Times New Roman"/>
              </w:rPr>
              <w:t>20300</w:t>
            </w:r>
          </w:p>
        </w:tc>
        <w:tc>
          <w:tcPr>
            <w:tcW w:w="8106" w:type="dxa"/>
            <w:tcBorders>
              <w:top w:val="single" w:sz="4" w:space="0" w:color="auto"/>
              <w:left w:val="single" w:sz="4" w:space="0" w:color="auto"/>
              <w:bottom w:val="single" w:sz="4" w:space="0" w:color="auto"/>
              <w:right w:val="single" w:sz="4" w:space="0" w:color="auto"/>
            </w:tcBorders>
            <w:noWrap/>
            <w:hideMark/>
          </w:tcPr>
          <w:p w14:paraId="66286235" w14:textId="41548207" w:rsidR="00351103" w:rsidRPr="00384923" w:rsidRDefault="00351103" w:rsidP="00351103">
            <w:pPr>
              <w:rPr>
                <w:rFonts w:asciiTheme="majorHAnsi" w:hAnsiTheme="majorHAnsi" w:cs="Arial"/>
                <w:lang w:val="fr-FR"/>
              </w:rPr>
            </w:pPr>
            <w:r w:rsidRPr="00384923">
              <w:rPr>
                <w:rFonts w:asciiTheme="majorHAnsi" w:hAnsiTheme="majorHAnsi" w:cs="Arial"/>
                <w:lang w:val="fr-FR"/>
              </w:rPr>
              <w:t>Fabrication de peintures, de vernis, d'encres et de mastics</w:t>
            </w:r>
          </w:p>
        </w:tc>
      </w:tr>
      <w:tr w:rsidR="00351103" w:rsidRPr="007F1FE2" w14:paraId="66479A60"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2DE00399" w14:textId="77777777" w:rsidR="00351103" w:rsidRPr="00384923" w:rsidRDefault="00351103" w:rsidP="00351103">
            <w:pPr>
              <w:jc w:val="right"/>
              <w:rPr>
                <w:rFonts w:ascii="Calibri" w:eastAsia="Times New Roman" w:hAnsi="Calibri" w:cs="Times New Roman"/>
              </w:rPr>
            </w:pPr>
            <w:r w:rsidRPr="00384923">
              <w:rPr>
                <w:rFonts w:ascii="Calibri" w:eastAsia="Times New Roman" w:hAnsi="Calibri" w:cs="Times New Roman"/>
              </w:rPr>
              <w:t>2030001</w:t>
            </w:r>
          </w:p>
        </w:tc>
        <w:tc>
          <w:tcPr>
            <w:tcW w:w="8106" w:type="dxa"/>
            <w:tcBorders>
              <w:top w:val="single" w:sz="4" w:space="0" w:color="auto"/>
              <w:left w:val="single" w:sz="4" w:space="0" w:color="auto"/>
              <w:bottom w:val="single" w:sz="4" w:space="0" w:color="auto"/>
              <w:right w:val="single" w:sz="4" w:space="0" w:color="auto"/>
            </w:tcBorders>
            <w:noWrap/>
            <w:hideMark/>
          </w:tcPr>
          <w:p w14:paraId="05F6C09A" w14:textId="22590461" w:rsidR="00351103" w:rsidRPr="00384923" w:rsidRDefault="00351103" w:rsidP="00351103">
            <w:pPr>
              <w:rPr>
                <w:rFonts w:asciiTheme="majorHAnsi" w:hAnsiTheme="majorHAnsi" w:cs="Arial"/>
                <w:lang w:val="fr-FR"/>
              </w:rPr>
            </w:pPr>
            <w:r w:rsidRPr="00384923">
              <w:rPr>
                <w:rFonts w:asciiTheme="majorHAnsi" w:hAnsiTheme="majorHAnsi" w:cs="Arial"/>
                <w:lang w:val="fr-FR"/>
              </w:rPr>
              <w:t>Fabrication de peintures et de vernis</w:t>
            </w:r>
          </w:p>
        </w:tc>
      </w:tr>
      <w:tr w:rsidR="00351103" w:rsidRPr="007F1FE2" w14:paraId="27CE8403"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63FA4B2F" w14:textId="77777777" w:rsidR="00351103" w:rsidRPr="00384923" w:rsidRDefault="00351103" w:rsidP="00351103">
            <w:pPr>
              <w:jc w:val="right"/>
              <w:rPr>
                <w:rFonts w:ascii="Calibri" w:eastAsia="Times New Roman" w:hAnsi="Calibri" w:cs="Times New Roman"/>
              </w:rPr>
            </w:pPr>
            <w:r w:rsidRPr="00384923">
              <w:rPr>
                <w:rFonts w:ascii="Calibri" w:eastAsia="Times New Roman" w:hAnsi="Calibri" w:cs="Times New Roman"/>
              </w:rPr>
              <w:t>2030003</w:t>
            </w:r>
          </w:p>
        </w:tc>
        <w:tc>
          <w:tcPr>
            <w:tcW w:w="8106" w:type="dxa"/>
            <w:tcBorders>
              <w:top w:val="single" w:sz="4" w:space="0" w:color="auto"/>
              <w:left w:val="single" w:sz="4" w:space="0" w:color="auto"/>
              <w:bottom w:val="single" w:sz="4" w:space="0" w:color="auto"/>
              <w:right w:val="single" w:sz="4" w:space="0" w:color="auto"/>
            </w:tcBorders>
            <w:noWrap/>
            <w:hideMark/>
          </w:tcPr>
          <w:p w14:paraId="14234303" w14:textId="415CF137" w:rsidR="00351103" w:rsidRPr="00384923" w:rsidRDefault="00351103" w:rsidP="00351103">
            <w:pPr>
              <w:rPr>
                <w:rFonts w:asciiTheme="majorHAnsi" w:hAnsiTheme="majorHAnsi" w:cs="Arial"/>
                <w:lang w:val="fr-FR"/>
              </w:rPr>
            </w:pPr>
            <w:r w:rsidRPr="00384923">
              <w:rPr>
                <w:rFonts w:asciiTheme="majorHAnsi" w:hAnsiTheme="majorHAnsi" w:cs="Arial"/>
                <w:lang w:val="fr-FR"/>
              </w:rPr>
              <w:t>Fabrication de compositions vitrifiables, d'engobes etc.</w:t>
            </w:r>
          </w:p>
        </w:tc>
      </w:tr>
      <w:tr w:rsidR="00351103" w:rsidRPr="007F1FE2" w14:paraId="5574E8DE"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38AB2A3A" w14:textId="77777777" w:rsidR="00351103" w:rsidRPr="00384923" w:rsidRDefault="00351103" w:rsidP="00351103">
            <w:pPr>
              <w:jc w:val="right"/>
              <w:rPr>
                <w:rFonts w:ascii="Calibri" w:eastAsia="Times New Roman" w:hAnsi="Calibri" w:cs="Times New Roman"/>
              </w:rPr>
            </w:pPr>
            <w:r w:rsidRPr="00384923">
              <w:rPr>
                <w:rFonts w:ascii="Calibri" w:eastAsia="Times New Roman" w:hAnsi="Calibri" w:cs="Times New Roman"/>
              </w:rPr>
              <w:t>2041</w:t>
            </w:r>
          </w:p>
        </w:tc>
        <w:tc>
          <w:tcPr>
            <w:tcW w:w="8106" w:type="dxa"/>
            <w:tcBorders>
              <w:top w:val="single" w:sz="4" w:space="0" w:color="auto"/>
              <w:left w:val="single" w:sz="4" w:space="0" w:color="auto"/>
              <w:bottom w:val="single" w:sz="4" w:space="0" w:color="auto"/>
              <w:right w:val="single" w:sz="4" w:space="0" w:color="auto"/>
            </w:tcBorders>
            <w:noWrap/>
            <w:hideMark/>
          </w:tcPr>
          <w:p w14:paraId="197FC352" w14:textId="5C899EAC" w:rsidR="00351103" w:rsidRPr="00384923" w:rsidRDefault="00351103" w:rsidP="00351103">
            <w:pPr>
              <w:rPr>
                <w:rFonts w:asciiTheme="majorHAnsi" w:hAnsiTheme="majorHAnsi" w:cs="Arial"/>
                <w:lang w:val="fr-FR"/>
              </w:rPr>
            </w:pPr>
            <w:r w:rsidRPr="00384923">
              <w:rPr>
                <w:rFonts w:asciiTheme="majorHAnsi" w:hAnsiTheme="majorHAnsi" w:cs="Arial"/>
                <w:lang w:val="fr-FR"/>
              </w:rPr>
              <w:t>Fabrication de savons, de détergents et de produits d'entretien</w:t>
            </w:r>
          </w:p>
        </w:tc>
      </w:tr>
      <w:tr w:rsidR="00351103" w:rsidRPr="00BF4BF9" w14:paraId="7650A8B0"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011682D1" w14:textId="77777777" w:rsidR="00351103" w:rsidRPr="00384923" w:rsidRDefault="00351103" w:rsidP="00351103">
            <w:pPr>
              <w:jc w:val="right"/>
              <w:rPr>
                <w:rFonts w:ascii="Calibri" w:eastAsia="Times New Roman" w:hAnsi="Calibri" w:cs="Times New Roman"/>
              </w:rPr>
            </w:pPr>
            <w:r w:rsidRPr="00384923">
              <w:rPr>
                <w:rFonts w:ascii="Calibri" w:eastAsia="Times New Roman" w:hAnsi="Calibri" w:cs="Times New Roman"/>
              </w:rPr>
              <w:t>205</w:t>
            </w:r>
          </w:p>
        </w:tc>
        <w:tc>
          <w:tcPr>
            <w:tcW w:w="8106" w:type="dxa"/>
            <w:tcBorders>
              <w:top w:val="single" w:sz="4" w:space="0" w:color="auto"/>
              <w:left w:val="single" w:sz="4" w:space="0" w:color="auto"/>
              <w:bottom w:val="single" w:sz="4" w:space="0" w:color="auto"/>
              <w:right w:val="single" w:sz="4" w:space="0" w:color="auto"/>
            </w:tcBorders>
            <w:noWrap/>
            <w:hideMark/>
          </w:tcPr>
          <w:p w14:paraId="57A52A32" w14:textId="05A5FAFE" w:rsidR="00351103" w:rsidRPr="00384923" w:rsidRDefault="00351103" w:rsidP="00351103">
            <w:pPr>
              <w:rPr>
                <w:rFonts w:asciiTheme="majorHAnsi" w:hAnsiTheme="majorHAnsi" w:cs="Arial"/>
                <w:lang w:val="fr-FR"/>
              </w:rPr>
            </w:pPr>
            <w:r w:rsidRPr="00384923">
              <w:rPr>
                <w:rFonts w:asciiTheme="majorHAnsi" w:hAnsiTheme="majorHAnsi" w:cs="Arial"/>
                <w:lang w:val="fr-FR"/>
              </w:rPr>
              <w:t>Fabrication d'autres produits chimiques</w:t>
            </w:r>
          </w:p>
        </w:tc>
      </w:tr>
      <w:tr w:rsidR="00351103" w14:paraId="07699682"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0F645C28" w14:textId="77777777" w:rsidR="00351103" w:rsidRPr="00384923" w:rsidRDefault="00351103" w:rsidP="00351103">
            <w:pPr>
              <w:jc w:val="right"/>
              <w:rPr>
                <w:rFonts w:ascii="Calibri" w:eastAsia="Times New Roman" w:hAnsi="Calibri" w:cs="Times New Roman"/>
              </w:rPr>
            </w:pPr>
            <w:r w:rsidRPr="00384923">
              <w:rPr>
                <w:rFonts w:ascii="Calibri" w:eastAsia="Times New Roman" w:hAnsi="Calibri" w:cs="Times New Roman"/>
              </w:rPr>
              <w:t>2052</w:t>
            </w:r>
          </w:p>
        </w:tc>
        <w:tc>
          <w:tcPr>
            <w:tcW w:w="8106" w:type="dxa"/>
            <w:tcBorders>
              <w:top w:val="single" w:sz="4" w:space="0" w:color="auto"/>
              <w:left w:val="single" w:sz="4" w:space="0" w:color="auto"/>
              <w:bottom w:val="single" w:sz="4" w:space="0" w:color="auto"/>
              <w:right w:val="single" w:sz="4" w:space="0" w:color="auto"/>
            </w:tcBorders>
            <w:noWrap/>
            <w:hideMark/>
          </w:tcPr>
          <w:p w14:paraId="18301385" w14:textId="039C4B57" w:rsidR="00351103" w:rsidRPr="00384923" w:rsidRDefault="00351103" w:rsidP="00351103">
            <w:pPr>
              <w:rPr>
                <w:rFonts w:asciiTheme="majorHAnsi" w:hAnsiTheme="majorHAnsi" w:cs="Arial"/>
                <w:lang w:val="fr-FR"/>
              </w:rPr>
            </w:pPr>
            <w:r w:rsidRPr="00384923">
              <w:rPr>
                <w:rFonts w:asciiTheme="majorHAnsi" w:hAnsiTheme="majorHAnsi" w:cs="Arial"/>
                <w:lang w:val="fr-FR"/>
              </w:rPr>
              <w:t>Fabrication de colles</w:t>
            </w:r>
          </w:p>
        </w:tc>
      </w:tr>
      <w:tr w:rsidR="00351103" w14:paraId="0CF9D4AD"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78BFADC0" w14:textId="77777777" w:rsidR="00351103" w:rsidRPr="00384923" w:rsidRDefault="00351103" w:rsidP="00351103">
            <w:pPr>
              <w:jc w:val="right"/>
              <w:rPr>
                <w:rFonts w:ascii="Calibri" w:eastAsia="Times New Roman" w:hAnsi="Calibri" w:cs="Times New Roman"/>
              </w:rPr>
            </w:pPr>
            <w:r w:rsidRPr="00384923">
              <w:rPr>
                <w:rFonts w:ascii="Calibri" w:eastAsia="Times New Roman" w:hAnsi="Calibri" w:cs="Times New Roman"/>
              </w:rPr>
              <w:t>20520</w:t>
            </w:r>
          </w:p>
        </w:tc>
        <w:tc>
          <w:tcPr>
            <w:tcW w:w="8106" w:type="dxa"/>
            <w:tcBorders>
              <w:top w:val="single" w:sz="4" w:space="0" w:color="auto"/>
              <w:left w:val="single" w:sz="4" w:space="0" w:color="auto"/>
              <w:bottom w:val="single" w:sz="4" w:space="0" w:color="auto"/>
              <w:right w:val="single" w:sz="4" w:space="0" w:color="auto"/>
            </w:tcBorders>
            <w:noWrap/>
            <w:hideMark/>
          </w:tcPr>
          <w:p w14:paraId="6C798540" w14:textId="70C4A35F" w:rsidR="00351103" w:rsidRPr="00384923" w:rsidRDefault="00351103" w:rsidP="00351103">
            <w:pPr>
              <w:rPr>
                <w:rFonts w:asciiTheme="majorHAnsi" w:hAnsiTheme="majorHAnsi" w:cs="Arial"/>
                <w:lang w:val="fr-FR"/>
              </w:rPr>
            </w:pPr>
            <w:r w:rsidRPr="00384923">
              <w:rPr>
                <w:rFonts w:asciiTheme="majorHAnsi" w:hAnsiTheme="majorHAnsi" w:cs="Arial"/>
                <w:lang w:val="fr-FR"/>
              </w:rPr>
              <w:t>Fabrication de colles</w:t>
            </w:r>
          </w:p>
        </w:tc>
      </w:tr>
      <w:tr w:rsidR="00351103" w:rsidRPr="007F1FE2" w14:paraId="63D91A39"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67609E07" w14:textId="77777777" w:rsidR="00351103" w:rsidRPr="00384923" w:rsidRDefault="00351103" w:rsidP="00351103">
            <w:pPr>
              <w:jc w:val="right"/>
              <w:rPr>
                <w:rFonts w:ascii="Calibri" w:eastAsia="Times New Roman" w:hAnsi="Calibri" w:cs="Times New Roman"/>
              </w:rPr>
            </w:pPr>
            <w:r w:rsidRPr="00384923">
              <w:rPr>
                <w:rFonts w:ascii="Calibri" w:eastAsia="Times New Roman" w:hAnsi="Calibri" w:cs="Times New Roman"/>
              </w:rPr>
              <w:t>2059</w:t>
            </w:r>
          </w:p>
        </w:tc>
        <w:tc>
          <w:tcPr>
            <w:tcW w:w="8106" w:type="dxa"/>
            <w:tcBorders>
              <w:top w:val="single" w:sz="4" w:space="0" w:color="auto"/>
              <w:left w:val="single" w:sz="4" w:space="0" w:color="auto"/>
              <w:bottom w:val="single" w:sz="4" w:space="0" w:color="auto"/>
              <w:right w:val="single" w:sz="4" w:space="0" w:color="auto"/>
            </w:tcBorders>
            <w:noWrap/>
            <w:hideMark/>
          </w:tcPr>
          <w:p w14:paraId="009B60B1" w14:textId="4A047A21" w:rsidR="00351103" w:rsidRPr="00384923" w:rsidRDefault="00351103" w:rsidP="00351103">
            <w:pPr>
              <w:rPr>
                <w:rFonts w:asciiTheme="majorHAnsi" w:hAnsiTheme="majorHAnsi" w:cs="Arial"/>
                <w:lang w:val="fr-FR"/>
              </w:rPr>
            </w:pPr>
            <w:r w:rsidRPr="00384923">
              <w:rPr>
                <w:rFonts w:asciiTheme="majorHAnsi" w:hAnsiTheme="majorHAnsi" w:cs="Arial"/>
                <w:lang w:val="fr-FR"/>
              </w:rPr>
              <w:t xml:space="preserve">Fabrication d'autres produits chimiques </w:t>
            </w:r>
            <w:proofErr w:type="spellStart"/>
            <w:r w:rsidRPr="00384923">
              <w:rPr>
                <w:rFonts w:asciiTheme="majorHAnsi" w:hAnsiTheme="majorHAnsi" w:cs="Arial"/>
                <w:lang w:val="fr-FR"/>
              </w:rPr>
              <w:t>n.c.a</w:t>
            </w:r>
            <w:proofErr w:type="spellEnd"/>
            <w:r w:rsidRPr="00384923">
              <w:rPr>
                <w:rFonts w:asciiTheme="majorHAnsi" w:hAnsiTheme="majorHAnsi" w:cs="Arial"/>
                <w:lang w:val="fr-FR"/>
              </w:rPr>
              <w:t>.</w:t>
            </w:r>
          </w:p>
        </w:tc>
      </w:tr>
      <w:tr w:rsidR="00351103" w:rsidRPr="007F1FE2" w14:paraId="0E14E1EC"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1ACFF831" w14:textId="77777777" w:rsidR="00351103" w:rsidRPr="00384923" w:rsidRDefault="00351103" w:rsidP="00351103">
            <w:pPr>
              <w:jc w:val="right"/>
              <w:rPr>
                <w:rFonts w:ascii="Calibri" w:eastAsia="Times New Roman" w:hAnsi="Calibri" w:cs="Times New Roman"/>
              </w:rPr>
            </w:pPr>
            <w:r w:rsidRPr="00384923">
              <w:rPr>
                <w:rFonts w:ascii="Calibri" w:eastAsia="Times New Roman" w:hAnsi="Calibri" w:cs="Times New Roman"/>
              </w:rPr>
              <w:t>20590</w:t>
            </w:r>
          </w:p>
        </w:tc>
        <w:tc>
          <w:tcPr>
            <w:tcW w:w="8106" w:type="dxa"/>
            <w:tcBorders>
              <w:top w:val="single" w:sz="4" w:space="0" w:color="auto"/>
              <w:left w:val="single" w:sz="4" w:space="0" w:color="auto"/>
              <w:bottom w:val="single" w:sz="4" w:space="0" w:color="auto"/>
              <w:right w:val="single" w:sz="4" w:space="0" w:color="auto"/>
            </w:tcBorders>
            <w:noWrap/>
            <w:hideMark/>
          </w:tcPr>
          <w:p w14:paraId="37713BEE" w14:textId="06276205" w:rsidR="00351103" w:rsidRPr="00384923" w:rsidRDefault="00351103" w:rsidP="00351103">
            <w:pPr>
              <w:rPr>
                <w:rFonts w:asciiTheme="majorHAnsi" w:hAnsiTheme="majorHAnsi" w:cs="Arial"/>
                <w:lang w:val="fr-FR"/>
              </w:rPr>
            </w:pPr>
            <w:r w:rsidRPr="00384923">
              <w:rPr>
                <w:rFonts w:asciiTheme="majorHAnsi" w:hAnsiTheme="majorHAnsi" w:cs="Arial"/>
                <w:lang w:val="fr-FR"/>
              </w:rPr>
              <w:t xml:space="preserve">Fabrication d'autres produits chimiques </w:t>
            </w:r>
            <w:proofErr w:type="spellStart"/>
            <w:r w:rsidRPr="00384923">
              <w:rPr>
                <w:rFonts w:asciiTheme="majorHAnsi" w:hAnsiTheme="majorHAnsi" w:cs="Arial"/>
                <w:lang w:val="fr-FR"/>
              </w:rPr>
              <w:t>n.c.a</w:t>
            </w:r>
            <w:proofErr w:type="spellEnd"/>
            <w:r w:rsidRPr="00384923">
              <w:rPr>
                <w:rFonts w:asciiTheme="majorHAnsi" w:hAnsiTheme="majorHAnsi" w:cs="Arial"/>
                <w:lang w:val="fr-FR"/>
              </w:rPr>
              <w:t>.</w:t>
            </w:r>
          </w:p>
        </w:tc>
      </w:tr>
      <w:tr w:rsidR="00351103" w:rsidRPr="007F1FE2" w14:paraId="21F87510"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522BC0A6" w14:textId="77777777" w:rsidR="00351103" w:rsidRPr="00384923" w:rsidRDefault="00351103" w:rsidP="00351103">
            <w:pPr>
              <w:jc w:val="right"/>
              <w:rPr>
                <w:rFonts w:ascii="Calibri" w:eastAsia="Times New Roman" w:hAnsi="Calibri" w:cs="Times New Roman"/>
              </w:rPr>
            </w:pPr>
            <w:r w:rsidRPr="00384923">
              <w:rPr>
                <w:rFonts w:ascii="Calibri" w:eastAsia="Times New Roman" w:hAnsi="Calibri" w:cs="Times New Roman"/>
              </w:rPr>
              <w:t>2059001</w:t>
            </w:r>
          </w:p>
        </w:tc>
        <w:tc>
          <w:tcPr>
            <w:tcW w:w="8106" w:type="dxa"/>
            <w:tcBorders>
              <w:top w:val="single" w:sz="4" w:space="0" w:color="auto"/>
              <w:left w:val="single" w:sz="4" w:space="0" w:color="auto"/>
              <w:bottom w:val="single" w:sz="4" w:space="0" w:color="auto"/>
              <w:right w:val="single" w:sz="4" w:space="0" w:color="auto"/>
            </w:tcBorders>
            <w:noWrap/>
            <w:hideMark/>
          </w:tcPr>
          <w:p w14:paraId="738A76B2" w14:textId="6ACFC858" w:rsidR="00351103" w:rsidRPr="00384923" w:rsidRDefault="00351103" w:rsidP="00351103">
            <w:pPr>
              <w:rPr>
                <w:rFonts w:asciiTheme="majorHAnsi" w:hAnsiTheme="majorHAnsi" w:cs="Arial"/>
                <w:lang w:val="fr-FR"/>
              </w:rPr>
            </w:pPr>
            <w:r w:rsidRPr="00384923">
              <w:rPr>
                <w:rFonts w:asciiTheme="majorHAnsi" w:hAnsiTheme="majorHAnsi" w:cs="Arial"/>
                <w:lang w:val="fr-FR"/>
              </w:rPr>
              <w:t>Fabrication de plaques et films photographiques, de papiers sensibilisés et d'autres matières sensibilisées non impressionnées</w:t>
            </w:r>
          </w:p>
        </w:tc>
      </w:tr>
      <w:tr w:rsidR="00351103" w:rsidRPr="007F1FE2" w14:paraId="49C036EE"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53AFBDF4" w14:textId="77777777" w:rsidR="00351103" w:rsidRPr="00384923" w:rsidRDefault="00351103" w:rsidP="00351103">
            <w:pPr>
              <w:jc w:val="right"/>
              <w:rPr>
                <w:rFonts w:ascii="Calibri" w:eastAsia="Times New Roman" w:hAnsi="Calibri" w:cs="Times New Roman"/>
              </w:rPr>
            </w:pPr>
            <w:r w:rsidRPr="00384923">
              <w:rPr>
                <w:rFonts w:ascii="Calibri" w:eastAsia="Times New Roman" w:hAnsi="Calibri" w:cs="Times New Roman"/>
              </w:rPr>
              <w:t>2059011</w:t>
            </w:r>
          </w:p>
        </w:tc>
        <w:tc>
          <w:tcPr>
            <w:tcW w:w="8106" w:type="dxa"/>
            <w:tcBorders>
              <w:top w:val="single" w:sz="4" w:space="0" w:color="auto"/>
              <w:left w:val="single" w:sz="4" w:space="0" w:color="auto"/>
              <w:bottom w:val="single" w:sz="4" w:space="0" w:color="auto"/>
              <w:right w:val="single" w:sz="4" w:space="0" w:color="auto"/>
            </w:tcBorders>
            <w:noWrap/>
            <w:hideMark/>
          </w:tcPr>
          <w:p w14:paraId="18171D00" w14:textId="73A7FA9F" w:rsidR="00351103" w:rsidRPr="00384923" w:rsidRDefault="00351103" w:rsidP="00351103">
            <w:pPr>
              <w:rPr>
                <w:rFonts w:asciiTheme="majorHAnsi" w:hAnsiTheme="majorHAnsi" w:cs="Arial"/>
                <w:lang w:val="fr-FR"/>
              </w:rPr>
            </w:pPr>
            <w:r w:rsidRPr="00384923">
              <w:rPr>
                <w:rFonts w:asciiTheme="majorHAnsi" w:hAnsiTheme="majorHAnsi" w:cs="Arial"/>
                <w:lang w:val="fr-FR"/>
              </w:rPr>
              <w:t>Fabrication d'huiles et graisses modifiées par des procédés chimiques</w:t>
            </w:r>
          </w:p>
        </w:tc>
      </w:tr>
      <w:tr w:rsidR="00351103" w:rsidRPr="007F1FE2" w14:paraId="12AC8B0E"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6E082F8F" w14:textId="77777777" w:rsidR="00351103" w:rsidRPr="00384923" w:rsidRDefault="00351103" w:rsidP="00351103">
            <w:pPr>
              <w:jc w:val="right"/>
              <w:rPr>
                <w:rFonts w:ascii="Calibri" w:eastAsia="Times New Roman" w:hAnsi="Calibri" w:cs="Times New Roman"/>
              </w:rPr>
            </w:pPr>
            <w:r w:rsidRPr="00384923">
              <w:rPr>
                <w:rFonts w:ascii="Calibri" w:eastAsia="Times New Roman" w:hAnsi="Calibri" w:cs="Times New Roman"/>
              </w:rPr>
              <w:t>2059013</w:t>
            </w:r>
          </w:p>
        </w:tc>
        <w:tc>
          <w:tcPr>
            <w:tcW w:w="8106" w:type="dxa"/>
            <w:tcBorders>
              <w:top w:val="single" w:sz="4" w:space="0" w:color="auto"/>
              <w:left w:val="single" w:sz="4" w:space="0" w:color="auto"/>
              <w:bottom w:val="single" w:sz="4" w:space="0" w:color="auto"/>
              <w:right w:val="single" w:sz="4" w:space="0" w:color="auto"/>
            </w:tcBorders>
            <w:noWrap/>
            <w:hideMark/>
          </w:tcPr>
          <w:p w14:paraId="4B157EC1" w14:textId="3D6394A7" w:rsidR="00351103" w:rsidRPr="00384923" w:rsidRDefault="00351103" w:rsidP="00351103">
            <w:pPr>
              <w:rPr>
                <w:rFonts w:asciiTheme="majorHAnsi" w:hAnsiTheme="majorHAnsi" w:cs="Arial"/>
                <w:lang w:val="fr-FR"/>
              </w:rPr>
            </w:pPr>
            <w:r w:rsidRPr="00384923">
              <w:rPr>
                <w:rFonts w:asciiTheme="majorHAnsi" w:hAnsiTheme="majorHAnsi" w:cs="Arial"/>
                <w:lang w:val="fr-FR"/>
              </w:rPr>
              <w:t>Fabrication de réactifs composés de diagnostic ou de laboratoire</w:t>
            </w:r>
          </w:p>
        </w:tc>
      </w:tr>
      <w:tr w:rsidR="00351103" w:rsidRPr="00BF4BF9" w14:paraId="236AD4F0"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005F62DE" w14:textId="77777777" w:rsidR="00351103" w:rsidRPr="00384923" w:rsidRDefault="00351103" w:rsidP="00351103">
            <w:pPr>
              <w:jc w:val="right"/>
              <w:rPr>
                <w:rFonts w:ascii="Calibri" w:eastAsia="Times New Roman" w:hAnsi="Calibri" w:cs="Times New Roman"/>
              </w:rPr>
            </w:pPr>
            <w:r w:rsidRPr="00384923">
              <w:rPr>
                <w:rFonts w:ascii="Calibri" w:eastAsia="Times New Roman" w:hAnsi="Calibri" w:cs="Times New Roman"/>
              </w:rPr>
              <w:t>21</w:t>
            </w:r>
          </w:p>
        </w:tc>
        <w:tc>
          <w:tcPr>
            <w:tcW w:w="8106" w:type="dxa"/>
            <w:tcBorders>
              <w:top w:val="single" w:sz="4" w:space="0" w:color="auto"/>
              <w:left w:val="single" w:sz="4" w:space="0" w:color="auto"/>
              <w:bottom w:val="single" w:sz="4" w:space="0" w:color="auto"/>
              <w:right w:val="single" w:sz="4" w:space="0" w:color="auto"/>
            </w:tcBorders>
            <w:noWrap/>
            <w:hideMark/>
          </w:tcPr>
          <w:p w14:paraId="66609CC3" w14:textId="7BC2E78F" w:rsidR="00351103" w:rsidRPr="00384923" w:rsidRDefault="00351103" w:rsidP="00351103">
            <w:pPr>
              <w:rPr>
                <w:rFonts w:asciiTheme="majorHAnsi" w:hAnsiTheme="majorHAnsi" w:cs="Arial"/>
                <w:lang w:val="fr-FR"/>
              </w:rPr>
            </w:pPr>
            <w:r w:rsidRPr="00384923">
              <w:rPr>
                <w:rFonts w:asciiTheme="majorHAnsi" w:hAnsiTheme="majorHAnsi" w:cs="Arial"/>
                <w:lang w:val="fr-FR"/>
              </w:rPr>
              <w:t>Industrie pharmaceutique</w:t>
            </w:r>
          </w:p>
        </w:tc>
      </w:tr>
      <w:tr w:rsidR="00351103" w:rsidRPr="007F1FE2" w14:paraId="45FD5C3A"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5477B2DC" w14:textId="77777777" w:rsidR="00351103" w:rsidRPr="00384923" w:rsidRDefault="00351103" w:rsidP="00351103">
            <w:pPr>
              <w:jc w:val="right"/>
              <w:rPr>
                <w:rFonts w:ascii="Calibri" w:eastAsia="Times New Roman" w:hAnsi="Calibri" w:cs="Times New Roman"/>
              </w:rPr>
            </w:pPr>
            <w:r w:rsidRPr="00384923">
              <w:rPr>
                <w:rFonts w:ascii="Calibri" w:eastAsia="Times New Roman" w:hAnsi="Calibri" w:cs="Times New Roman"/>
              </w:rPr>
              <w:t>22</w:t>
            </w:r>
          </w:p>
        </w:tc>
        <w:tc>
          <w:tcPr>
            <w:tcW w:w="8106" w:type="dxa"/>
            <w:tcBorders>
              <w:top w:val="single" w:sz="4" w:space="0" w:color="auto"/>
              <w:left w:val="single" w:sz="4" w:space="0" w:color="auto"/>
              <w:bottom w:val="single" w:sz="4" w:space="0" w:color="auto"/>
              <w:right w:val="single" w:sz="4" w:space="0" w:color="auto"/>
            </w:tcBorders>
            <w:noWrap/>
            <w:hideMark/>
          </w:tcPr>
          <w:p w14:paraId="0F157A31" w14:textId="7BF1051E" w:rsidR="00351103" w:rsidRPr="00384923" w:rsidRDefault="00351103" w:rsidP="00351103">
            <w:pPr>
              <w:rPr>
                <w:rFonts w:asciiTheme="majorHAnsi" w:hAnsiTheme="majorHAnsi" w:cs="Arial"/>
                <w:lang w:val="fr-FR"/>
              </w:rPr>
            </w:pPr>
            <w:r w:rsidRPr="00384923">
              <w:rPr>
                <w:rFonts w:asciiTheme="majorHAnsi" w:hAnsiTheme="majorHAnsi" w:cs="Arial"/>
                <w:lang w:val="fr-FR"/>
              </w:rPr>
              <w:t>Fabrication de produits en caoutchouc et en plastique</w:t>
            </w:r>
          </w:p>
        </w:tc>
      </w:tr>
      <w:tr w:rsidR="00351103" w:rsidRPr="007F1FE2" w14:paraId="2C582326"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23C80047" w14:textId="77777777" w:rsidR="00351103" w:rsidRPr="00384923" w:rsidRDefault="00351103" w:rsidP="00351103">
            <w:pPr>
              <w:jc w:val="right"/>
              <w:rPr>
                <w:rFonts w:ascii="Calibri" w:eastAsia="Times New Roman" w:hAnsi="Calibri" w:cs="Times New Roman"/>
              </w:rPr>
            </w:pPr>
            <w:r w:rsidRPr="00384923">
              <w:rPr>
                <w:rFonts w:ascii="Calibri" w:eastAsia="Times New Roman" w:hAnsi="Calibri" w:cs="Times New Roman"/>
              </w:rPr>
              <w:t>22290</w:t>
            </w:r>
          </w:p>
        </w:tc>
        <w:tc>
          <w:tcPr>
            <w:tcW w:w="8106" w:type="dxa"/>
            <w:tcBorders>
              <w:top w:val="single" w:sz="4" w:space="0" w:color="auto"/>
              <w:left w:val="single" w:sz="4" w:space="0" w:color="auto"/>
              <w:bottom w:val="single" w:sz="4" w:space="0" w:color="auto"/>
              <w:right w:val="single" w:sz="4" w:space="0" w:color="auto"/>
            </w:tcBorders>
            <w:noWrap/>
            <w:hideMark/>
          </w:tcPr>
          <w:p w14:paraId="4ABF6A26" w14:textId="0716B178" w:rsidR="00351103" w:rsidRPr="00384923" w:rsidRDefault="00351103" w:rsidP="00351103">
            <w:pPr>
              <w:rPr>
                <w:rFonts w:asciiTheme="majorHAnsi" w:hAnsiTheme="majorHAnsi" w:cs="Arial"/>
                <w:lang w:val="fr-FR"/>
              </w:rPr>
            </w:pPr>
            <w:r w:rsidRPr="00384923">
              <w:rPr>
                <w:rFonts w:asciiTheme="majorHAnsi" w:hAnsiTheme="majorHAnsi" w:cs="Arial"/>
                <w:lang w:val="fr-FR"/>
              </w:rPr>
              <w:t>Fabrication d'autres articles en matières plastiques</w:t>
            </w:r>
          </w:p>
        </w:tc>
      </w:tr>
      <w:tr w:rsidR="00351103" w:rsidRPr="007F1FE2" w14:paraId="2C1B5205"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4C493F7F" w14:textId="77777777" w:rsidR="00351103" w:rsidRPr="00384923" w:rsidRDefault="00351103" w:rsidP="00351103">
            <w:pPr>
              <w:jc w:val="right"/>
              <w:rPr>
                <w:rFonts w:ascii="Calibri" w:eastAsia="Times New Roman" w:hAnsi="Calibri" w:cs="Times New Roman"/>
              </w:rPr>
            </w:pPr>
            <w:r w:rsidRPr="00384923">
              <w:rPr>
                <w:rFonts w:ascii="Calibri" w:eastAsia="Times New Roman" w:hAnsi="Calibri" w:cs="Times New Roman"/>
              </w:rPr>
              <w:t>2229001</w:t>
            </w:r>
          </w:p>
        </w:tc>
        <w:tc>
          <w:tcPr>
            <w:tcW w:w="8106" w:type="dxa"/>
            <w:tcBorders>
              <w:top w:val="single" w:sz="4" w:space="0" w:color="auto"/>
              <w:left w:val="single" w:sz="4" w:space="0" w:color="auto"/>
              <w:bottom w:val="single" w:sz="4" w:space="0" w:color="auto"/>
              <w:right w:val="single" w:sz="4" w:space="0" w:color="auto"/>
            </w:tcBorders>
            <w:noWrap/>
            <w:hideMark/>
          </w:tcPr>
          <w:p w14:paraId="3115CB0C" w14:textId="24A7D01F" w:rsidR="00351103" w:rsidRPr="00384923" w:rsidRDefault="00351103" w:rsidP="00351103">
            <w:pPr>
              <w:rPr>
                <w:rFonts w:asciiTheme="majorHAnsi" w:hAnsiTheme="majorHAnsi" w:cs="Arial"/>
                <w:lang w:val="fr-FR"/>
              </w:rPr>
            </w:pPr>
            <w:r w:rsidRPr="00384923">
              <w:rPr>
                <w:rFonts w:asciiTheme="majorHAnsi" w:hAnsiTheme="majorHAnsi" w:cs="Arial"/>
                <w:lang w:val="fr-FR"/>
              </w:rPr>
              <w:t>Fabrication de produits divers en matières plastiques: coiffures, pièces isolantes, parties d'appareils d'éclairage, fourniture de bureau et scolaire, articles d'habillement (simplement collés), etc.</w:t>
            </w:r>
          </w:p>
        </w:tc>
      </w:tr>
      <w:tr w:rsidR="00351103" w:rsidRPr="007F1FE2" w14:paraId="1A7ED9B1"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2F26484F" w14:textId="77777777" w:rsidR="00351103" w:rsidRPr="00384923" w:rsidRDefault="00351103" w:rsidP="00351103">
            <w:pPr>
              <w:jc w:val="right"/>
              <w:rPr>
                <w:rFonts w:ascii="Calibri" w:eastAsia="Times New Roman" w:hAnsi="Calibri" w:cs="Times New Roman"/>
              </w:rPr>
            </w:pPr>
            <w:r w:rsidRPr="00384923">
              <w:rPr>
                <w:rFonts w:ascii="Calibri" w:eastAsia="Times New Roman" w:hAnsi="Calibri" w:cs="Times New Roman"/>
              </w:rPr>
              <w:t>23</w:t>
            </w:r>
          </w:p>
        </w:tc>
        <w:tc>
          <w:tcPr>
            <w:tcW w:w="8106" w:type="dxa"/>
            <w:tcBorders>
              <w:top w:val="single" w:sz="4" w:space="0" w:color="auto"/>
              <w:left w:val="single" w:sz="4" w:space="0" w:color="auto"/>
              <w:bottom w:val="single" w:sz="4" w:space="0" w:color="auto"/>
              <w:right w:val="single" w:sz="4" w:space="0" w:color="auto"/>
            </w:tcBorders>
            <w:noWrap/>
            <w:hideMark/>
          </w:tcPr>
          <w:p w14:paraId="6AB0C4E8" w14:textId="061A05E8" w:rsidR="00351103" w:rsidRPr="00384923" w:rsidRDefault="00351103" w:rsidP="00351103">
            <w:pPr>
              <w:rPr>
                <w:rFonts w:asciiTheme="majorHAnsi" w:hAnsiTheme="majorHAnsi" w:cs="Arial"/>
                <w:lang w:val="fr-FR"/>
              </w:rPr>
            </w:pPr>
            <w:r w:rsidRPr="00384923">
              <w:rPr>
                <w:rFonts w:asciiTheme="majorHAnsi" w:hAnsiTheme="majorHAnsi" w:cs="Arial"/>
                <w:lang w:val="fr-FR"/>
              </w:rPr>
              <w:t>Fabrication d'autres produits minéraux non métalliques</w:t>
            </w:r>
          </w:p>
        </w:tc>
      </w:tr>
      <w:tr w:rsidR="00351103" w:rsidRPr="007F1FE2" w14:paraId="42B8F50C"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tcPr>
          <w:p w14:paraId="2C4AFB5A" w14:textId="5BE9C282" w:rsidR="00351103" w:rsidRPr="00384923" w:rsidRDefault="00351103" w:rsidP="00351103">
            <w:pPr>
              <w:jc w:val="right"/>
              <w:rPr>
                <w:rFonts w:ascii="Calibri" w:eastAsia="Times New Roman" w:hAnsi="Calibri" w:cs="Times New Roman"/>
              </w:rPr>
            </w:pPr>
            <w:r>
              <w:rPr>
                <w:rFonts w:ascii="Calibri" w:eastAsia="Times New Roman" w:hAnsi="Calibri" w:cs="Times New Roman"/>
              </w:rPr>
              <w:t>2319</w:t>
            </w:r>
          </w:p>
        </w:tc>
        <w:tc>
          <w:tcPr>
            <w:tcW w:w="8106" w:type="dxa"/>
            <w:tcBorders>
              <w:top w:val="single" w:sz="4" w:space="0" w:color="auto"/>
              <w:left w:val="single" w:sz="4" w:space="0" w:color="auto"/>
              <w:bottom w:val="single" w:sz="4" w:space="0" w:color="auto"/>
              <w:right w:val="single" w:sz="4" w:space="0" w:color="auto"/>
            </w:tcBorders>
            <w:noWrap/>
          </w:tcPr>
          <w:p w14:paraId="53997F64" w14:textId="61B3CB1B" w:rsidR="00351103" w:rsidRPr="00384923" w:rsidRDefault="00E400B1" w:rsidP="00351103">
            <w:pPr>
              <w:rPr>
                <w:rFonts w:asciiTheme="majorHAnsi" w:hAnsiTheme="majorHAnsi" w:cs="Arial"/>
                <w:lang w:val="fr-FR"/>
              </w:rPr>
            </w:pPr>
            <w:r w:rsidRPr="00E400B1">
              <w:rPr>
                <w:rFonts w:asciiTheme="majorHAnsi" w:hAnsiTheme="majorHAnsi" w:cs="Arial"/>
                <w:lang w:val="fr-FR"/>
              </w:rPr>
              <w:t>Fabrication et façonnage d'autres articles en verre, y compris verre technique</w:t>
            </w:r>
          </w:p>
        </w:tc>
      </w:tr>
      <w:tr w:rsidR="00351103" w14:paraId="5F7832AF"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0F7213E0" w14:textId="77777777" w:rsidR="00351103" w:rsidRPr="00384923" w:rsidRDefault="00351103" w:rsidP="00351103">
            <w:pPr>
              <w:jc w:val="right"/>
              <w:rPr>
                <w:rFonts w:ascii="Calibri" w:eastAsia="Times New Roman" w:hAnsi="Calibri" w:cs="Times New Roman"/>
              </w:rPr>
            </w:pPr>
            <w:r w:rsidRPr="00384923">
              <w:rPr>
                <w:rFonts w:ascii="Calibri" w:eastAsia="Times New Roman" w:hAnsi="Calibri" w:cs="Times New Roman"/>
              </w:rPr>
              <w:t>2351</w:t>
            </w:r>
          </w:p>
        </w:tc>
        <w:tc>
          <w:tcPr>
            <w:tcW w:w="8106" w:type="dxa"/>
            <w:tcBorders>
              <w:top w:val="single" w:sz="4" w:space="0" w:color="auto"/>
              <w:left w:val="single" w:sz="4" w:space="0" w:color="auto"/>
              <w:bottom w:val="single" w:sz="4" w:space="0" w:color="auto"/>
              <w:right w:val="single" w:sz="4" w:space="0" w:color="auto"/>
            </w:tcBorders>
            <w:noWrap/>
            <w:hideMark/>
          </w:tcPr>
          <w:p w14:paraId="2671312C" w14:textId="407ACF6A" w:rsidR="00351103" w:rsidRPr="00384923" w:rsidRDefault="00351103" w:rsidP="00351103">
            <w:pPr>
              <w:rPr>
                <w:rFonts w:asciiTheme="majorHAnsi" w:hAnsiTheme="majorHAnsi" w:cs="Arial"/>
                <w:lang w:val="fr-FR"/>
              </w:rPr>
            </w:pPr>
            <w:r w:rsidRPr="00384923">
              <w:rPr>
                <w:rFonts w:asciiTheme="majorHAnsi" w:hAnsiTheme="majorHAnsi" w:cs="Arial"/>
                <w:lang w:val="fr-FR"/>
              </w:rPr>
              <w:t>Fabrication de ciment</w:t>
            </w:r>
          </w:p>
        </w:tc>
      </w:tr>
      <w:tr w:rsidR="00351103" w14:paraId="7E8B9DA1"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tcPr>
          <w:p w14:paraId="22F49358" w14:textId="4256717B" w:rsidR="00351103" w:rsidRPr="00384923" w:rsidRDefault="00351103" w:rsidP="00351103">
            <w:pPr>
              <w:jc w:val="right"/>
              <w:rPr>
                <w:rFonts w:ascii="Calibri" w:eastAsia="Times New Roman" w:hAnsi="Calibri" w:cs="Times New Roman"/>
              </w:rPr>
            </w:pPr>
            <w:r>
              <w:rPr>
                <w:rFonts w:ascii="Calibri" w:eastAsia="Times New Roman" w:hAnsi="Calibri" w:cs="Times New Roman"/>
              </w:rPr>
              <w:t>23510</w:t>
            </w:r>
          </w:p>
        </w:tc>
        <w:tc>
          <w:tcPr>
            <w:tcW w:w="8106" w:type="dxa"/>
            <w:tcBorders>
              <w:top w:val="single" w:sz="4" w:space="0" w:color="auto"/>
              <w:left w:val="single" w:sz="4" w:space="0" w:color="auto"/>
              <w:bottom w:val="single" w:sz="4" w:space="0" w:color="auto"/>
              <w:right w:val="single" w:sz="4" w:space="0" w:color="auto"/>
            </w:tcBorders>
            <w:noWrap/>
          </w:tcPr>
          <w:p w14:paraId="1BC5639F" w14:textId="5CD8F30D" w:rsidR="00351103" w:rsidRPr="00384923" w:rsidRDefault="00351103" w:rsidP="00351103">
            <w:pPr>
              <w:rPr>
                <w:rFonts w:asciiTheme="majorHAnsi" w:hAnsiTheme="majorHAnsi" w:cs="Arial"/>
                <w:lang w:val="fr-FR"/>
              </w:rPr>
            </w:pPr>
            <w:r>
              <w:rPr>
                <w:rFonts w:asciiTheme="majorHAnsi" w:hAnsiTheme="majorHAnsi" w:cs="Arial"/>
                <w:lang w:val="fr-FR"/>
              </w:rPr>
              <w:t>Fabrication de ciment</w:t>
            </w:r>
          </w:p>
        </w:tc>
      </w:tr>
      <w:tr w:rsidR="00351103" w:rsidRPr="007F1FE2" w14:paraId="251D4477"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tcPr>
          <w:p w14:paraId="2AF4F0BB" w14:textId="2B2D3B50" w:rsidR="00351103" w:rsidRPr="00DE1F47" w:rsidRDefault="00351103" w:rsidP="00351103">
            <w:pPr>
              <w:jc w:val="right"/>
              <w:rPr>
                <w:rFonts w:ascii="Calibri" w:eastAsia="Times New Roman" w:hAnsi="Calibri" w:cs="Times New Roman"/>
                <w:highlight w:val="yellow"/>
              </w:rPr>
            </w:pPr>
            <w:r w:rsidRPr="00746E0B">
              <w:rPr>
                <w:rFonts w:ascii="Calibri" w:eastAsia="Times New Roman" w:hAnsi="Calibri" w:cs="Times New Roman"/>
              </w:rPr>
              <w:t>2365002</w:t>
            </w:r>
          </w:p>
        </w:tc>
        <w:tc>
          <w:tcPr>
            <w:tcW w:w="8106" w:type="dxa"/>
            <w:tcBorders>
              <w:top w:val="single" w:sz="4" w:space="0" w:color="auto"/>
              <w:left w:val="single" w:sz="4" w:space="0" w:color="auto"/>
              <w:bottom w:val="single" w:sz="4" w:space="0" w:color="auto"/>
              <w:right w:val="single" w:sz="4" w:space="0" w:color="auto"/>
            </w:tcBorders>
            <w:noWrap/>
          </w:tcPr>
          <w:p w14:paraId="11C3F1BB" w14:textId="4377C9A3" w:rsidR="00351103" w:rsidRPr="00DE1F47" w:rsidRDefault="00351103" w:rsidP="00351103">
            <w:pPr>
              <w:rPr>
                <w:rFonts w:asciiTheme="majorHAnsi" w:hAnsiTheme="majorHAnsi" w:cs="Arial"/>
                <w:highlight w:val="yellow"/>
                <w:lang w:val="fr-FR"/>
              </w:rPr>
            </w:pPr>
            <w:r w:rsidRPr="00746E0B">
              <w:rPr>
                <w:rFonts w:asciiTheme="majorHAnsi" w:hAnsiTheme="majorHAnsi" w:cs="Arial"/>
                <w:lang w:val="fr-FR"/>
              </w:rPr>
              <w:t>Fabrication d'ouvrages en amiante-ciment, cellulose-ciment ou similaires : plaques ondulées ou autres, panneaux, carreaux, tuiles, tuyaux, gaines, réservoirs,</w:t>
            </w:r>
            <w:r w:rsidRPr="00DE1F47">
              <w:rPr>
                <w:lang w:val="fr-BE"/>
              </w:rPr>
              <w:t xml:space="preserve"> </w:t>
            </w:r>
            <w:r w:rsidRPr="00746E0B">
              <w:rPr>
                <w:rFonts w:asciiTheme="majorHAnsi" w:hAnsiTheme="majorHAnsi" w:cs="Arial"/>
                <w:lang w:val="fr-FR"/>
              </w:rPr>
              <w:t>auges, bassins, éviers, cruchons, etc.</w:t>
            </w:r>
          </w:p>
        </w:tc>
      </w:tr>
      <w:tr w:rsidR="00351103" w:rsidRPr="00BF4BF9" w14:paraId="3A398CE0"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213D4B47" w14:textId="77777777" w:rsidR="00351103" w:rsidRPr="00384923" w:rsidRDefault="00351103" w:rsidP="00351103">
            <w:pPr>
              <w:jc w:val="right"/>
              <w:rPr>
                <w:rFonts w:ascii="Calibri" w:eastAsia="Times New Roman" w:hAnsi="Calibri" w:cs="Times New Roman"/>
              </w:rPr>
            </w:pPr>
            <w:r w:rsidRPr="00384923">
              <w:rPr>
                <w:rFonts w:ascii="Calibri" w:eastAsia="Times New Roman" w:hAnsi="Calibri" w:cs="Times New Roman"/>
              </w:rPr>
              <w:t>24</w:t>
            </w:r>
          </w:p>
        </w:tc>
        <w:tc>
          <w:tcPr>
            <w:tcW w:w="8106" w:type="dxa"/>
            <w:tcBorders>
              <w:top w:val="single" w:sz="4" w:space="0" w:color="auto"/>
              <w:left w:val="single" w:sz="4" w:space="0" w:color="auto"/>
              <w:bottom w:val="single" w:sz="4" w:space="0" w:color="auto"/>
              <w:right w:val="single" w:sz="4" w:space="0" w:color="auto"/>
            </w:tcBorders>
            <w:noWrap/>
            <w:hideMark/>
          </w:tcPr>
          <w:p w14:paraId="477DA541" w14:textId="6C449C5B" w:rsidR="00351103" w:rsidRPr="00384923" w:rsidRDefault="00351103" w:rsidP="00351103">
            <w:pPr>
              <w:rPr>
                <w:rFonts w:asciiTheme="majorHAnsi" w:hAnsiTheme="majorHAnsi" w:cs="Arial"/>
                <w:lang w:val="fr-FR"/>
              </w:rPr>
            </w:pPr>
            <w:r w:rsidRPr="00384923">
              <w:rPr>
                <w:rFonts w:asciiTheme="majorHAnsi" w:hAnsiTheme="majorHAnsi" w:cs="Arial"/>
                <w:lang w:val="fr-FR"/>
              </w:rPr>
              <w:t>Métallurgie</w:t>
            </w:r>
          </w:p>
        </w:tc>
      </w:tr>
      <w:tr w:rsidR="00351103" w:rsidRPr="00BF4BF9" w14:paraId="0A419887"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tcPr>
          <w:p w14:paraId="4022BC2A" w14:textId="44AC8DBA" w:rsidR="00351103" w:rsidRPr="00384923" w:rsidRDefault="00351103" w:rsidP="00351103">
            <w:pPr>
              <w:jc w:val="right"/>
              <w:rPr>
                <w:rFonts w:ascii="Calibri" w:eastAsia="Times New Roman" w:hAnsi="Calibri" w:cs="Times New Roman"/>
              </w:rPr>
            </w:pPr>
            <w:r>
              <w:rPr>
                <w:rFonts w:ascii="Calibri" w:eastAsia="Times New Roman" w:hAnsi="Calibri" w:cs="Times New Roman"/>
              </w:rPr>
              <w:t>275</w:t>
            </w:r>
          </w:p>
        </w:tc>
        <w:tc>
          <w:tcPr>
            <w:tcW w:w="8106" w:type="dxa"/>
            <w:tcBorders>
              <w:top w:val="single" w:sz="4" w:space="0" w:color="auto"/>
              <w:left w:val="single" w:sz="4" w:space="0" w:color="auto"/>
              <w:bottom w:val="single" w:sz="4" w:space="0" w:color="auto"/>
              <w:right w:val="single" w:sz="4" w:space="0" w:color="auto"/>
            </w:tcBorders>
            <w:noWrap/>
          </w:tcPr>
          <w:p w14:paraId="0F996197" w14:textId="06B97C8A" w:rsidR="00351103" w:rsidRPr="00384923" w:rsidRDefault="00E400B1" w:rsidP="00351103">
            <w:pPr>
              <w:rPr>
                <w:rFonts w:asciiTheme="majorHAnsi" w:hAnsiTheme="majorHAnsi" w:cs="Arial"/>
                <w:lang w:val="fr-FR"/>
              </w:rPr>
            </w:pPr>
            <w:r w:rsidRPr="00E400B1">
              <w:rPr>
                <w:rFonts w:asciiTheme="majorHAnsi" w:hAnsiTheme="majorHAnsi" w:cs="Arial"/>
                <w:lang w:val="fr-FR"/>
              </w:rPr>
              <w:t>Fabrication d'appareils ménagers</w:t>
            </w:r>
          </w:p>
        </w:tc>
      </w:tr>
      <w:tr w:rsidR="00351103" w:rsidRPr="007F1FE2" w14:paraId="161A01D5"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4CDE342F" w14:textId="77777777" w:rsidR="00351103" w:rsidRPr="00384923" w:rsidRDefault="00351103" w:rsidP="00351103">
            <w:pPr>
              <w:jc w:val="right"/>
              <w:rPr>
                <w:rFonts w:ascii="Calibri" w:eastAsia="Times New Roman" w:hAnsi="Calibri" w:cs="Times New Roman"/>
              </w:rPr>
            </w:pPr>
            <w:r w:rsidRPr="00384923">
              <w:rPr>
                <w:rFonts w:ascii="Calibri" w:eastAsia="Times New Roman" w:hAnsi="Calibri" w:cs="Times New Roman"/>
              </w:rPr>
              <w:t>31010</w:t>
            </w:r>
          </w:p>
        </w:tc>
        <w:tc>
          <w:tcPr>
            <w:tcW w:w="8106" w:type="dxa"/>
            <w:tcBorders>
              <w:top w:val="single" w:sz="4" w:space="0" w:color="auto"/>
              <w:left w:val="single" w:sz="4" w:space="0" w:color="auto"/>
              <w:bottom w:val="single" w:sz="4" w:space="0" w:color="auto"/>
              <w:right w:val="single" w:sz="4" w:space="0" w:color="auto"/>
            </w:tcBorders>
            <w:noWrap/>
            <w:hideMark/>
          </w:tcPr>
          <w:p w14:paraId="0384BB81" w14:textId="36AC329F" w:rsidR="00351103" w:rsidRPr="00384923" w:rsidRDefault="00351103" w:rsidP="00351103">
            <w:pPr>
              <w:rPr>
                <w:rFonts w:asciiTheme="majorHAnsi" w:hAnsiTheme="majorHAnsi" w:cs="Arial"/>
                <w:lang w:val="fr-FR"/>
              </w:rPr>
            </w:pPr>
            <w:r w:rsidRPr="00384923">
              <w:rPr>
                <w:rFonts w:asciiTheme="majorHAnsi" w:hAnsiTheme="majorHAnsi" w:cs="Arial"/>
                <w:lang w:val="fr-FR"/>
              </w:rPr>
              <w:t>Fabrication de meubles de bureau et de magasin</w:t>
            </w:r>
          </w:p>
        </w:tc>
      </w:tr>
      <w:tr w:rsidR="00351103" w14:paraId="4C5BE4C3"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7EC5042B" w14:textId="77777777" w:rsidR="00351103" w:rsidRPr="00384923" w:rsidRDefault="00351103" w:rsidP="00351103">
            <w:pPr>
              <w:jc w:val="right"/>
              <w:rPr>
                <w:rFonts w:ascii="Calibri" w:eastAsia="Times New Roman" w:hAnsi="Calibri" w:cs="Times New Roman"/>
              </w:rPr>
            </w:pPr>
            <w:r w:rsidRPr="00384923">
              <w:rPr>
                <w:rFonts w:ascii="Calibri" w:eastAsia="Times New Roman" w:hAnsi="Calibri" w:cs="Times New Roman"/>
              </w:rPr>
              <w:t>32</w:t>
            </w:r>
          </w:p>
        </w:tc>
        <w:tc>
          <w:tcPr>
            <w:tcW w:w="8106" w:type="dxa"/>
            <w:tcBorders>
              <w:top w:val="single" w:sz="4" w:space="0" w:color="auto"/>
              <w:left w:val="single" w:sz="4" w:space="0" w:color="auto"/>
              <w:bottom w:val="single" w:sz="4" w:space="0" w:color="auto"/>
              <w:right w:val="single" w:sz="4" w:space="0" w:color="auto"/>
            </w:tcBorders>
            <w:noWrap/>
            <w:hideMark/>
          </w:tcPr>
          <w:p w14:paraId="673DE3E0" w14:textId="513DF9F8" w:rsidR="00351103" w:rsidRPr="00384923" w:rsidRDefault="00351103" w:rsidP="00351103">
            <w:pPr>
              <w:rPr>
                <w:rFonts w:asciiTheme="majorHAnsi" w:hAnsiTheme="majorHAnsi" w:cs="Arial"/>
                <w:lang w:val="fr-FR"/>
              </w:rPr>
            </w:pPr>
            <w:r w:rsidRPr="00384923">
              <w:rPr>
                <w:rFonts w:asciiTheme="majorHAnsi" w:hAnsiTheme="majorHAnsi" w:cs="Arial"/>
                <w:lang w:val="fr-FR"/>
              </w:rPr>
              <w:t>Aquaculture</w:t>
            </w:r>
          </w:p>
        </w:tc>
      </w:tr>
      <w:tr w:rsidR="00351103" w:rsidRPr="007F1FE2" w14:paraId="284A0F7A"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tcPr>
          <w:p w14:paraId="57405860" w14:textId="4FF98E48" w:rsidR="00351103" w:rsidRPr="00384923" w:rsidRDefault="00351103" w:rsidP="00351103">
            <w:pPr>
              <w:jc w:val="right"/>
              <w:rPr>
                <w:rFonts w:ascii="Calibri" w:eastAsia="Times New Roman" w:hAnsi="Calibri" w:cs="Times New Roman"/>
              </w:rPr>
            </w:pPr>
            <w:r>
              <w:rPr>
                <w:rFonts w:ascii="Calibri" w:eastAsia="Times New Roman" w:hAnsi="Calibri" w:cs="Times New Roman"/>
              </w:rPr>
              <w:t>32500</w:t>
            </w:r>
          </w:p>
        </w:tc>
        <w:tc>
          <w:tcPr>
            <w:tcW w:w="8106" w:type="dxa"/>
            <w:tcBorders>
              <w:top w:val="single" w:sz="4" w:space="0" w:color="auto"/>
              <w:left w:val="single" w:sz="4" w:space="0" w:color="auto"/>
              <w:bottom w:val="single" w:sz="4" w:space="0" w:color="auto"/>
              <w:right w:val="single" w:sz="4" w:space="0" w:color="auto"/>
            </w:tcBorders>
            <w:noWrap/>
          </w:tcPr>
          <w:p w14:paraId="5A8B2CFF" w14:textId="01474CDE" w:rsidR="00351103" w:rsidRPr="00384923" w:rsidRDefault="00E400B1" w:rsidP="00351103">
            <w:pPr>
              <w:rPr>
                <w:rFonts w:asciiTheme="majorHAnsi" w:hAnsiTheme="majorHAnsi" w:cs="Arial"/>
                <w:lang w:val="fr-FR"/>
              </w:rPr>
            </w:pPr>
            <w:r w:rsidRPr="00E400B1">
              <w:rPr>
                <w:rFonts w:asciiTheme="majorHAnsi" w:hAnsiTheme="majorHAnsi" w:cs="Arial"/>
                <w:lang w:val="fr-FR"/>
              </w:rPr>
              <w:t>Fabrication d'instruments et de fournitures à usage médical et dentaire</w:t>
            </w:r>
          </w:p>
        </w:tc>
      </w:tr>
      <w:tr w:rsidR="00351103" w14:paraId="142B45A5"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7C63E540" w14:textId="77777777" w:rsidR="00351103" w:rsidRPr="00384923" w:rsidRDefault="00351103" w:rsidP="00351103">
            <w:pPr>
              <w:jc w:val="right"/>
              <w:rPr>
                <w:rFonts w:ascii="Calibri" w:eastAsia="Times New Roman" w:hAnsi="Calibri" w:cs="Times New Roman"/>
              </w:rPr>
            </w:pPr>
            <w:r w:rsidRPr="00384923">
              <w:rPr>
                <w:rFonts w:ascii="Calibri" w:eastAsia="Times New Roman" w:hAnsi="Calibri" w:cs="Times New Roman"/>
              </w:rPr>
              <w:t>43</w:t>
            </w:r>
          </w:p>
        </w:tc>
        <w:tc>
          <w:tcPr>
            <w:tcW w:w="8106" w:type="dxa"/>
            <w:tcBorders>
              <w:top w:val="single" w:sz="4" w:space="0" w:color="auto"/>
              <w:left w:val="single" w:sz="4" w:space="0" w:color="auto"/>
              <w:bottom w:val="single" w:sz="4" w:space="0" w:color="auto"/>
              <w:right w:val="single" w:sz="4" w:space="0" w:color="auto"/>
            </w:tcBorders>
            <w:noWrap/>
            <w:hideMark/>
          </w:tcPr>
          <w:p w14:paraId="1F5ED558" w14:textId="37516B61" w:rsidR="00351103" w:rsidRPr="00384923" w:rsidRDefault="00351103" w:rsidP="00351103">
            <w:pPr>
              <w:rPr>
                <w:rFonts w:asciiTheme="majorHAnsi" w:hAnsiTheme="majorHAnsi" w:cs="Arial"/>
                <w:lang w:val="fr-FR"/>
              </w:rPr>
            </w:pPr>
            <w:r w:rsidRPr="00384923">
              <w:rPr>
                <w:rFonts w:asciiTheme="majorHAnsi" w:hAnsiTheme="majorHAnsi" w:cs="Arial"/>
                <w:lang w:val="fr-FR"/>
              </w:rPr>
              <w:t>Travaux de construction spécialisés</w:t>
            </w:r>
          </w:p>
        </w:tc>
      </w:tr>
      <w:tr w:rsidR="00351103" w:rsidRPr="007F1FE2" w14:paraId="33B66207"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tcPr>
          <w:p w14:paraId="2D5DC545" w14:textId="74D842BE" w:rsidR="00351103" w:rsidRPr="00384923" w:rsidRDefault="00351103" w:rsidP="00351103">
            <w:pPr>
              <w:jc w:val="right"/>
              <w:rPr>
                <w:rFonts w:ascii="Calibri" w:eastAsia="Times New Roman" w:hAnsi="Calibri" w:cs="Times New Roman"/>
              </w:rPr>
            </w:pPr>
            <w:r>
              <w:rPr>
                <w:rFonts w:ascii="Calibri" w:eastAsia="Times New Roman" w:hAnsi="Calibri" w:cs="Times New Roman"/>
              </w:rPr>
              <w:t>4333101</w:t>
            </w:r>
          </w:p>
        </w:tc>
        <w:tc>
          <w:tcPr>
            <w:tcW w:w="8106" w:type="dxa"/>
            <w:tcBorders>
              <w:top w:val="single" w:sz="4" w:space="0" w:color="auto"/>
              <w:left w:val="single" w:sz="4" w:space="0" w:color="auto"/>
              <w:bottom w:val="single" w:sz="4" w:space="0" w:color="auto"/>
              <w:right w:val="single" w:sz="4" w:space="0" w:color="auto"/>
            </w:tcBorders>
            <w:noWrap/>
          </w:tcPr>
          <w:p w14:paraId="0165A6A3" w14:textId="02ABD783" w:rsidR="00351103" w:rsidRPr="00384923" w:rsidRDefault="00E400B1" w:rsidP="00351103">
            <w:pPr>
              <w:rPr>
                <w:rFonts w:asciiTheme="majorHAnsi" w:hAnsiTheme="majorHAnsi" w:cs="Arial"/>
                <w:lang w:val="fr-FR"/>
              </w:rPr>
            </w:pPr>
            <w:r w:rsidRPr="00E400B1">
              <w:rPr>
                <w:rFonts w:asciiTheme="majorHAnsi" w:hAnsiTheme="majorHAnsi" w:cs="Arial"/>
                <w:lang w:val="fr-FR"/>
              </w:rPr>
              <w:t>Application dans des bâtiments ou d'autres projets de construction, de plâtre ou de stuc pour l'intérieur ou l'extérieur, y compris les matériaux de lattage associés</w:t>
            </w:r>
          </w:p>
        </w:tc>
      </w:tr>
      <w:tr w:rsidR="00351103" w:rsidRPr="007F1FE2" w14:paraId="7F39A511"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5B1B9904" w14:textId="77777777" w:rsidR="00351103" w:rsidRPr="00384923" w:rsidRDefault="00351103" w:rsidP="00351103">
            <w:pPr>
              <w:jc w:val="right"/>
              <w:rPr>
                <w:rFonts w:ascii="Calibri" w:eastAsia="Times New Roman" w:hAnsi="Calibri" w:cs="Times New Roman"/>
              </w:rPr>
            </w:pPr>
            <w:r w:rsidRPr="00384923">
              <w:rPr>
                <w:rFonts w:ascii="Calibri" w:eastAsia="Times New Roman" w:hAnsi="Calibri" w:cs="Times New Roman"/>
              </w:rPr>
              <w:t>4334101</w:t>
            </w:r>
          </w:p>
        </w:tc>
        <w:tc>
          <w:tcPr>
            <w:tcW w:w="8106" w:type="dxa"/>
            <w:tcBorders>
              <w:top w:val="single" w:sz="4" w:space="0" w:color="auto"/>
              <w:left w:val="single" w:sz="4" w:space="0" w:color="auto"/>
              <w:bottom w:val="single" w:sz="4" w:space="0" w:color="auto"/>
              <w:right w:val="single" w:sz="4" w:space="0" w:color="auto"/>
            </w:tcBorders>
            <w:noWrap/>
            <w:hideMark/>
          </w:tcPr>
          <w:p w14:paraId="4CCA12A2" w14:textId="79543DF7" w:rsidR="00351103" w:rsidRPr="00384923" w:rsidRDefault="00351103" w:rsidP="00351103">
            <w:pPr>
              <w:rPr>
                <w:rFonts w:asciiTheme="majorHAnsi" w:hAnsiTheme="majorHAnsi" w:cs="Arial"/>
                <w:lang w:val="fr-FR"/>
              </w:rPr>
            </w:pPr>
            <w:r w:rsidRPr="00384923">
              <w:rPr>
                <w:rFonts w:asciiTheme="majorHAnsi" w:hAnsiTheme="majorHAnsi" w:cs="Arial"/>
                <w:lang w:val="fr-FR"/>
              </w:rPr>
              <w:t>Peinture intérieure et extérieure des bâtiments</w:t>
            </w:r>
          </w:p>
        </w:tc>
      </w:tr>
      <w:tr w:rsidR="00351103" w:rsidRPr="007F1FE2" w14:paraId="643239B8"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617E83AC" w14:textId="77777777" w:rsidR="00351103" w:rsidRPr="00384923" w:rsidRDefault="00351103" w:rsidP="00351103">
            <w:pPr>
              <w:jc w:val="right"/>
              <w:rPr>
                <w:rFonts w:ascii="Calibri" w:eastAsia="Times New Roman" w:hAnsi="Calibri" w:cs="Times New Roman"/>
              </w:rPr>
            </w:pPr>
            <w:r w:rsidRPr="00384923">
              <w:rPr>
                <w:rFonts w:ascii="Calibri" w:eastAsia="Times New Roman" w:hAnsi="Calibri" w:cs="Times New Roman"/>
              </w:rPr>
              <w:lastRenderedPageBreak/>
              <w:t>46120</w:t>
            </w:r>
          </w:p>
        </w:tc>
        <w:tc>
          <w:tcPr>
            <w:tcW w:w="8106" w:type="dxa"/>
            <w:tcBorders>
              <w:top w:val="single" w:sz="4" w:space="0" w:color="auto"/>
              <w:left w:val="single" w:sz="4" w:space="0" w:color="auto"/>
              <w:bottom w:val="single" w:sz="4" w:space="0" w:color="auto"/>
              <w:right w:val="single" w:sz="4" w:space="0" w:color="auto"/>
            </w:tcBorders>
            <w:noWrap/>
            <w:hideMark/>
          </w:tcPr>
          <w:p w14:paraId="4D8E391F" w14:textId="6AE259F1" w:rsidR="00351103" w:rsidRPr="00384923" w:rsidRDefault="00351103" w:rsidP="00351103">
            <w:pPr>
              <w:rPr>
                <w:rFonts w:asciiTheme="majorHAnsi" w:hAnsiTheme="majorHAnsi" w:cs="Arial"/>
                <w:lang w:val="fr-FR"/>
              </w:rPr>
            </w:pPr>
            <w:r w:rsidRPr="00384923">
              <w:rPr>
                <w:rFonts w:asciiTheme="majorHAnsi" w:hAnsiTheme="majorHAnsi" w:cs="Arial"/>
                <w:lang w:val="fr-FR"/>
              </w:rPr>
              <w:t>Intermédiaires du commerce en combustibles, métaux, minéraux et produits chimiques</w:t>
            </w:r>
          </w:p>
        </w:tc>
      </w:tr>
      <w:tr w:rsidR="00351103" w:rsidRPr="007F1FE2" w14:paraId="1CCE905D"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tcPr>
          <w:p w14:paraId="0C3FDC97" w14:textId="6FF2BE5A" w:rsidR="00351103" w:rsidRPr="00384923" w:rsidRDefault="00351103" w:rsidP="00351103">
            <w:pPr>
              <w:jc w:val="right"/>
              <w:rPr>
                <w:rFonts w:ascii="Calibri" w:eastAsia="Times New Roman" w:hAnsi="Calibri" w:cs="Times New Roman"/>
              </w:rPr>
            </w:pPr>
            <w:r>
              <w:rPr>
                <w:rFonts w:ascii="Calibri" w:eastAsia="Times New Roman" w:hAnsi="Calibri" w:cs="Times New Roman"/>
              </w:rPr>
              <w:t>461</w:t>
            </w:r>
            <w:r w:rsidR="00782754">
              <w:rPr>
                <w:rFonts w:ascii="Calibri" w:eastAsia="Times New Roman" w:hAnsi="Calibri" w:cs="Times New Roman"/>
              </w:rPr>
              <w:t>8001</w:t>
            </w:r>
          </w:p>
        </w:tc>
        <w:tc>
          <w:tcPr>
            <w:tcW w:w="8106" w:type="dxa"/>
            <w:tcBorders>
              <w:top w:val="single" w:sz="4" w:space="0" w:color="auto"/>
              <w:left w:val="single" w:sz="4" w:space="0" w:color="auto"/>
              <w:bottom w:val="single" w:sz="4" w:space="0" w:color="auto"/>
              <w:right w:val="single" w:sz="4" w:space="0" w:color="auto"/>
            </w:tcBorders>
            <w:noWrap/>
          </w:tcPr>
          <w:p w14:paraId="08FE3F49" w14:textId="765EA58A" w:rsidR="00351103" w:rsidRPr="00384923" w:rsidRDefault="00E400B1" w:rsidP="00351103">
            <w:pPr>
              <w:rPr>
                <w:rFonts w:asciiTheme="majorHAnsi" w:hAnsiTheme="majorHAnsi" w:cs="Arial"/>
                <w:lang w:val="fr-FR"/>
              </w:rPr>
            </w:pPr>
            <w:r w:rsidRPr="00E400B1">
              <w:rPr>
                <w:rFonts w:asciiTheme="majorHAnsi" w:hAnsiTheme="majorHAnsi" w:cs="Arial"/>
                <w:lang w:val="fr-FR"/>
              </w:rPr>
              <w:t xml:space="preserve">Autres intermédiaires spécialisés du commerce </w:t>
            </w:r>
            <w:proofErr w:type="spellStart"/>
            <w:r w:rsidRPr="00E400B1">
              <w:rPr>
                <w:rFonts w:asciiTheme="majorHAnsi" w:hAnsiTheme="majorHAnsi" w:cs="Arial"/>
                <w:lang w:val="fr-FR"/>
              </w:rPr>
              <w:t>n.d.a</w:t>
            </w:r>
            <w:proofErr w:type="spellEnd"/>
            <w:r w:rsidRPr="00E400B1">
              <w:rPr>
                <w:rFonts w:asciiTheme="majorHAnsi" w:hAnsiTheme="majorHAnsi" w:cs="Arial"/>
                <w:lang w:val="fr-FR"/>
              </w:rPr>
              <w:t>.</w:t>
            </w:r>
          </w:p>
        </w:tc>
      </w:tr>
      <w:tr w:rsidR="00782754" w:rsidRPr="007F1FE2" w14:paraId="70897B45"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tcPr>
          <w:p w14:paraId="6543441F" w14:textId="3BEDDA4F" w:rsidR="00782754" w:rsidRDefault="00782754" w:rsidP="00351103">
            <w:pPr>
              <w:jc w:val="right"/>
              <w:rPr>
                <w:rFonts w:ascii="Calibri" w:eastAsia="Times New Roman" w:hAnsi="Calibri" w:cs="Times New Roman"/>
              </w:rPr>
            </w:pPr>
            <w:r>
              <w:rPr>
                <w:rFonts w:ascii="Calibri" w:eastAsia="Times New Roman" w:hAnsi="Calibri" w:cs="Times New Roman"/>
              </w:rPr>
              <w:t>4649401</w:t>
            </w:r>
          </w:p>
        </w:tc>
        <w:tc>
          <w:tcPr>
            <w:tcW w:w="8106" w:type="dxa"/>
            <w:tcBorders>
              <w:top w:val="single" w:sz="4" w:space="0" w:color="auto"/>
              <w:left w:val="single" w:sz="4" w:space="0" w:color="auto"/>
              <w:bottom w:val="single" w:sz="4" w:space="0" w:color="auto"/>
              <w:right w:val="single" w:sz="4" w:space="0" w:color="auto"/>
            </w:tcBorders>
            <w:noWrap/>
          </w:tcPr>
          <w:p w14:paraId="609934BF" w14:textId="560CA520" w:rsidR="00782754" w:rsidRPr="00384923" w:rsidRDefault="00E400B1" w:rsidP="00351103">
            <w:pPr>
              <w:rPr>
                <w:rFonts w:asciiTheme="majorHAnsi" w:hAnsiTheme="majorHAnsi" w:cs="Arial"/>
                <w:lang w:val="fr-FR"/>
              </w:rPr>
            </w:pPr>
            <w:r w:rsidRPr="00E400B1">
              <w:rPr>
                <w:rFonts w:asciiTheme="majorHAnsi" w:hAnsiTheme="majorHAnsi" w:cs="Arial"/>
                <w:lang w:val="fr-FR"/>
              </w:rPr>
              <w:t>Commerce de gros de couverts et d'articles métalliques de table et de cuisine</w:t>
            </w:r>
          </w:p>
        </w:tc>
      </w:tr>
      <w:tr w:rsidR="00351103" w:rsidRPr="007F1FE2" w14:paraId="24A60F51"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75DD316A" w14:textId="77777777" w:rsidR="00351103" w:rsidRPr="00384923" w:rsidRDefault="00351103" w:rsidP="00351103">
            <w:pPr>
              <w:jc w:val="right"/>
              <w:rPr>
                <w:rFonts w:ascii="Calibri" w:eastAsia="Times New Roman" w:hAnsi="Calibri" w:cs="Times New Roman"/>
              </w:rPr>
            </w:pPr>
            <w:r w:rsidRPr="00384923">
              <w:rPr>
                <w:rFonts w:ascii="Calibri" w:eastAsia="Times New Roman" w:hAnsi="Calibri" w:cs="Times New Roman"/>
              </w:rPr>
              <w:t>46699</w:t>
            </w:r>
          </w:p>
        </w:tc>
        <w:tc>
          <w:tcPr>
            <w:tcW w:w="8106" w:type="dxa"/>
            <w:tcBorders>
              <w:top w:val="single" w:sz="4" w:space="0" w:color="auto"/>
              <w:left w:val="single" w:sz="4" w:space="0" w:color="auto"/>
              <w:bottom w:val="single" w:sz="4" w:space="0" w:color="auto"/>
              <w:right w:val="single" w:sz="4" w:space="0" w:color="auto"/>
            </w:tcBorders>
            <w:noWrap/>
            <w:hideMark/>
          </w:tcPr>
          <w:p w14:paraId="41BDAD16" w14:textId="08968498" w:rsidR="00351103" w:rsidRPr="00384923" w:rsidRDefault="00351103" w:rsidP="00351103">
            <w:pPr>
              <w:rPr>
                <w:rFonts w:asciiTheme="majorHAnsi" w:hAnsiTheme="majorHAnsi" w:cs="Arial"/>
                <w:lang w:val="fr-FR"/>
              </w:rPr>
            </w:pPr>
            <w:r w:rsidRPr="00384923">
              <w:rPr>
                <w:rFonts w:asciiTheme="majorHAnsi" w:hAnsiTheme="majorHAnsi" w:cs="Arial"/>
                <w:lang w:val="fr-FR"/>
              </w:rPr>
              <w:t xml:space="preserve">Commerce de gros d'autres machines et équipements </w:t>
            </w:r>
            <w:proofErr w:type="spellStart"/>
            <w:r w:rsidRPr="00384923">
              <w:rPr>
                <w:rFonts w:asciiTheme="majorHAnsi" w:hAnsiTheme="majorHAnsi" w:cs="Arial"/>
                <w:lang w:val="fr-FR"/>
              </w:rPr>
              <w:t>n.c.a</w:t>
            </w:r>
            <w:proofErr w:type="spellEnd"/>
            <w:r w:rsidRPr="00384923">
              <w:rPr>
                <w:rFonts w:asciiTheme="majorHAnsi" w:hAnsiTheme="majorHAnsi" w:cs="Arial"/>
                <w:lang w:val="fr-FR"/>
              </w:rPr>
              <w:t>.</w:t>
            </w:r>
          </w:p>
        </w:tc>
      </w:tr>
      <w:tr w:rsidR="00351103" w:rsidRPr="007F1FE2" w14:paraId="17A58A5F"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11A6669A" w14:textId="77777777" w:rsidR="00351103" w:rsidRPr="00384923" w:rsidRDefault="00351103" w:rsidP="00351103">
            <w:pPr>
              <w:jc w:val="right"/>
              <w:rPr>
                <w:rFonts w:ascii="Calibri" w:eastAsia="Times New Roman" w:hAnsi="Calibri" w:cs="Times New Roman"/>
              </w:rPr>
            </w:pPr>
            <w:r w:rsidRPr="00384923">
              <w:rPr>
                <w:rFonts w:ascii="Calibri" w:eastAsia="Times New Roman" w:hAnsi="Calibri" w:cs="Times New Roman"/>
              </w:rPr>
              <w:t>46710</w:t>
            </w:r>
          </w:p>
        </w:tc>
        <w:tc>
          <w:tcPr>
            <w:tcW w:w="8106" w:type="dxa"/>
            <w:tcBorders>
              <w:top w:val="single" w:sz="4" w:space="0" w:color="auto"/>
              <w:left w:val="single" w:sz="4" w:space="0" w:color="auto"/>
              <w:bottom w:val="single" w:sz="4" w:space="0" w:color="auto"/>
              <w:right w:val="single" w:sz="4" w:space="0" w:color="auto"/>
            </w:tcBorders>
            <w:noWrap/>
            <w:hideMark/>
          </w:tcPr>
          <w:p w14:paraId="37BAE30F" w14:textId="318DB71E" w:rsidR="00351103" w:rsidRPr="00384923" w:rsidRDefault="00351103" w:rsidP="00351103">
            <w:pPr>
              <w:rPr>
                <w:rFonts w:asciiTheme="majorHAnsi" w:hAnsiTheme="majorHAnsi" w:cs="Arial"/>
                <w:lang w:val="fr-FR"/>
              </w:rPr>
            </w:pPr>
            <w:r w:rsidRPr="00384923">
              <w:rPr>
                <w:rFonts w:asciiTheme="majorHAnsi" w:hAnsiTheme="majorHAnsi" w:cs="Arial"/>
                <w:lang w:val="fr-FR"/>
              </w:rPr>
              <w:t>Commerce de gros de combustibles solides, liquides et gazeux et de produits annexes</w:t>
            </w:r>
          </w:p>
        </w:tc>
      </w:tr>
      <w:tr w:rsidR="00351103" w:rsidRPr="007F1FE2" w14:paraId="05941D08"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44BA22C5" w14:textId="77777777" w:rsidR="00351103" w:rsidRPr="00384923" w:rsidRDefault="00351103" w:rsidP="00351103">
            <w:pPr>
              <w:jc w:val="right"/>
              <w:rPr>
                <w:rFonts w:ascii="Calibri" w:eastAsia="Times New Roman" w:hAnsi="Calibri" w:cs="Times New Roman"/>
              </w:rPr>
            </w:pPr>
            <w:r w:rsidRPr="00384923">
              <w:rPr>
                <w:rFonts w:ascii="Calibri" w:eastAsia="Times New Roman" w:hAnsi="Calibri" w:cs="Times New Roman"/>
              </w:rPr>
              <w:t>4671002</w:t>
            </w:r>
          </w:p>
        </w:tc>
        <w:tc>
          <w:tcPr>
            <w:tcW w:w="8106" w:type="dxa"/>
            <w:tcBorders>
              <w:top w:val="single" w:sz="4" w:space="0" w:color="auto"/>
              <w:left w:val="single" w:sz="4" w:space="0" w:color="auto"/>
              <w:bottom w:val="single" w:sz="4" w:space="0" w:color="auto"/>
              <w:right w:val="single" w:sz="4" w:space="0" w:color="auto"/>
            </w:tcBorders>
            <w:noWrap/>
            <w:hideMark/>
          </w:tcPr>
          <w:p w14:paraId="33D4CB9D" w14:textId="1181B264" w:rsidR="00351103" w:rsidRPr="00384923" w:rsidRDefault="00351103" w:rsidP="00351103">
            <w:pPr>
              <w:rPr>
                <w:rFonts w:asciiTheme="majorHAnsi" w:hAnsiTheme="majorHAnsi" w:cs="Arial"/>
                <w:lang w:val="fr-FR"/>
              </w:rPr>
            </w:pPr>
            <w:r w:rsidRPr="00384923">
              <w:rPr>
                <w:rFonts w:asciiTheme="majorHAnsi" w:hAnsiTheme="majorHAnsi" w:cs="Arial"/>
                <w:lang w:val="fr-FR"/>
              </w:rPr>
              <w:t>Commerce de gros de carburants, graisses, lubrifiants, huiles, etc.</w:t>
            </w:r>
          </w:p>
        </w:tc>
      </w:tr>
      <w:tr w:rsidR="00351103" w:rsidRPr="007F1FE2" w14:paraId="7344F344"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1E2A6AF7" w14:textId="77777777" w:rsidR="00351103" w:rsidRPr="00384923" w:rsidRDefault="00351103" w:rsidP="00351103">
            <w:pPr>
              <w:jc w:val="right"/>
              <w:rPr>
                <w:rFonts w:ascii="Calibri" w:eastAsia="Times New Roman" w:hAnsi="Calibri" w:cs="Times New Roman"/>
              </w:rPr>
            </w:pPr>
            <w:r w:rsidRPr="00384923">
              <w:rPr>
                <w:rFonts w:ascii="Calibri" w:eastAsia="Times New Roman" w:hAnsi="Calibri" w:cs="Times New Roman"/>
              </w:rPr>
              <w:t>46720</w:t>
            </w:r>
          </w:p>
        </w:tc>
        <w:tc>
          <w:tcPr>
            <w:tcW w:w="8106" w:type="dxa"/>
            <w:tcBorders>
              <w:top w:val="single" w:sz="4" w:space="0" w:color="auto"/>
              <w:left w:val="single" w:sz="4" w:space="0" w:color="auto"/>
              <w:bottom w:val="single" w:sz="4" w:space="0" w:color="auto"/>
              <w:right w:val="single" w:sz="4" w:space="0" w:color="auto"/>
            </w:tcBorders>
            <w:noWrap/>
            <w:hideMark/>
          </w:tcPr>
          <w:p w14:paraId="5C563BE7" w14:textId="5FEB690E" w:rsidR="00351103" w:rsidRPr="00384923" w:rsidRDefault="00351103" w:rsidP="00351103">
            <w:pPr>
              <w:rPr>
                <w:rFonts w:asciiTheme="majorHAnsi" w:hAnsiTheme="majorHAnsi" w:cs="Arial"/>
                <w:lang w:val="fr-FR"/>
              </w:rPr>
            </w:pPr>
            <w:r w:rsidRPr="00384923">
              <w:rPr>
                <w:rFonts w:asciiTheme="majorHAnsi" w:hAnsiTheme="majorHAnsi" w:cs="Arial"/>
                <w:lang w:val="fr-FR"/>
              </w:rPr>
              <w:t>Commerce de gros de minerais et de métaux-</w:t>
            </w:r>
          </w:p>
        </w:tc>
      </w:tr>
      <w:tr w:rsidR="00351103" w:rsidRPr="007F1FE2" w14:paraId="5B7E7F1F"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37357C8D" w14:textId="77777777" w:rsidR="00351103" w:rsidRPr="00384923" w:rsidRDefault="00351103" w:rsidP="00351103">
            <w:pPr>
              <w:jc w:val="right"/>
              <w:rPr>
                <w:rFonts w:ascii="Calibri" w:eastAsia="Times New Roman" w:hAnsi="Calibri" w:cs="Times New Roman"/>
              </w:rPr>
            </w:pPr>
            <w:r w:rsidRPr="00384923">
              <w:rPr>
                <w:rFonts w:ascii="Calibri" w:eastAsia="Times New Roman" w:hAnsi="Calibri" w:cs="Times New Roman"/>
              </w:rPr>
              <w:t>46731</w:t>
            </w:r>
          </w:p>
        </w:tc>
        <w:tc>
          <w:tcPr>
            <w:tcW w:w="8106" w:type="dxa"/>
            <w:tcBorders>
              <w:top w:val="single" w:sz="4" w:space="0" w:color="auto"/>
              <w:left w:val="single" w:sz="4" w:space="0" w:color="auto"/>
              <w:bottom w:val="single" w:sz="4" w:space="0" w:color="auto"/>
              <w:right w:val="single" w:sz="4" w:space="0" w:color="auto"/>
            </w:tcBorders>
            <w:noWrap/>
            <w:hideMark/>
          </w:tcPr>
          <w:p w14:paraId="19F80903" w14:textId="7EC31C90" w:rsidR="00351103" w:rsidRPr="00384923" w:rsidRDefault="00351103" w:rsidP="00351103">
            <w:pPr>
              <w:rPr>
                <w:rFonts w:asciiTheme="majorHAnsi" w:hAnsiTheme="majorHAnsi" w:cs="Arial"/>
                <w:lang w:val="fr-FR"/>
              </w:rPr>
            </w:pPr>
            <w:r w:rsidRPr="00384923">
              <w:rPr>
                <w:rFonts w:asciiTheme="majorHAnsi" w:hAnsiTheme="majorHAnsi" w:cs="Arial"/>
                <w:lang w:val="fr-FR"/>
              </w:rPr>
              <w:t>Commerce de gros de matériaux de construction, assortiment général</w:t>
            </w:r>
          </w:p>
        </w:tc>
      </w:tr>
      <w:tr w:rsidR="00351103" w:rsidRPr="007F1FE2" w14:paraId="34FF625B"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1EDFA999" w14:textId="77777777" w:rsidR="00351103" w:rsidRPr="00384923" w:rsidRDefault="00351103" w:rsidP="00351103">
            <w:pPr>
              <w:jc w:val="right"/>
              <w:rPr>
                <w:rFonts w:ascii="Calibri" w:eastAsia="Times New Roman" w:hAnsi="Calibri" w:cs="Times New Roman"/>
              </w:rPr>
            </w:pPr>
            <w:r w:rsidRPr="00384923">
              <w:rPr>
                <w:rFonts w:ascii="Calibri" w:eastAsia="Times New Roman" w:hAnsi="Calibri" w:cs="Times New Roman"/>
              </w:rPr>
              <w:t>4675</w:t>
            </w:r>
          </w:p>
        </w:tc>
        <w:tc>
          <w:tcPr>
            <w:tcW w:w="8106" w:type="dxa"/>
            <w:tcBorders>
              <w:top w:val="single" w:sz="4" w:space="0" w:color="auto"/>
              <w:left w:val="single" w:sz="4" w:space="0" w:color="auto"/>
              <w:bottom w:val="single" w:sz="4" w:space="0" w:color="auto"/>
              <w:right w:val="single" w:sz="4" w:space="0" w:color="auto"/>
            </w:tcBorders>
            <w:noWrap/>
            <w:hideMark/>
          </w:tcPr>
          <w:p w14:paraId="057A0430" w14:textId="069803EE" w:rsidR="00351103" w:rsidRPr="00384923" w:rsidRDefault="00351103" w:rsidP="00351103">
            <w:pPr>
              <w:rPr>
                <w:rFonts w:asciiTheme="majorHAnsi" w:hAnsiTheme="majorHAnsi" w:cs="Arial"/>
                <w:lang w:val="fr-FR"/>
              </w:rPr>
            </w:pPr>
            <w:r w:rsidRPr="00384923">
              <w:rPr>
                <w:rFonts w:asciiTheme="majorHAnsi" w:hAnsiTheme="majorHAnsi" w:cs="Arial"/>
                <w:lang w:val="fr-FR"/>
              </w:rPr>
              <w:t>Commerce de gros de produits chimiques</w:t>
            </w:r>
          </w:p>
        </w:tc>
      </w:tr>
      <w:tr w:rsidR="00351103" w:rsidRPr="007F1FE2" w14:paraId="3D0E41B8"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446D0A62" w14:textId="77777777" w:rsidR="00351103" w:rsidRPr="00384923" w:rsidRDefault="00351103" w:rsidP="00351103">
            <w:pPr>
              <w:jc w:val="right"/>
              <w:rPr>
                <w:rFonts w:ascii="Calibri" w:eastAsia="Times New Roman" w:hAnsi="Calibri" w:cs="Times New Roman"/>
              </w:rPr>
            </w:pPr>
            <w:r w:rsidRPr="00384923">
              <w:rPr>
                <w:rFonts w:ascii="Calibri" w:eastAsia="Times New Roman" w:hAnsi="Calibri" w:cs="Times New Roman"/>
              </w:rPr>
              <w:t>46751</w:t>
            </w:r>
          </w:p>
        </w:tc>
        <w:tc>
          <w:tcPr>
            <w:tcW w:w="8106" w:type="dxa"/>
            <w:tcBorders>
              <w:top w:val="single" w:sz="4" w:space="0" w:color="auto"/>
              <w:left w:val="single" w:sz="4" w:space="0" w:color="auto"/>
              <w:bottom w:val="single" w:sz="4" w:space="0" w:color="auto"/>
              <w:right w:val="single" w:sz="4" w:space="0" w:color="auto"/>
            </w:tcBorders>
            <w:noWrap/>
            <w:hideMark/>
          </w:tcPr>
          <w:p w14:paraId="26343CD3" w14:textId="44E64A50" w:rsidR="00351103" w:rsidRPr="00384923" w:rsidRDefault="00351103" w:rsidP="00351103">
            <w:pPr>
              <w:rPr>
                <w:rFonts w:asciiTheme="majorHAnsi" w:hAnsiTheme="majorHAnsi" w:cs="Arial"/>
                <w:lang w:val="fr-FR"/>
              </w:rPr>
            </w:pPr>
            <w:r w:rsidRPr="00384923">
              <w:rPr>
                <w:rFonts w:asciiTheme="majorHAnsi" w:hAnsiTheme="majorHAnsi" w:cs="Arial"/>
                <w:lang w:val="fr-FR"/>
              </w:rPr>
              <w:t>Commerce de gros de produits chimiques pour une utilisation industrielle</w:t>
            </w:r>
          </w:p>
        </w:tc>
      </w:tr>
      <w:tr w:rsidR="00351103" w:rsidRPr="007F1FE2" w14:paraId="0EC96A90"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66FC0C3A" w14:textId="77777777" w:rsidR="00351103" w:rsidRPr="00384923" w:rsidRDefault="00351103" w:rsidP="00351103">
            <w:pPr>
              <w:jc w:val="right"/>
              <w:rPr>
                <w:rFonts w:ascii="Calibri" w:eastAsia="Times New Roman" w:hAnsi="Calibri" w:cs="Times New Roman"/>
              </w:rPr>
            </w:pPr>
            <w:r w:rsidRPr="00384923">
              <w:rPr>
                <w:rFonts w:ascii="Calibri" w:eastAsia="Times New Roman" w:hAnsi="Calibri" w:cs="Times New Roman"/>
              </w:rPr>
              <w:t>4675101</w:t>
            </w:r>
          </w:p>
        </w:tc>
        <w:tc>
          <w:tcPr>
            <w:tcW w:w="8106" w:type="dxa"/>
            <w:tcBorders>
              <w:top w:val="single" w:sz="4" w:space="0" w:color="auto"/>
              <w:left w:val="single" w:sz="4" w:space="0" w:color="auto"/>
              <w:bottom w:val="single" w:sz="4" w:space="0" w:color="auto"/>
              <w:right w:val="single" w:sz="4" w:space="0" w:color="auto"/>
            </w:tcBorders>
            <w:noWrap/>
            <w:hideMark/>
          </w:tcPr>
          <w:p w14:paraId="6E6E0BD9" w14:textId="166C9E0E" w:rsidR="00351103" w:rsidRPr="00384923" w:rsidRDefault="00351103" w:rsidP="00351103">
            <w:pPr>
              <w:rPr>
                <w:rFonts w:asciiTheme="majorHAnsi" w:hAnsiTheme="majorHAnsi" w:cs="Arial"/>
                <w:lang w:val="fr-FR"/>
              </w:rPr>
            </w:pPr>
            <w:r w:rsidRPr="00384923">
              <w:rPr>
                <w:rFonts w:asciiTheme="majorHAnsi" w:hAnsiTheme="majorHAnsi" w:cs="Arial"/>
                <w:lang w:val="fr-FR"/>
              </w:rPr>
              <w:t>Commerce de gros de produits chimiques industriels: aniline, encres d'imprimerie, huiles essentielles, gaz industriels, colles chimiques, colorants, résine synthétique, méthanol, paraffine, etc.</w:t>
            </w:r>
          </w:p>
        </w:tc>
      </w:tr>
      <w:tr w:rsidR="00782754" w:rsidRPr="007F1FE2" w14:paraId="27CC2952"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tcPr>
          <w:p w14:paraId="3C003717" w14:textId="5F48AF1F" w:rsidR="00782754" w:rsidRPr="00384923" w:rsidRDefault="00782754" w:rsidP="00351103">
            <w:pPr>
              <w:jc w:val="right"/>
              <w:rPr>
                <w:rFonts w:ascii="Calibri" w:eastAsia="Times New Roman" w:hAnsi="Calibri" w:cs="Times New Roman"/>
              </w:rPr>
            </w:pPr>
            <w:r>
              <w:rPr>
                <w:rFonts w:ascii="Calibri" w:eastAsia="Times New Roman" w:hAnsi="Calibri" w:cs="Times New Roman"/>
              </w:rPr>
              <w:t>4675102</w:t>
            </w:r>
          </w:p>
        </w:tc>
        <w:tc>
          <w:tcPr>
            <w:tcW w:w="8106" w:type="dxa"/>
            <w:tcBorders>
              <w:top w:val="single" w:sz="4" w:space="0" w:color="auto"/>
              <w:left w:val="single" w:sz="4" w:space="0" w:color="auto"/>
              <w:bottom w:val="single" w:sz="4" w:space="0" w:color="auto"/>
              <w:right w:val="single" w:sz="4" w:space="0" w:color="auto"/>
            </w:tcBorders>
            <w:noWrap/>
          </w:tcPr>
          <w:p w14:paraId="6F4E3ECD" w14:textId="4DCC6312" w:rsidR="00782754" w:rsidRPr="00A10AD9" w:rsidRDefault="00E400B1" w:rsidP="00351103">
            <w:pPr>
              <w:rPr>
                <w:rFonts w:asciiTheme="majorHAnsi" w:hAnsiTheme="majorHAnsi" w:cs="Arial"/>
                <w:lang w:val="fr-BE"/>
              </w:rPr>
            </w:pPr>
            <w:r w:rsidRPr="00E400B1">
              <w:rPr>
                <w:rFonts w:asciiTheme="majorHAnsi" w:hAnsiTheme="majorHAnsi" w:cs="Arial"/>
                <w:lang w:val="fr-BE"/>
              </w:rPr>
              <w:t>Commerce de gros de produits de nettoyage à usage industriel</w:t>
            </w:r>
          </w:p>
        </w:tc>
      </w:tr>
      <w:tr w:rsidR="00782754" w:rsidRPr="007F1FE2" w14:paraId="7CFD76DF"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tcPr>
          <w:p w14:paraId="378D9CCD" w14:textId="552D457C" w:rsidR="00782754" w:rsidRDefault="00782754" w:rsidP="00351103">
            <w:pPr>
              <w:jc w:val="right"/>
              <w:rPr>
                <w:rFonts w:ascii="Calibri" w:eastAsia="Times New Roman" w:hAnsi="Calibri" w:cs="Times New Roman"/>
              </w:rPr>
            </w:pPr>
            <w:r>
              <w:rPr>
                <w:rFonts w:ascii="Calibri" w:eastAsia="Times New Roman" w:hAnsi="Calibri" w:cs="Times New Roman"/>
              </w:rPr>
              <w:t>46752</w:t>
            </w:r>
          </w:p>
        </w:tc>
        <w:tc>
          <w:tcPr>
            <w:tcW w:w="8106" w:type="dxa"/>
            <w:tcBorders>
              <w:top w:val="single" w:sz="4" w:space="0" w:color="auto"/>
              <w:left w:val="single" w:sz="4" w:space="0" w:color="auto"/>
              <w:bottom w:val="single" w:sz="4" w:space="0" w:color="auto"/>
              <w:right w:val="single" w:sz="4" w:space="0" w:color="auto"/>
            </w:tcBorders>
            <w:noWrap/>
          </w:tcPr>
          <w:p w14:paraId="4EC52A88" w14:textId="31020267" w:rsidR="00782754" w:rsidRPr="00384923" w:rsidRDefault="00E400B1" w:rsidP="00351103">
            <w:pPr>
              <w:rPr>
                <w:rFonts w:asciiTheme="majorHAnsi" w:hAnsiTheme="majorHAnsi" w:cs="Arial"/>
                <w:lang w:val="fr-FR"/>
              </w:rPr>
            </w:pPr>
            <w:r w:rsidRPr="00E400B1">
              <w:rPr>
                <w:rFonts w:asciiTheme="majorHAnsi" w:hAnsiTheme="majorHAnsi" w:cs="Arial"/>
                <w:lang w:val="fr-FR"/>
              </w:rPr>
              <w:t>Commerce de gros d'engrais et de produits phytosanitaires</w:t>
            </w:r>
          </w:p>
        </w:tc>
      </w:tr>
      <w:tr w:rsidR="00351103" w:rsidRPr="007F1FE2" w14:paraId="5B9ABCBA"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6009CAFC" w14:textId="77777777" w:rsidR="00351103" w:rsidRPr="00384923" w:rsidRDefault="00351103" w:rsidP="00351103">
            <w:pPr>
              <w:jc w:val="right"/>
              <w:rPr>
                <w:rFonts w:ascii="Calibri" w:eastAsia="Times New Roman" w:hAnsi="Calibri" w:cs="Times New Roman"/>
              </w:rPr>
            </w:pPr>
            <w:r w:rsidRPr="00384923">
              <w:rPr>
                <w:rFonts w:ascii="Calibri" w:eastAsia="Times New Roman" w:hAnsi="Calibri" w:cs="Times New Roman"/>
              </w:rPr>
              <w:t>46769</w:t>
            </w:r>
          </w:p>
        </w:tc>
        <w:tc>
          <w:tcPr>
            <w:tcW w:w="8106" w:type="dxa"/>
            <w:tcBorders>
              <w:top w:val="single" w:sz="4" w:space="0" w:color="auto"/>
              <w:left w:val="single" w:sz="4" w:space="0" w:color="auto"/>
              <w:bottom w:val="single" w:sz="4" w:space="0" w:color="auto"/>
              <w:right w:val="single" w:sz="4" w:space="0" w:color="auto"/>
            </w:tcBorders>
            <w:noWrap/>
            <w:hideMark/>
          </w:tcPr>
          <w:p w14:paraId="72BD19FC" w14:textId="4D1BF18A" w:rsidR="00351103" w:rsidRPr="00384923" w:rsidRDefault="00351103" w:rsidP="00351103">
            <w:pPr>
              <w:rPr>
                <w:rFonts w:asciiTheme="majorHAnsi" w:hAnsiTheme="majorHAnsi" w:cs="Arial"/>
                <w:lang w:val="fr-FR"/>
              </w:rPr>
            </w:pPr>
            <w:r w:rsidRPr="00384923">
              <w:rPr>
                <w:rFonts w:asciiTheme="majorHAnsi" w:hAnsiTheme="majorHAnsi" w:cs="Arial"/>
                <w:lang w:val="fr-FR"/>
              </w:rPr>
              <w:t xml:space="preserve">Commerce de gros d'autres produits intermédiaires </w:t>
            </w:r>
            <w:proofErr w:type="spellStart"/>
            <w:r w:rsidRPr="00384923">
              <w:rPr>
                <w:rFonts w:asciiTheme="majorHAnsi" w:hAnsiTheme="majorHAnsi" w:cs="Arial"/>
                <w:lang w:val="fr-FR"/>
              </w:rPr>
              <w:t>n.c.a</w:t>
            </w:r>
            <w:proofErr w:type="spellEnd"/>
            <w:r w:rsidRPr="00384923">
              <w:rPr>
                <w:rFonts w:asciiTheme="majorHAnsi" w:hAnsiTheme="majorHAnsi" w:cs="Arial"/>
                <w:lang w:val="fr-FR"/>
              </w:rPr>
              <w:t>.</w:t>
            </w:r>
          </w:p>
        </w:tc>
      </w:tr>
      <w:tr w:rsidR="00351103" w:rsidRPr="007F1FE2" w14:paraId="5C92B568"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5A46FFDD" w14:textId="77777777" w:rsidR="00351103" w:rsidRPr="00384923" w:rsidRDefault="00351103" w:rsidP="00351103">
            <w:pPr>
              <w:jc w:val="right"/>
              <w:rPr>
                <w:rFonts w:ascii="Calibri" w:eastAsia="Times New Roman" w:hAnsi="Calibri" w:cs="Times New Roman"/>
              </w:rPr>
            </w:pPr>
            <w:r w:rsidRPr="00384923">
              <w:rPr>
                <w:rFonts w:ascii="Calibri" w:eastAsia="Times New Roman" w:hAnsi="Calibri" w:cs="Times New Roman"/>
              </w:rPr>
              <w:t>46900</w:t>
            </w:r>
          </w:p>
        </w:tc>
        <w:tc>
          <w:tcPr>
            <w:tcW w:w="8106" w:type="dxa"/>
            <w:tcBorders>
              <w:top w:val="single" w:sz="4" w:space="0" w:color="auto"/>
              <w:left w:val="single" w:sz="4" w:space="0" w:color="auto"/>
              <w:bottom w:val="single" w:sz="4" w:space="0" w:color="auto"/>
              <w:right w:val="single" w:sz="4" w:space="0" w:color="auto"/>
            </w:tcBorders>
            <w:noWrap/>
            <w:hideMark/>
          </w:tcPr>
          <w:p w14:paraId="70D2A862" w14:textId="40CE5A33" w:rsidR="00351103" w:rsidRPr="00384923" w:rsidRDefault="00351103" w:rsidP="00351103">
            <w:pPr>
              <w:rPr>
                <w:rFonts w:asciiTheme="majorHAnsi" w:hAnsiTheme="majorHAnsi" w:cs="Arial"/>
                <w:lang w:val="fr-FR"/>
              </w:rPr>
            </w:pPr>
            <w:r w:rsidRPr="00384923">
              <w:rPr>
                <w:rFonts w:asciiTheme="majorHAnsi" w:hAnsiTheme="majorHAnsi" w:cs="Arial"/>
                <w:lang w:val="fr-FR"/>
              </w:rPr>
              <w:t>Commerce de gros non spécialisé</w:t>
            </w:r>
          </w:p>
        </w:tc>
      </w:tr>
      <w:tr w:rsidR="00351103" w:rsidRPr="007F1FE2" w14:paraId="77FDF0BD"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tcPr>
          <w:p w14:paraId="430FB09F" w14:textId="314745AA" w:rsidR="00351103" w:rsidRPr="00746E0B" w:rsidRDefault="00351103" w:rsidP="00351103">
            <w:pPr>
              <w:jc w:val="right"/>
              <w:rPr>
                <w:rFonts w:ascii="Calibri" w:eastAsia="Times New Roman" w:hAnsi="Calibri" w:cs="Times New Roman"/>
              </w:rPr>
            </w:pPr>
            <w:r w:rsidRPr="00746E0B">
              <w:rPr>
                <w:rFonts w:ascii="Calibri" w:eastAsia="Times New Roman" w:hAnsi="Calibri" w:cs="Times New Roman"/>
              </w:rPr>
              <w:t>471</w:t>
            </w:r>
          </w:p>
        </w:tc>
        <w:tc>
          <w:tcPr>
            <w:tcW w:w="8106" w:type="dxa"/>
            <w:tcBorders>
              <w:top w:val="single" w:sz="4" w:space="0" w:color="auto"/>
              <w:left w:val="single" w:sz="4" w:space="0" w:color="auto"/>
              <w:bottom w:val="single" w:sz="4" w:space="0" w:color="auto"/>
              <w:right w:val="single" w:sz="4" w:space="0" w:color="auto"/>
            </w:tcBorders>
            <w:noWrap/>
          </w:tcPr>
          <w:p w14:paraId="4BF7AEE9" w14:textId="22C4CA4B" w:rsidR="00351103" w:rsidRPr="00DE1F47" w:rsidRDefault="00351103" w:rsidP="00351103">
            <w:pPr>
              <w:rPr>
                <w:rFonts w:asciiTheme="majorHAnsi" w:hAnsiTheme="majorHAnsi" w:cs="Arial"/>
                <w:highlight w:val="yellow"/>
                <w:lang w:val="fr-FR"/>
              </w:rPr>
            </w:pPr>
            <w:r w:rsidRPr="00746E0B">
              <w:rPr>
                <w:rFonts w:asciiTheme="majorHAnsi" w:hAnsiTheme="majorHAnsi" w:cs="Arial"/>
                <w:lang w:val="fr-FR"/>
              </w:rPr>
              <w:t>Commerce de détail en magasin non spécialisé</w:t>
            </w:r>
          </w:p>
        </w:tc>
      </w:tr>
      <w:tr w:rsidR="00351103" w:rsidRPr="007F1FE2" w14:paraId="6A101A8F"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tcPr>
          <w:p w14:paraId="3107AA47" w14:textId="09BA09D5" w:rsidR="00351103" w:rsidRPr="00746E0B" w:rsidRDefault="00351103" w:rsidP="00351103">
            <w:pPr>
              <w:jc w:val="right"/>
              <w:rPr>
                <w:rFonts w:ascii="Calibri" w:eastAsia="Times New Roman" w:hAnsi="Calibri" w:cs="Times New Roman"/>
              </w:rPr>
            </w:pPr>
            <w:r w:rsidRPr="00746E0B">
              <w:rPr>
                <w:rFonts w:ascii="Calibri" w:eastAsia="Times New Roman" w:hAnsi="Calibri" w:cs="Times New Roman"/>
              </w:rPr>
              <w:t>4730002</w:t>
            </w:r>
          </w:p>
        </w:tc>
        <w:tc>
          <w:tcPr>
            <w:tcW w:w="8106" w:type="dxa"/>
            <w:tcBorders>
              <w:top w:val="single" w:sz="4" w:space="0" w:color="auto"/>
              <w:left w:val="single" w:sz="4" w:space="0" w:color="auto"/>
              <w:bottom w:val="single" w:sz="4" w:space="0" w:color="auto"/>
              <w:right w:val="single" w:sz="4" w:space="0" w:color="auto"/>
            </w:tcBorders>
            <w:noWrap/>
          </w:tcPr>
          <w:p w14:paraId="0E1C2DA7" w14:textId="422F1B0E" w:rsidR="00351103" w:rsidRPr="00DE1F47" w:rsidRDefault="00351103" w:rsidP="00351103">
            <w:pPr>
              <w:rPr>
                <w:rFonts w:asciiTheme="majorHAnsi" w:hAnsiTheme="majorHAnsi" w:cs="Arial"/>
                <w:highlight w:val="yellow"/>
                <w:lang w:val="fr-FR"/>
              </w:rPr>
            </w:pPr>
            <w:r w:rsidRPr="00746E0B">
              <w:rPr>
                <w:rFonts w:asciiTheme="majorHAnsi" w:hAnsiTheme="majorHAnsi" w:cs="Arial"/>
                <w:lang w:val="fr-FR"/>
              </w:rPr>
              <w:t>Commerce de détail de lubrifiants et de produits de refroidissement pour véhicules automobiles</w:t>
            </w:r>
          </w:p>
        </w:tc>
      </w:tr>
      <w:tr w:rsidR="00351103" w:rsidRPr="007F1FE2" w14:paraId="702A2607"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03462FBA" w14:textId="77777777" w:rsidR="00351103" w:rsidRPr="00746E0B" w:rsidRDefault="00351103" w:rsidP="00351103">
            <w:pPr>
              <w:jc w:val="right"/>
              <w:rPr>
                <w:rFonts w:ascii="Calibri" w:eastAsia="Times New Roman" w:hAnsi="Calibri" w:cs="Times New Roman"/>
              </w:rPr>
            </w:pPr>
            <w:r w:rsidRPr="00746E0B">
              <w:rPr>
                <w:rFonts w:ascii="Calibri" w:eastAsia="Times New Roman" w:hAnsi="Calibri" w:cs="Times New Roman"/>
              </w:rPr>
              <w:t>47521</w:t>
            </w:r>
          </w:p>
        </w:tc>
        <w:tc>
          <w:tcPr>
            <w:tcW w:w="8106" w:type="dxa"/>
            <w:tcBorders>
              <w:top w:val="single" w:sz="4" w:space="0" w:color="auto"/>
              <w:left w:val="single" w:sz="4" w:space="0" w:color="auto"/>
              <w:bottom w:val="single" w:sz="4" w:space="0" w:color="auto"/>
              <w:right w:val="single" w:sz="4" w:space="0" w:color="auto"/>
            </w:tcBorders>
            <w:noWrap/>
            <w:hideMark/>
          </w:tcPr>
          <w:p w14:paraId="36A196FD" w14:textId="477F1340" w:rsidR="00351103" w:rsidRPr="00384923" w:rsidRDefault="00351103" w:rsidP="00351103">
            <w:pPr>
              <w:rPr>
                <w:rFonts w:asciiTheme="majorHAnsi" w:hAnsiTheme="majorHAnsi" w:cs="Arial"/>
                <w:lang w:val="fr-FR"/>
              </w:rPr>
            </w:pPr>
            <w:r w:rsidRPr="00384923">
              <w:rPr>
                <w:rFonts w:asciiTheme="majorHAnsi" w:hAnsiTheme="majorHAnsi" w:cs="Arial"/>
                <w:lang w:val="fr-FR"/>
              </w:rPr>
              <w:t>Commerce de détail de matériaux de construction en magasin spécialisé, assortiment général</w:t>
            </w:r>
          </w:p>
        </w:tc>
      </w:tr>
      <w:tr w:rsidR="00782754" w:rsidRPr="007F1FE2" w14:paraId="3936CF1A"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tcPr>
          <w:p w14:paraId="7B472462" w14:textId="530AF56F" w:rsidR="00782754" w:rsidRPr="00746E0B" w:rsidRDefault="00782754" w:rsidP="00351103">
            <w:pPr>
              <w:jc w:val="right"/>
              <w:rPr>
                <w:rFonts w:ascii="Calibri" w:eastAsia="Times New Roman" w:hAnsi="Calibri" w:cs="Times New Roman"/>
              </w:rPr>
            </w:pPr>
            <w:r>
              <w:rPr>
                <w:rFonts w:ascii="Calibri" w:eastAsia="Times New Roman" w:hAnsi="Calibri" w:cs="Times New Roman"/>
              </w:rPr>
              <w:t>47784</w:t>
            </w:r>
          </w:p>
        </w:tc>
        <w:tc>
          <w:tcPr>
            <w:tcW w:w="8106" w:type="dxa"/>
            <w:tcBorders>
              <w:top w:val="single" w:sz="4" w:space="0" w:color="auto"/>
              <w:left w:val="single" w:sz="4" w:space="0" w:color="auto"/>
              <w:bottom w:val="single" w:sz="4" w:space="0" w:color="auto"/>
              <w:right w:val="single" w:sz="4" w:space="0" w:color="auto"/>
            </w:tcBorders>
            <w:noWrap/>
          </w:tcPr>
          <w:p w14:paraId="734BACF3" w14:textId="7A0A86A0" w:rsidR="00782754" w:rsidRPr="00384923" w:rsidRDefault="00E400B1" w:rsidP="00351103">
            <w:pPr>
              <w:rPr>
                <w:rFonts w:asciiTheme="majorHAnsi" w:hAnsiTheme="majorHAnsi" w:cs="Arial"/>
                <w:lang w:val="fr-FR"/>
              </w:rPr>
            </w:pPr>
            <w:r w:rsidRPr="00E400B1">
              <w:rPr>
                <w:rFonts w:asciiTheme="majorHAnsi" w:hAnsiTheme="majorHAnsi" w:cs="Arial"/>
                <w:lang w:val="fr-FR"/>
              </w:rPr>
              <w:t>Commerce de détail d'articles de droguerie et de produits d'entretien en magasin spécialisé</w:t>
            </w:r>
          </w:p>
        </w:tc>
      </w:tr>
      <w:tr w:rsidR="00351103" w:rsidRPr="007F1FE2" w14:paraId="35C675A2"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1C01BB47" w14:textId="77777777" w:rsidR="00351103" w:rsidRPr="00746E0B" w:rsidRDefault="00351103" w:rsidP="00351103">
            <w:pPr>
              <w:jc w:val="right"/>
              <w:rPr>
                <w:rFonts w:ascii="Calibri" w:eastAsia="Times New Roman" w:hAnsi="Calibri" w:cs="Times New Roman"/>
              </w:rPr>
            </w:pPr>
            <w:r w:rsidRPr="00746E0B">
              <w:rPr>
                <w:rFonts w:ascii="Calibri" w:eastAsia="Times New Roman" w:hAnsi="Calibri" w:cs="Times New Roman"/>
              </w:rPr>
              <w:t>47789</w:t>
            </w:r>
          </w:p>
        </w:tc>
        <w:tc>
          <w:tcPr>
            <w:tcW w:w="8106" w:type="dxa"/>
            <w:tcBorders>
              <w:top w:val="single" w:sz="4" w:space="0" w:color="auto"/>
              <w:left w:val="single" w:sz="4" w:space="0" w:color="auto"/>
              <w:bottom w:val="single" w:sz="4" w:space="0" w:color="auto"/>
              <w:right w:val="single" w:sz="4" w:space="0" w:color="auto"/>
            </w:tcBorders>
            <w:noWrap/>
            <w:hideMark/>
          </w:tcPr>
          <w:p w14:paraId="097A5974" w14:textId="5413EE20" w:rsidR="00351103" w:rsidRPr="00384923" w:rsidRDefault="00351103" w:rsidP="00351103">
            <w:pPr>
              <w:rPr>
                <w:rFonts w:asciiTheme="majorHAnsi" w:hAnsiTheme="majorHAnsi" w:cs="Arial"/>
                <w:lang w:val="fr-FR"/>
              </w:rPr>
            </w:pPr>
            <w:r w:rsidRPr="00384923">
              <w:rPr>
                <w:rFonts w:asciiTheme="majorHAnsi" w:hAnsiTheme="majorHAnsi" w:cs="Arial"/>
                <w:lang w:val="fr-FR"/>
              </w:rPr>
              <w:t xml:space="preserve">Autre commerce de détail de biens neufs en magasin spécialisé </w:t>
            </w:r>
            <w:proofErr w:type="spellStart"/>
            <w:r w:rsidRPr="00384923">
              <w:rPr>
                <w:rFonts w:asciiTheme="majorHAnsi" w:hAnsiTheme="majorHAnsi" w:cs="Arial"/>
                <w:lang w:val="fr-FR"/>
              </w:rPr>
              <w:t>n.c.a</w:t>
            </w:r>
            <w:proofErr w:type="spellEnd"/>
            <w:r w:rsidRPr="00384923">
              <w:rPr>
                <w:rFonts w:asciiTheme="majorHAnsi" w:hAnsiTheme="majorHAnsi" w:cs="Arial"/>
                <w:lang w:val="fr-FR"/>
              </w:rPr>
              <w:t>.</w:t>
            </w:r>
          </w:p>
        </w:tc>
      </w:tr>
      <w:tr w:rsidR="00351103" w:rsidRPr="007F1FE2" w14:paraId="1364CE7F"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199B8E10" w14:textId="77777777" w:rsidR="00351103" w:rsidRPr="00746E0B" w:rsidRDefault="00351103" w:rsidP="00351103">
            <w:pPr>
              <w:jc w:val="right"/>
              <w:rPr>
                <w:rFonts w:ascii="Calibri" w:eastAsia="Times New Roman" w:hAnsi="Calibri" w:cs="Times New Roman"/>
              </w:rPr>
            </w:pPr>
            <w:r w:rsidRPr="00746E0B">
              <w:rPr>
                <w:rFonts w:ascii="Calibri" w:eastAsia="Times New Roman" w:hAnsi="Calibri" w:cs="Times New Roman"/>
              </w:rPr>
              <w:t>52</w:t>
            </w:r>
          </w:p>
        </w:tc>
        <w:tc>
          <w:tcPr>
            <w:tcW w:w="8106" w:type="dxa"/>
            <w:tcBorders>
              <w:top w:val="single" w:sz="4" w:space="0" w:color="auto"/>
              <w:left w:val="single" w:sz="4" w:space="0" w:color="auto"/>
              <w:bottom w:val="single" w:sz="4" w:space="0" w:color="auto"/>
              <w:right w:val="single" w:sz="4" w:space="0" w:color="auto"/>
            </w:tcBorders>
            <w:noWrap/>
            <w:hideMark/>
          </w:tcPr>
          <w:p w14:paraId="7FA5B6DA" w14:textId="680778D1" w:rsidR="00351103" w:rsidRPr="00384923" w:rsidRDefault="00351103" w:rsidP="00351103">
            <w:pPr>
              <w:rPr>
                <w:rFonts w:asciiTheme="majorHAnsi" w:hAnsiTheme="majorHAnsi" w:cs="Arial"/>
                <w:lang w:val="fr-FR"/>
              </w:rPr>
            </w:pPr>
            <w:r w:rsidRPr="00384923">
              <w:rPr>
                <w:rFonts w:asciiTheme="majorHAnsi" w:hAnsiTheme="majorHAnsi" w:cs="Arial"/>
                <w:lang w:val="fr-FR"/>
              </w:rPr>
              <w:t>Entreposage et services auxiliaires des transports</w:t>
            </w:r>
          </w:p>
        </w:tc>
      </w:tr>
      <w:tr w:rsidR="00351103" w14:paraId="0A1A9246"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1D529702" w14:textId="77777777" w:rsidR="00351103" w:rsidRPr="00746E0B" w:rsidRDefault="00351103" w:rsidP="00351103">
            <w:pPr>
              <w:jc w:val="right"/>
              <w:rPr>
                <w:rFonts w:ascii="Calibri" w:eastAsia="Times New Roman" w:hAnsi="Calibri" w:cs="Times New Roman"/>
              </w:rPr>
            </w:pPr>
            <w:r w:rsidRPr="00746E0B">
              <w:rPr>
                <w:rFonts w:ascii="Calibri" w:eastAsia="Times New Roman" w:hAnsi="Calibri" w:cs="Times New Roman"/>
              </w:rPr>
              <w:t>69109</w:t>
            </w:r>
          </w:p>
        </w:tc>
        <w:tc>
          <w:tcPr>
            <w:tcW w:w="8106" w:type="dxa"/>
            <w:tcBorders>
              <w:top w:val="single" w:sz="4" w:space="0" w:color="auto"/>
              <w:left w:val="single" w:sz="4" w:space="0" w:color="auto"/>
              <w:bottom w:val="single" w:sz="4" w:space="0" w:color="auto"/>
              <w:right w:val="single" w:sz="4" w:space="0" w:color="auto"/>
            </w:tcBorders>
            <w:noWrap/>
            <w:hideMark/>
          </w:tcPr>
          <w:p w14:paraId="0477FC66" w14:textId="3343498D" w:rsidR="00351103" w:rsidRPr="00384923" w:rsidRDefault="00351103" w:rsidP="00351103">
            <w:pPr>
              <w:rPr>
                <w:rFonts w:asciiTheme="majorHAnsi" w:hAnsiTheme="majorHAnsi" w:cs="Arial"/>
                <w:lang w:val="fr-FR"/>
              </w:rPr>
            </w:pPr>
            <w:r w:rsidRPr="00384923">
              <w:rPr>
                <w:rFonts w:asciiTheme="majorHAnsi" w:hAnsiTheme="majorHAnsi" w:cs="Arial"/>
                <w:lang w:val="fr-FR"/>
              </w:rPr>
              <w:t>Autres activités juridiques</w:t>
            </w:r>
          </w:p>
        </w:tc>
      </w:tr>
      <w:tr w:rsidR="00351103" w14:paraId="1B4BB28D"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tcPr>
          <w:p w14:paraId="193AAF9F" w14:textId="2F6F1694" w:rsidR="00351103" w:rsidRPr="00746E0B" w:rsidRDefault="00351103" w:rsidP="00351103">
            <w:pPr>
              <w:jc w:val="right"/>
              <w:rPr>
                <w:rFonts w:ascii="Calibri" w:eastAsia="Times New Roman" w:hAnsi="Calibri" w:cs="Times New Roman"/>
              </w:rPr>
            </w:pPr>
            <w:r w:rsidRPr="00746E0B">
              <w:rPr>
                <w:rFonts w:ascii="Calibri" w:eastAsia="Times New Roman" w:hAnsi="Calibri" w:cs="Times New Roman"/>
              </w:rPr>
              <w:t>70100</w:t>
            </w:r>
          </w:p>
        </w:tc>
        <w:tc>
          <w:tcPr>
            <w:tcW w:w="8106" w:type="dxa"/>
            <w:tcBorders>
              <w:top w:val="single" w:sz="4" w:space="0" w:color="auto"/>
              <w:left w:val="single" w:sz="4" w:space="0" w:color="auto"/>
              <w:bottom w:val="single" w:sz="4" w:space="0" w:color="auto"/>
              <w:right w:val="single" w:sz="4" w:space="0" w:color="auto"/>
            </w:tcBorders>
            <w:noWrap/>
          </w:tcPr>
          <w:p w14:paraId="7B70391B" w14:textId="5CD03089" w:rsidR="00351103" w:rsidRPr="00384923" w:rsidRDefault="00351103" w:rsidP="00351103">
            <w:pPr>
              <w:rPr>
                <w:rFonts w:asciiTheme="majorHAnsi" w:hAnsiTheme="majorHAnsi" w:cs="Arial"/>
                <w:lang w:val="fr-FR"/>
              </w:rPr>
            </w:pPr>
            <w:r w:rsidRPr="00746E0B">
              <w:rPr>
                <w:rFonts w:asciiTheme="majorHAnsi" w:hAnsiTheme="majorHAnsi" w:cs="Arial"/>
                <w:lang w:val="fr-FR"/>
              </w:rPr>
              <w:t>Activités des sièges sociaux</w:t>
            </w:r>
          </w:p>
        </w:tc>
      </w:tr>
      <w:tr w:rsidR="00782754" w14:paraId="1AE19E16"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tcPr>
          <w:p w14:paraId="49EA85AC" w14:textId="6264D24B" w:rsidR="00782754" w:rsidRPr="00746E0B" w:rsidRDefault="00782754" w:rsidP="00351103">
            <w:pPr>
              <w:jc w:val="right"/>
              <w:rPr>
                <w:rFonts w:ascii="Calibri" w:eastAsia="Times New Roman" w:hAnsi="Calibri" w:cs="Times New Roman"/>
              </w:rPr>
            </w:pPr>
            <w:r>
              <w:rPr>
                <w:rFonts w:ascii="Calibri" w:eastAsia="Times New Roman" w:hAnsi="Calibri" w:cs="Times New Roman"/>
              </w:rPr>
              <w:t>72</w:t>
            </w:r>
          </w:p>
        </w:tc>
        <w:tc>
          <w:tcPr>
            <w:tcW w:w="8106" w:type="dxa"/>
            <w:tcBorders>
              <w:top w:val="single" w:sz="4" w:space="0" w:color="auto"/>
              <w:left w:val="single" w:sz="4" w:space="0" w:color="auto"/>
              <w:bottom w:val="single" w:sz="4" w:space="0" w:color="auto"/>
              <w:right w:val="single" w:sz="4" w:space="0" w:color="auto"/>
            </w:tcBorders>
            <w:noWrap/>
          </w:tcPr>
          <w:p w14:paraId="4516E87B" w14:textId="6CF1C1FA" w:rsidR="00782754" w:rsidRPr="00746E0B" w:rsidRDefault="00E400B1" w:rsidP="00351103">
            <w:pPr>
              <w:rPr>
                <w:rFonts w:asciiTheme="majorHAnsi" w:hAnsiTheme="majorHAnsi" w:cs="Arial"/>
                <w:lang w:val="fr-FR"/>
              </w:rPr>
            </w:pPr>
            <w:r w:rsidRPr="00E400B1">
              <w:rPr>
                <w:rFonts w:asciiTheme="majorHAnsi" w:hAnsiTheme="majorHAnsi" w:cs="Arial"/>
                <w:lang w:val="fr-FR"/>
              </w:rPr>
              <w:t>Recherche-développement scientifique</w:t>
            </w:r>
          </w:p>
        </w:tc>
      </w:tr>
      <w:tr w:rsidR="00351103" w:rsidRPr="007F1FE2" w14:paraId="5834E09D"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386A4A44" w14:textId="77777777" w:rsidR="00351103" w:rsidRPr="00384923" w:rsidRDefault="00351103" w:rsidP="00351103">
            <w:pPr>
              <w:jc w:val="right"/>
              <w:rPr>
                <w:rFonts w:ascii="Calibri" w:eastAsia="Times New Roman" w:hAnsi="Calibri" w:cs="Times New Roman"/>
              </w:rPr>
            </w:pPr>
            <w:r w:rsidRPr="00384923">
              <w:rPr>
                <w:rFonts w:ascii="Calibri" w:eastAsia="Times New Roman" w:hAnsi="Calibri" w:cs="Times New Roman"/>
              </w:rPr>
              <w:t>721</w:t>
            </w:r>
          </w:p>
        </w:tc>
        <w:tc>
          <w:tcPr>
            <w:tcW w:w="8106" w:type="dxa"/>
            <w:tcBorders>
              <w:top w:val="single" w:sz="4" w:space="0" w:color="auto"/>
              <w:left w:val="single" w:sz="4" w:space="0" w:color="auto"/>
              <w:bottom w:val="single" w:sz="4" w:space="0" w:color="auto"/>
              <w:right w:val="single" w:sz="4" w:space="0" w:color="auto"/>
            </w:tcBorders>
            <w:noWrap/>
            <w:hideMark/>
          </w:tcPr>
          <w:p w14:paraId="60AFED71" w14:textId="4DD969A1" w:rsidR="00351103" w:rsidRPr="00384923" w:rsidRDefault="00351103" w:rsidP="00351103">
            <w:pPr>
              <w:rPr>
                <w:rFonts w:asciiTheme="majorHAnsi" w:hAnsiTheme="majorHAnsi" w:cs="Arial"/>
                <w:lang w:val="fr-FR"/>
              </w:rPr>
            </w:pPr>
            <w:r w:rsidRPr="00384923">
              <w:rPr>
                <w:rFonts w:asciiTheme="majorHAnsi" w:hAnsiTheme="majorHAnsi" w:cs="Arial"/>
                <w:lang w:val="fr-FR"/>
              </w:rPr>
              <w:t>Recherche-développement en sciences physiques et naturelles</w:t>
            </w:r>
          </w:p>
        </w:tc>
      </w:tr>
      <w:tr w:rsidR="00351103" w:rsidRPr="007F1FE2" w14:paraId="068A719C"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7F99DBB2" w14:textId="77777777" w:rsidR="00351103" w:rsidRPr="00384923" w:rsidRDefault="00351103" w:rsidP="00351103">
            <w:pPr>
              <w:jc w:val="right"/>
              <w:rPr>
                <w:rFonts w:ascii="Calibri" w:eastAsia="Times New Roman" w:hAnsi="Calibri" w:cs="Times New Roman"/>
              </w:rPr>
            </w:pPr>
            <w:r w:rsidRPr="00384923">
              <w:rPr>
                <w:rFonts w:ascii="Calibri" w:eastAsia="Times New Roman" w:hAnsi="Calibri" w:cs="Times New Roman"/>
              </w:rPr>
              <w:t>72190</w:t>
            </w:r>
          </w:p>
        </w:tc>
        <w:tc>
          <w:tcPr>
            <w:tcW w:w="8106" w:type="dxa"/>
            <w:tcBorders>
              <w:top w:val="single" w:sz="4" w:space="0" w:color="auto"/>
              <w:left w:val="single" w:sz="4" w:space="0" w:color="auto"/>
              <w:bottom w:val="single" w:sz="4" w:space="0" w:color="auto"/>
              <w:right w:val="single" w:sz="4" w:space="0" w:color="auto"/>
            </w:tcBorders>
            <w:noWrap/>
            <w:hideMark/>
          </w:tcPr>
          <w:p w14:paraId="4C8E34BF" w14:textId="5ACA30BE" w:rsidR="00351103" w:rsidRPr="00384923" w:rsidRDefault="00351103" w:rsidP="00351103">
            <w:pPr>
              <w:rPr>
                <w:rFonts w:asciiTheme="majorHAnsi" w:hAnsiTheme="majorHAnsi" w:cs="Arial"/>
                <w:lang w:val="fr-FR"/>
              </w:rPr>
            </w:pPr>
            <w:r w:rsidRPr="00384923">
              <w:rPr>
                <w:rFonts w:asciiTheme="majorHAnsi" w:hAnsiTheme="majorHAnsi" w:cs="Arial"/>
                <w:lang w:val="fr-FR"/>
              </w:rPr>
              <w:t>Recherche-développement en autres sciences physiques et naturelles</w:t>
            </w:r>
          </w:p>
        </w:tc>
      </w:tr>
      <w:tr w:rsidR="00782754" w:rsidRPr="007F1FE2" w14:paraId="751FA57A"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tcPr>
          <w:p w14:paraId="57B27720" w14:textId="3C645118" w:rsidR="00782754" w:rsidRPr="00384923" w:rsidRDefault="00782754" w:rsidP="00351103">
            <w:pPr>
              <w:jc w:val="right"/>
              <w:rPr>
                <w:rFonts w:ascii="Calibri" w:eastAsia="Times New Roman" w:hAnsi="Calibri" w:cs="Times New Roman"/>
              </w:rPr>
            </w:pPr>
            <w:r>
              <w:rPr>
                <w:rFonts w:ascii="Calibri" w:eastAsia="Times New Roman" w:hAnsi="Calibri" w:cs="Times New Roman"/>
              </w:rPr>
              <w:t>7220001</w:t>
            </w:r>
          </w:p>
        </w:tc>
        <w:tc>
          <w:tcPr>
            <w:tcW w:w="8106" w:type="dxa"/>
            <w:tcBorders>
              <w:top w:val="single" w:sz="4" w:space="0" w:color="auto"/>
              <w:left w:val="single" w:sz="4" w:space="0" w:color="auto"/>
              <w:bottom w:val="single" w:sz="4" w:space="0" w:color="auto"/>
              <w:right w:val="single" w:sz="4" w:space="0" w:color="auto"/>
            </w:tcBorders>
            <w:noWrap/>
          </w:tcPr>
          <w:p w14:paraId="7490E149" w14:textId="61B4355C" w:rsidR="00782754" w:rsidRPr="00A10AD9" w:rsidRDefault="00E400B1" w:rsidP="00351103">
            <w:pPr>
              <w:rPr>
                <w:rFonts w:asciiTheme="majorHAnsi" w:hAnsiTheme="majorHAnsi" w:cs="Arial"/>
                <w:lang w:val="fr-BE"/>
              </w:rPr>
            </w:pPr>
            <w:r w:rsidRPr="00E400B1">
              <w:rPr>
                <w:rFonts w:asciiTheme="majorHAnsi" w:hAnsiTheme="majorHAnsi" w:cs="Arial"/>
                <w:lang w:val="fr-BE"/>
              </w:rPr>
              <w:t>Etudes systématiques et efforts de création entrepris dans divers types de recherche-développement en sciences sociales et humaines (économie, psychologie, sociologie, droit, etc.)</w:t>
            </w:r>
          </w:p>
        </w:tc>
      </w:tr>
      <w:tr w:rsidR="00351103" w:rsidRPr="007F1FE2" w14:paraId="1F9994E3"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08352892" w14:textId="77777777" w:rsidR="00351103" w:rsidRPr="00384923" w:rsidRDefault="00351103" w:rsidP="00351103">
            <w:pPr>
              <w:jc w:val="right"/>
              <w:rPr>
                <w:rFonts w:ascii="Calibri" w:eastAsia="Times New Roman" w:hAnsi="Calibri" w:cs="Times New Roman"/>
              </w:rPr>
            </w:pPr>
            <w:r w:rsidRPr="00384923">
              <w:rPr>
                <w:rFonts w:ascii="Calibri" w:eastAsia="Times New Roman" w:hAnsi="Calibri" w:cs="Times New Roman"/>
              </w:rPr>
              <w:t>7490</w:t>
            </w:r>
          </w:p>
        </w:tc>
        <w:tc>
          <w:tcPr>
            <w:tcW w:w="8106" w:type="dxa"/>
            <w:tcBorders>
              <w:top w:val="single" w:sz="4" w:space="0" w:color="auto"/>
              <w:left w:val="single" w:sz="4" w:space="0" w:color="auto"/>
              <w:bottom w:val="single" w:sz="4" w:space="0" w:color="auto"/>
              <w:right w:val="single" w:sz="4" w:space="0" w:color="auto"/>
            </w:tcBorders>
            <w:noWrap/>
            <w:hideMark/>
          </w:tcPr>
          <w:p w14:paraId="7A6213AC" w14:textId="7B41564C" w:rsidR="00351103" w:rsidRPr="00384923" w:rsidRDefault="00351103" w:rsidP="00351103">
            <w:pPr>
              <w:rPr>
                <w:rFonts w:asciiTheme="majorHAnsi" w:hAnsiTheme="majorHAnsi" w:cs="Arial"/>
                <w:lang w:val="fr-FR"/>
              </w:rPr>
            </w:pPr>
            <w:r w:rsidRPr="00384923">
              <w:rPr>
                <w:rFonts w:asciiTheme="majorHAnsi" w:hAnsiTheme="majorHAnsi" w:cs="Arial"/>
                <w:lang w:val="fr-FR"/>
              </w:rPr>
              <w:t xml:space="preserve">Autres activités spécialisées, scientifiques et techniques </w:t>
            </w:r>
            <w:proofErr w:type="spellStart"/>
            <w:r w:rsidRPr="00384923">
              <w:rPr>
                <w:rFonts w:asciiTheme="majorHAnsi" w:hAnsiTheme="majorHAnsi" w:cs="Arial"/>
                <w:lang w:val="fr-FR"/>
              </w:rPr>
              <w:t>n.c.a</w:t>
            </w:r>
            <w:proofErr w:type="spellEnd"/>
            <w:r w:rsidRPr="00384923">
              <w:rPr>
                <w:rFonts w:asciiTheme="majorHAnsi" w:hAnsiTheme="majorHAnsi" w:cs="Arial"/>
                <w:lang w:val="fr-FR"/>
              </w:rPr>
              <w:t>.</w:t>
            </w:r>
          </w:p>
        </w:tc>
      </w:tr>
      <w:tr w:rsidR="00351103" w:rsidRPr="007F1FE2" w14:paraId="28436CEC"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61F1956A" w14:textId="77777777" w:rsidR="00351103" w:rsidRPr="00384923" w:rsidRDefault="00351103" w:rsidP="00351103">
            <w:pPr>
              <w:jc w:val="right"/>
              <w:rPr>
                <w:rFonts w:ascii="Calibri" w:eastAsia="Times New Roman" w:hAnsi="Calibri" w:cs="Times New Roman"/>
              </w:rPr>
            </w:pPr>
            <w:r w:rsidRPr="00384923">
              <w:rPr>
                <w:rFonts w:ascii="Calibri" w:eastAsia="Times New Roman" w:hAnsi="Calibri" w:cs="Times New Roman"/>
              </w:rPr>
              <w:t>74901</w:t>
            </w:r>
          </w:p>
        </w:tc>
        <w:tc>
          <w:tcPr>
            <w:tcW w:w="8106" w:type="dxa"/>
            <w:tcBorders>
              <w:top w:val="single" w:sz="4" w:space="0" w:color="auto"/>
              <w:left w:val="single" w:sz="4" w:space="0" w:color="auto"/>
              <w:bottom w:val="single" w:sz="4" w:space="0" w:color="auto"/>
              <w:right w:val="single" w:sz="4" w:space="0" w:color="auto"/>
            </w:tcBorders>
            <w:noWrap/>
            <w:hideMark/>
          </w:tcPr>
          <w:p w14:paraId="0BFDF241" w14:textId="4DB9CA6C" w:rsidR="00351103" w:rsidRPr="00384923" w:rsidRDefault="00351103" w:rsidP="00351103">
            <w:pPr>
              <w:rPr>
                <w:rFonts w:asciiTheme="majorHAnsi" w:hAnsiTheme="majorHAnsi" w:cs="Arial"/>
                <w:lang w:val="fr-FR"/>
              </w:rPr>
            </w:pPr>
            <w:r w:rsidRPr="00384923">
              <w:rPr>
                <w:rFonts w:asciiTheme="majorHAnsi" w:hAnsiTheme="majorHAnsi" w:cs="Arial"/>
                <w:lang w:val="fr-FR"/>
              </w:rPr>
              <w:t>Activités des agents et représentants d'artistes, de sportifs et d'autres personnalités publiques</w:t>
            </w:r>
          </w:p>
        </w:tc>
      </w:tr>
      <w:tr w:rsidR="00782754" w:rsidRPr="007F1FE2" w14:paraId="42103BEF"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tcPr>
          <w:p w14:paraId="2A8F40DF" w14:textId="4B2156DA" w:rsidR="00782754" w:rsidRPr="00384923" w:rsidRDefault="00782754" w:rsidP="00351103">
            <w:pPr>
              <w:jc w:val="right"/>
              <w:rPr>
                <w:rFonts w:ascii="Calibri" w:eastAsia="Times New Roman" w:hAnsi="Calibri" w:cs="Times New Roman"/>
              </w:rPr>
            </w:pPr>
            <w:r>
              <w:rPr>
                <w:rFonts w:ascii="Calibri" w:eastAsia="Times New Roman" w:hAnsi="Calibri" w:cs="Times New Roman"/>
              </w:rPr>
              <w:t>7490901</w:t>
            </w:r>
          </w:p>
        </w:tc>
        <w:tc>
          <w:tcPr>
            <w:tcW w:w="8106" w:type="dxa"/>
            <w:tcBorders>
              <w:top w:val="single" w:sz="4" w:space="0" w:color="auto"/>
              <w:left w:val="single" w:sz="4" w:space="0" w:color="auto"/>
              <w:bottom w:val="single" w:sz="4" w:space="0" w:color="auto"/>
              <w:right w:val="single" w:sz="4" w:space="0" w:color="auto"/>
            </w:tcBorders>
            <w:noWrap/>
          </w:tcPr>
          <w:p w14:paraId="54B86BE6" w14:textId="1864FB1D" w:rsidR="00782754" w:rsidRPr="00384923" w:rsidRDefault="00E400B1" w:rsidP="00351103">
            <w:pPr>
              <w:rPr>
                <w:rFonts w:asciiTheme="majorHAnsi" w:hAnsiTheme="majorHAnsi" w:cs="Arial"/>
                <w:lang w:val="fr-FR"/>
              </w:rPr>
            </w:pPr>
            <w:r w:rsidRPr="00E400B1">
              <w:rPr>
                <w:rFonts w:asciiTheme="majorHAnsi" w:hAnsiTheme="majorHAnsi" w:cs="Arial"/>
                <w:lang w:val="fr-FR"/>
              </w:rPr>
              <w:t>Activités de conseil en matière de sécurité industrielle de sécurité des ménages et des services publics</w:t>
            </w:r>
          </w:p>
        </w:tc>
      </w:tr>
      <w:tr w:rsidR="00351103" w:rsidRPr="007F1FE2" w14:paraId="778F8B4E"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3DB67440" w14:textId="77777777" w:rsidR="00351103" w:rsidRPr="00384923" w:rsidRDefault="00351103" w:rsidP="00351103">
            <w:pPr>
              <w:jc w:val="right"/>
              <w:rPr>
                <w:rFonts w:ascii="Calibri" w:eastAsia="Times New Roman" w:hAnsi="Calibri" w:cs="Times New Roman"/>
              </w:rPr>
            </w:pPr>
            <w:r w:rsidRPr="00384923">
              <w:rPr>
                <w:rFonts w:ascii="Calibri" w:eastAsia="Times New Roman" w:hAnsi="Calibri" w:cs="Times New Roman"/>
              </w:rPr>
              <w:t>811101</w:t>
            </w:r>
          </w:p>
        </w:tc>
        <w:tc>
          <w:tcPr>
            <w:tcW w:w="8106" w:type="dxa"/>
            <w:tcBorders>
              <w:top w:val="single" w:sz="4" w:space="0" w:color="auto"/>
              <w:left w:val="single" w:sz="4" w:space="0" w:color="auto"/>
              <w:bottom w:val="single" w:sz="4" w:space="0" w:color="auto"/>
              <w:right w:val="single" w:sz="4" w:space="0" w:color="auto"/>
            </w:tcBorders>
            <w:noWrap/>
            <w:hideMark/>
          </w:tcPr>
          <w:p w14:paraId="1B967EEA" w14:textId="3522EA67" w:rsidR="00351103" w:rsidRPr="00384923" w:rsidRDefault="00351103" w:rsidP="00351103">
            <w:pPr>
              <w:rPr>
                <w:rFonts w:asciiTheme="majorHAnsi" w:hAnsiTheme="majorHAnsi" w:cs="Arial"/>
                <w:lang w:val="fr-FR"/>
              </w:rPr>
            </w:pPr>
            <w:r w:rsidRPr="00384923">
              <w:rPr>
                <w:rFonts w:asciiTheme="majorHAnsi" w:hAnsiTheme="majorHAnsi" w:cs="Arial"/>
                <w:lang w:val="fr-FR"/>
              </w:rPr>
              <w:t>Extraction, taille grossière et sciage de pierres de taille pour les entreprises de travail de la pierre ou pour la construction, telles que le marbre, le granit, le grès, etc.</w:t>
            </w:r>
          </w:p>
        </w:tc>
      </w:tr>
      <w:tr w:rsidR="00351103" w:rsidRPr="007F1FE2" w14:paraId="68AA221F"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58E0274C" w14:textId="77777777" w:rsidR="00351103" w:rsidRPr="00384923" w:rsidRDefault="00351103" w:rsidP="00351103">
            <w:pPr>
              <w:jc w:val="right"/>
              <w:rPr>
                <w:rFonts w:ascii="Calibri" w:eastAsia="Times New Roman" w:hAnsi="Calibri" w:cs="Times New Roman"/>
              </w:rPr>
            </w:pPr>
            <w:r w:rsidRPr="00384923">
              <w:rPr>
                <w:rFonts w:ascii="Calibri" w:eastAsia="Times New Roman" w:hAnsi="Calibri" w:cs="Times New Roman"/>
              </w:rPr>
              <w:lastRenderedPageBreak/>
              <w:t>82</w:t>
            </w:r>
          </w:p>
        </w:tc>
        <w:tc>
          <w:tcPr>
            <w:tcW w:w="8106" w:type="dxa"/>
            <w:tcBorders>
              <w:top w:val="single" w:sz="4" w:space="0" w:color="auto"/>
              <w:left w:val="single" w:sz="4" w:space="0" w:color="auto"/>
              <w:bottom w:val="single" w:sz="4" w:space="0" w:color="auto"/>
              <w:right w:val="single" w:sz="4" w:space="0" w:color="auto"/>
            </w:tcBorders>
            <w:noWrap/>
            <w:hideMark/>
          </w:tcPr>
          <w:p w14:paraId="2A50611B" w14:textId="38E6BC9C" w:rsidR="00351103" w:rsidRPr="00384923" w:rsidRDefault="00351103" w:rsidP="00351103">
            <w:pPr>
              <w:rPr>
                <w:rFonts w:asciiTheme="majorHAnsi" w:hAnsiTheme="majorHAnsi" w:cs="Arial"/>
                <w:lang w:val="fr-FR"/>
              </w:rPr>
            </w:pPr>
            <w:r w:rsidRPr="00384923">
              <w:rPr>
                <w:rFonts w:asciiTheme="majorHAnsi" w:hAnsiTheme="majorHAnsi" w:cs="Arial"/>
                <w:lang w:val="fr-FR"/>
              </w:rPr>
              <w:t>Services administratifs de bureau et autres activités de soutien aux entreprises</w:t>
            </w:r>
          </w:p>
        </w:tc>
      </w:tr>
      <w:tr w:rsidR="00782754" w:rsidRPr="007F1FE2" w14:paraId="08872399"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tcPr>
          <w:p w14:paraId="2D6E415F" w14:textId="12A9579F" w:rsidR="00782754" w:rsidRPr="00384923" w:rsidRDefault="00782754" w:rsidP="00351103">
            <w:pPr>
              <w:jc w:val="right"/>
              <w:rPr>
                <w:rFonts w:ascii="Calibri" w:eastAsia="Times New Roman" w:hAnsi="Calibri" w:cs="Times New Roman"/>
              </w:rPr>
            </w:pPr>
            <w:r>
              <w:rPr>
                <w:rFonts w:ascii="Calibri" w:eastAsia="Times New Roman" w:hAnsi="Calibri" w:cs="Times New Roman"/>
              </w:rPr>
              <w:t>8690</w:t>
            </w:r>
          </w:p>
        </w:tc>
        <w:tc>
          <w:tcPr>
            <w:tcW w:w="8106" w:type="dxa"/>
            <w:tcBorders>
              <w:top w:val="single" w:sz="4" w:space="0" w:color="auto"/>
              <w:left w:val="single" w:sz="4" w:space="0" w:color="auto"/>
              <w:bottom w:val="single" w:sz="4" w:space="0" w:color="auto"/>
              <w:right w:val="single" w:sz="4" w:space="0" w:color="auto"/>
            </w:tcBorders>
            <w:noWrap/>
          </w:tcPr>
          <w:p w14:paraId="79CEAB1B" w14:textId="66C8CD0B" w:rsidR="00782754" w:rsidRPr="00384923" w:rsidRDefault="00E400B1" w:rsidP="00351103">
            <w:pPr>
              <w:rPr>
                <w:rFonts w:asciiTheme="majorHAnsi" w:hAnsiTheme="majorHAnsi" w:cs="Arial"/>
                <w:lang w:val="fr-FR"/>
              </w:rPr>
            </w:pPr>
            <w:r w:rsidRPr="00E400B1">
              <w:rPr>
                <w:rFonts w:asciiTheme="majorHAnsi" w:hAnsiTheme="majorHAnsi" w:cs="Arial"/>
                <w:lang w:val="fr-FR"/>
              </w:rPr>
              <w:t>Autres activités pour la santé humaine</w:t>
            </w:r>
          </w:p>
        </w:tc>
      </w:tr>
      <w:tr w:rsidR="00351103" w:rsidRPr="007F1FE2" w14:paraId="0C4D676D"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61EBECE1" w14:textId="77777777" w:rsidR="00351103" w:rsidRPr="00384923" w:rsidRDefault="00351103" w:rsidP="00351103">
            <w:pPr>
              <w:jc w:val="right"/>
              <w:rPr>
                <w:rFonts w:ascii="Calibri" w:eastAsia="Times New Roman" w:hAnsi="Calibri" w:cs="Times New Roman"/>
              </w:rPr>
            </w:pPr>
            <w:r w:rsidRPr="00384923">
              <w:rPr>
                <w:rFonts w:ascii="Calibri" w:eastAsia="Times New Roman" w:hAnsi="Calibri" w:cs="Times New Roman"/>
              </w:rPr>
              <w:t>8910</w:t>
            </w:r>
          </w:p>
        </w:tc>
        <w:tc>
          <w:tcPr>
            <w:tcW w:w="8106" w:type="dxa"/>
            <w:tcBorders>
              <w:top w:val="single" w:sz="4" w:space="0" w:color="auto"/>
              <w:left w:val="single" w:sz="4" w:space="0" w:color="auto"/>
              <w:bottom w:val="single" w:sz="4" w:space="0" w:color="auto"/>
              <w:right w:val="single" w:sz="4" w:space="0" w:color="auto"/>
            </w:tcBorders>
            <w:noWrap/>
            <w:hideMark/>
          </w:tcPr>
          <w:p w14:paraId="32EB69FA" w14:textId="7E2C588F" w:rsidR="00351103" w:rsidRPr="00384923" w:rsidRDefault="00351103" w:rsidP="00351103">
            <w:pPr>
              <w:rPr>
                <w:rFonts w:asciiTheme="majorHAnsi" w:hAnsiTheme="majorHAnsi" w:cs="Arial"/>
                <w:lang w:val="fr-FR"/>
              </w:rPr>
            </w:pPr>
            <w:r w:rsidRPr="00384923">
              <w:rPr>
                <w:rFonts w:asciiTheme="majorHAnsi" w:hAnsiTheme="majorHAnsi" w:cs="Arial"/>
                <w:lang w:val="fr-FR"/>
              </w:rPr>
              <w:t>Extraction des minéraux chimiques et d'engrais minéraux</w:t>
            </w:r>
          </w:p>
        </w:tc>
      </w:tr>
      <w:tr w:rsidR="00351103" w:rsidRPr="007F1FE2" w14:paraId="0B440961"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10857EA4" w14:textId="77777777" w:rsidR="00351103" w:rsidRPr="00384923" w:rsidRDefault="00351103" w:rsidP="00351103">
            <w:pPr>
              <w:jc w:val="right"/>
              <w:rPr>
                <w:rFonts w:ascii="Calibri" w:eastAsia="Times New Roman" w:hAnsi="Calibri" w:cs="Times New Roman"/>
              </w:rPr>
            </w:pPr>
            <w:r w:rsidRPr="00384923">
              <w:rPr>
                <w:rFonts w:ascii="Calibri" w:eastAsia="Times New Roman" w:hAnsi="Calibri" w:cs="Times New Roman"/>
              </w:rPr>
              <w:t>899001</w:t>
            </w:r>
          </w:p>
        </w:tc>
        <w:tc>
          <w:tcPr>
            <w:tcW w:w="8106" w:type="dxa"/>
            <w:tcBorders>
              <w:top w:val="single" w:sz="4" w:space="0" w:color="auto"/>
              <w:left w:val="single" w:sz="4" w:space="0" w:color="auto"/>
              <w:bottom w:val="single" w:sz="4" w:space="0" w:color="auto"/>
              <w:right w:val="single" w:sz="4" w:space="0" w:color="auto"/>
            </w:tcBorders>
            <w:noWrap/>
            <w:hideMark/>
          </w:tcPr>
          <w:p w14:paraId="6C581C56" w14:textId="066D120B" w:rsidR="00351103" w:rsidRPr="00384923" w:rsidRDefault="00351103" w:rsidP="00351103">
            <w:pPr>
              <w:rPr>
                <w:rFonts w:asciiTheme="majorHAnsi" w:hAnsiTheme="majorHAnsi" w:cs="Arial"/>
                <w:lang w:val="fr-FR"/>
              </w:rPr>
            </w:pPr>
            <w:r w:rsidRPr="00384923">
              <w:rPr>
                <w:rFonts w:asciiTheme="majorHAnsi" w:hAnsiTheme="majorHAnsi" w:cs="Arial"/>
                <w:lang w:val="fr-FR"/>
              </w:rPr>
              <w:t>Extraction de minéraux et de matériaux divers : terreaux et humus, mat. abrasives, amiante, farines siliceuses fossiles, graphite naturel, stéatite (talc), feldspath, pierres gemmes, quartz, mica, etc.</w:t>
            </w:r>
          </w:p>
        </w:tc>
      </w:tr>
      <w:tr w:rsidR="00351103" w14:paraId="1EF00C30"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4C2884B6" w14:textId="77777777" w:rsidR="00351103" w:rsidRPr="00384923" w:rsidRDefault="00351103" w:rsidP="00351103">
            <w:pPr>
              <w:jc w:val="right"/>
              <w:rPr>
                <w:rFonts w:ascii="Calibri" w:eastAsia="Times New Roman" w:hAnsi="Calibri" w:cs="Times New Roman"/>
              </w:rPr>
            </w:pPr>
            <w:r w:rsidRPr="00384923">
              <w:rPr>
                <w:rFonts w:ascii="Calibri" w:eastAsia="Times New Roman" w:hAnsi="Calibri" w:cs="Times New Roman"/>
              </w:rPr>
              <w:t>96</w:t>
            </w:r>
          </w:p>
        </w:tc>
        <w:tc>
          <w:tcPr>
            <w:tcW w:w="8106" w:type="dxa"/>
            <w:tcBorders>
              <w:top w:val="single" w:sz="4" w:space="0" w:color="auto"/>
              <w:left w:val="single" w:sz="4" w:space="0" w:color="auto"/>
              <w:bottom w:val="single" w:sz="4" w:space="0" w:color="auto"/>
              <w:right w:val="single" w:sz="4" w:space="0" w:color="auto"/>
            </w:tcBorders>
            <w:noWrap/>
            <w:hideMark/>
          </w:tcPr>
          <w:p w14:paraId="497815FB" w14:textId="1A31C535" w:rsidR="00351103" w:rsidRPr="00384923" w:rsidRDefault="00351103" w:rsidP="00351103">
            <w:pPr>
              <w:rPr>
                <w:rFonts w:asciiTheme="majorHAnsi" w:hAnsiTheme="majorHAnsi" w:cs="Arial"/>
                <w:lang w:val="fr-FR"/>
              </w:rPr>
            </w:pPr>
            <w:r w:rsidRPr="00384923">
              <w:rPr>
                <w:rFonts w:asciiTheme="majorHAnsi" w:hAnsiTheme="majorHAnsi" w:cs="Arial"/>
                <w:lang w:val="fr-FR"/>
              </w:rPr>
              <w:t>Autres services personnels</w:t>
            </w:r>
          </w:p>
        </w:tc>
      </w:tr>
      <w:tr w:rsidR="00351103" w:rsidRPr="007F1FE2" w14:paraId="0F7AE3C2" w14:textId="77777777" w:rsidTr="009441CD">
        <w:trPr>
          <w:trHeight w:val="300"/>
        </w:trPr>
        <w:tc>
          <w:tcPr>
            <w:tcW w:w="1244" w:type="dxa"/>
            <w:tcBorders>
              <w:top w:val="single" w:sz="4" w:space="0" w:color="auto"/>
              <w:left w:val="single" w:sz="4" w:space="0" w:color="auto"/>
              <w:bottom w:val="single" w:sz="4" w:space="0" w:color="auto"/>
              <w:right w:val="single" w:sz="4" w:space="0" w:color="auto"/>
            </w:tcBorders>
            <w:noWrap/>
            <w:hideMark/>
          </w:tcPr>
          <w:p w14:paraId="7A104448" w14:textId="77777777" w:rsidR="00351103" w:rsidRPr="00384923" w:rsidRDefault="00351103" w:rsidP="00351103">
            <w:pPr>
              <w:jc w:val="right"/>
              <w:rPr>
                <w:rFonts w:ascii="Calibri" w:eastAsia="Times New Roman" w:hAnsi="Calibri" w:cs="Times New Roman"/>
              </w:rPr>
            </w:pPr>
            <w:r w:rsidRPr="00384923">
              <w:rPr>
                <w:rFonts w:ascii="Calibri" w:eastAsia="Times New Roman" w:hAnsi="Calibri" w:cs="Times New Roman"/>
              </w:rPr>
              <w:t>99000</w:t>
            </w:r>
          </w:p>
        </w:tc>
        <w:tc>
          <w:tcPr>
            <w:tcW w:w="8106" w:type="dxa"/>
            <w:tcBorders>
              <w:top w:val="single" w:sz="4" w:space="0" w:color="auto"/>
              <w:left w:val="single" w:sz="4" w:space="0" w:color="auto"/>
              <w:bottom w:val="single" w:sz="4" w:space="0" w:color="auto"/>
              <w:right w:val="single" w:sz="4" w:space="0" w:color="auto"/>
            </w:tcBorders>
            <w:noWrap/>
            <w:hideMark/>
          </w:tcPr>
          <w:p w14:paraId="5D187CDC" w14:textId="4CC455C3" w:rsidR="00351103" w:rsidRPr="00384923" w:rsidRDefault="00351103" w:rsidP="00351103">
            <w:pPr>
              <w:rPr>
                <w:rFonts w:ascii="Calibri" w:eastAsia="Times New Roman" w:hAnsi="Calibri" w:cs="Times New Roman"/>
                <w:lang w:val="fr-BE"/>
              </w:rPr>
            </w:pPr>
            <w:r w:rsidRPr="00384923">
              <w:rPr>
                <w:rFonts w:asciiTheme="majorHAnsi" w:hAnsiTheme="majorHAnsi" w:cs="Arial"/>
                <w:lang w:val="fr-FR"/>
              </w:rPr>
              <w:t>Activités des organisations et organismes extraterritoriaux</w:t>
            </w:r>
          </w:p>
        </w:tc>
      </w:tr>
    </w:tbl>
    <w:p w14:paraId="51C09D9F" w14:textId="1637AB20" w:rsidR="00394246" w:rsidRDefault="00394246" w:rsidP="001C36AE">
      <w:pPr>
        <w:jc w:val="both"/>
        <w:rPr>
          <w:lang w:val="fr-FR"/>
        </w:rPr>
      </w:pPr>
    </w:p>
    <w:p w14:paraId="39B1E60A" w14:textId="77777777" w:rsidR="00A67D09" w:rsidRPr="00B76985" w:rsidRDefault="00A67D09" w:rsidP="00B76985">
      <w:pPr>
        <w:jc w:val="both"/>
        <w:rPr>
          <w:lang w:val="fr-FR"/>
        </w:rPr>
      </w:pPr>
      <w:r w:rsidRPr="00B76985">
        <w:rPr>
          <w:lang w:val="fr-FR"/>
        </w:rPr>
        <w:t>Dans le tableau ci-dessous, les codes NACE (BEL) sont r</w:t>
      </w:r>
      <w:r w:rsidRPr="00B76985">
        <w:rPr>
          <w:rFonts w:hint="eastAsia"/>
          <w:lang w:val="fr-FR"/>
        </w:rPr>
        <w:t>é</w:t>
      </w:r>
      <w:r w:rsidRPr="00B76985">
        <w:rPr>
          <w:lang w:val="fr-FR"/>
        </w:rPr>
        <w:t>capitul</w:t>
      </w:r>
      <w:r w:rsidRPr="00B76985">
        <w:rPr>
          <w:rFonts w:hint="eastAsia"/>
          <w:lang w:val="fr-FR"/>
        </w:rPr>
        <w:t>é</w:t>
      </w:r>
      <w:r w:rsidRPr="00B76985">
        <w:rPr>
          <w:lang w:val="fr-FR"/>
        </w:rPr>
        <w:t>s au niveau 02 (sections) des codes NACE.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221"/>
      </w:tblGrid>
      <w:tr w:rsidR="00384923" w:rsidRPr="007F1FE2" w14:paraId="2AD419DB" w14:textId="77777777" w:rsidTr="00A67D09">
        <w:trPr>
          <w:trHeight w:val="300"/>
          <w:tblHeader/>
        </w:trPr>
        <w:tc>
          <w:tcPr>
            <w:tcW w:w="9350" w:type="dxa"/>
            <w:gridSpan w:val="2"/>
            <w:tcBorders>
              <w:top w:val="single" w:sz="4" w:space="0" w:color="auto"/>
              <w:left w:val="single" w:sz="4" w:space="0" w:color="auto"/>
              <w:bottom w:val="single" w:sz="4" w:space="0" w:color="auto"/>
              <w:right w:val="single" w:sz="4" w:space="0" w:color="auto"/>
            </w:tcBorders>
            <w:noWrap/>
            <w:hideMark/>
          </w:tcPr>
          <w:p w14:paraId="2A1CB839" w14:textId="0D51ABB9" w:rsidR="00A67D09" w:rsidRPr="00384923" w:rsidRDefault="00A67D09" w:rsidP="00A67D09">
            <w:pPr>
              <w:rPr>
                <w:rFonts w:ascii="inherit" w:hAnsi="inherit"/>
                <w:lang w:val="fr-BE"/>
              </w:rPr>
            </w:pPr>
            <w:bookmarkStart w:id="48" w:name="_Hlk27560850"/>
            <w:r w:rsidRPr="00384923">
              <w:rPr>
                <w:b/>
                <w:i/>
                <w:lang w:val="fr-FR"/>
              </w:rPr>
              <w:t>Tableau: synth</w:t>
            </w:r>
            <w:r w:rsidRPr="00384923">
              <w:rPr>
                <w:rFonts w:hint="eastAsia"/>
                <w:b/>
                <w:i/>
                <w:lang w:val="fr-FR"/>
              </w:rPr>
              <w:t>è</w:t>
            </w:r>
            <w:r w:rsidRPr="00384923">
              <w:rPr>
                <w:b/>
                <w:i/>
                <w:lang w:val="fr-FR"/>
              </w:rPr>
              <w:t>se des codes NACE (BEL) enregistr</w:t>
            </w:r>
            <w:r w:rsidRPr="00384923">
              <w:rPr>
                <w:rFonts w:hint="eastAsia"/>
                <w:b/>
                <w:i/>
                <w:lang w:val="fr-FR"/>
              </w:rPr>
              <w:t>é</w:t>
            </w:r>
            <w:r w:rsidRPr="00384923">
              <w:rPr>
                <w:b/>
                <w:i/>
                <w:lang w:val="fr-FR"/>
              </w:rPr>
              <w:t>s au niveau de l'entreprise, r</w:t>
            </w:r>
            <w:r w:rsidRPr="00384923">
              <w:rPr>
                <w:rFonts w:hint="eastAsia"/>
                <w:b/>
                <w:i/>
                <w:lang w:val="fr-FR"/>
              </w:rPr>
              <w:t>é</w:t>
            </w:r>
            <w:r w:rsidRPr="00384923">
              <w:rPr>
                <w:b/>
                <w:i/>
                <w:lang w:val="fr-FR"/>
              </w:rPr>
              <w:t>capitul</w:t>
            </w:r>
            <w:r w:rsidRPr="00384923">
              <w:rPr>
                <w:rFonts w:hint="eastAsia"/>
                <w:b/>
                <w:i/>
                <w:lang w:val="fr-FR"/>
              </w:rPr>
              <w:t>é</w:t>
            </w:r>
            <w:r w:rsidRPr="00384923">
              <w:rPr>
                <w:b/>
                <w:i/>
                <w:lang w:val="fr-FR"/>
              </w:rPr>
              <w:t>s au niveau 02 des codes NACE</w:t>
            </w:r>
          </w:p>
        </w:tc>
      </w:tr>
      <w:tr w:rsidR="00384923" w:rsidRPr="00384923" w14:paraId="7BFEBC73" w14:textId="77777777" w:rsidTr="00A67D09">
        <w:trPr>
          <w:trHeight w:hRule="exact" w:val="301"/>
          <w:tblHeader/>
        </w:trPr>
        <w:tc>
          <w:tcPr>
            <w:tcW w:w="1129" w:type="dxa"/>
            <w:tcBorders>
              <w:top w:val="single" w:sz="4" w:space="0" w:color="auto"/>
              <w:left w:val="single" w:sz="4" w:space="0" w:color="auto"/>
              <w:bottom w:val="single" w:sz="4" w:space="0" w:color="auto"/>
              <w:right w:val="single" w:sz="4" w:space="0" w:color="auto"/>
            </w:tcBorders>
            <w:noWrap/>
            <w:hideMark/>
          </w:tcPr>
          <w:p w14:paraId="25F0B469" w14:textId="77777777" w:rsidR="00A67D09" w:rsidRPr="00384923" w:rsidRDefault="00A67D09">
            <w:pPr>
              <w:jc w:val="center"/>
              <w:rPr>
                <w:b/>
                <w:lang w:val="nl-BE"/>
              </w:rPr>
            </w:pPr>
            <w:r w:rsidRPr="00384923">
              <w:rPr>
                <w:b/>
                <w:lang w:val="nl-BE"/>
              </w:rPr>
              <w:t>Code</w:t>
            </w:r>
          </w:p>
        </w:tc>
        <w:tc>
          <w:tcPr>
            <w:tcW w:w="8221" w:type="dxa"/>
            <w:tcBorders>
              <w:top w:val="single" w:sz="4" w:space="0" w:color="auto"/>
              <w:left w:val="single" w:sz="4" w:space="0" w:color="auto"/>
              <w:bottom w:val="single" w:sz="4" w:space="0" w:color="auto"/>
              <w:right w:val="single" w:sz="4" w:space="0" w:color="auto"/>
            </w:tcBorders>
            <w:hideMark/>
          </w:tcPr>
          <w:p w14:paraId="1E45EF6C" w14:textId="0AB568F6" w:rsidR="00A67D09" w:rsidRPr="00384923" w:rsidRDefault="00A67D09">
            <w:pPr>
              <w:jc w:val="center"/>
              <w:rPr>
                <w:b/>
                <w:lang w:val="nl-BE"/>
              </w:rPr>
            </w:pPr>
            <w:proofErr w:type="spellStart"/>
            <w:r w:rsidRPr="00384923">
              <w:rPr>
                <w:b/>
                <w:lang w:val="nl-BE"/>
              </w:rPr>
              <w:t>Description</w:t>
            </w:r>
            <w:proofErr w:type="spellEnd"/>
          </w:p>
        </w:tc>
      </w:tr>
      <w:tr w:rsidR="00384923" w:rsidRPr="007F1FE2" w14:paraId="737C851F" w14:textId="77777777" w:rsidTr="00A10AD9">
        <w:trPr>
          <w:trHeight w:hRule="exact" w:val="301"/>
        </w:trPr>
        <w:tc>
          <w:tcPr>
            <w:tcW w:w="1129" w:type="dxa"/>
            <w:tcBorders>
              <w:top w:val="single" w:sz="4" w:space="0" w:color="auto"/>
              <w:left w:val="single" w:sz="4" w:space="0" w:color="auto"/>
              <w:bottom w:val="single" w:sz="4" w:space="0" w:color="auto"/>
              <w:right w:val="single" w:sz="4" w:space="0" w:color="auto"/>
            </w:tcBorders>
            <w:noWrap/>
          </w:tcPr>
          <w:p w14:paraId="4CB1795D" w14:textId="62184B2C" w:rsidR="00A67D09" w:rsidRPr="00384923" w:rsidRDefault="00782754">
            <w:pPr>
              <w:rPr>
                <w:lang w:val="nl-BE"/>
              </w:rPr>
            </w:pPr>
            <w:r>
              <w:rPr>
                <w:lang w:val="nl-BE"/>
              </w:rPr>
              <w:t>01</w:t>
            </w:r>
          </w:p>
        </w:tc>
        <w:tc>
          <w:tcPr>
            <w:tcW w:w="8221" w:type="dxa"/>
            <w:tcBorders>
              <w:top w:val="single" w:sz="4" w:space="0" w:color="auto"/>
              <w:left w:val="single" w:sz="4" w:space="0" w:color="auto"/>
              <w:bottom w:val="single" w:sz="4" w:space="0" w:color="auto"/>
              <w:right w:val="single" w:sz="4" w:space="0" w:color="auto"/>
            </w:tcBorders>
          </w:tcPr>
          <w:p w14:paraId="4F89C5F7" w14:textId="0302F522" w:rsidR="00A67D09" w:rsidRPr="00A10AD9" w:rsidRDefault="003C65C8">
            <w:pPr>
              <w:rPr>
                <w:lang w:val="fr-BE"/>
              </w:rPr>
            </w:pPr>
            <w:r w:rsidRPr="00A10AD9">
              <w:rPr>
                <w:rFonts w:ascii="Arial" w:hAnsi="Arial" w:cs="Arial"/>
                <w:sz w:val="20"/>
                <w:szCs w:val="20"/>
                <w:lang w:val="fr-BE"/>
              </w:rPr>
              <w:t>Culture et production animale, chasse et services annexes</w:t>
            </w:r>
          </w:p>
        </w:tc>
      </w:tr>
      <w:tr w:rsidR="00782754" w:rsidRPr="00384923" w14:paraId="020BE9F3" w14:textId="77777777" w:rsidTr="00A67D09">
        <w:trPr>
          <w:trHeight w:hRule="exact" w:val="301"/>
        </w:trPr>
        <w:tc>
          <w:tcPr>
            <w:tcW w:w="1129" w:type="dxa"/>
            <w:tcBorders>
              <w:top w:val="single" w:sz="4" w:space="0" w:color="auto"/>
              <w:left w:val="single" w:sz="4" w:space="0" w:color="auto"/>
              <w:bottom w:val="single" w:sz="4" w:space="0" w:color="auto"/>
              <w:right w:val="single" w:sz="4" w:space="0" w:color="auto"/>
            </w:tcBorders>
            <w:noWrap/>
          </w:tcPr>
          <w:p w14:paraId="38BCC244" w14:textId="635B5B63" w:rsidR="00782754" w:rsidRPr="00384923" w:rsidRDefault="00782754" w:rsidP="00782754">
            <w:pPr>
              <w:rPr>
                <w:lang w:val="nl-BE"/>
              </w:rPr>
            </w:pPr>
            <w:r w:rsidRPr="00384923">
              <w:rPr>
                <w:lang w:val="nl-BE"/>
              </w:rPr>
              <w:t>10</w:t>
            </w:r>
          </w:p>
        </w:tc>
        <w:tc>
          <w:tcPr>
            <w:tcW w:w="8221" w:type="dxa"/>
            <w:tcBorders>
              <w:top w:val="single" w:sz="4" w:space="0" w:color="auto"/>
              <w:left w:val="single" w:sz="4" w:space="0" w:color="auto"/>
              <w:bottom w:val="single" w:sz="4" w:space="0" w:color="auto"/>
              <w:right w:val="single" w:sz="4" w:space="0" w:color="auto"/>
            </w:tcBorders>
          </w:tcPr>
          <w:p w14:paraId="42CDCD57" w14:textId="77777777" w:rsidR="00782754" w:rsidRPr="00384923" w:rsidRDefault="00782754" w:rsidP="00782754">
            <w:pPr>
              <w:rPr>
                <w:rFonts w:ascii="Arial" w:hAnsi="Arial" w:cs="Arial"/>
                <w:sz w:val="20"/>
                <w:szCs w:val="20"/>
              </w:rPr>
            </w:pPr>
            <w:r w:rsidRPr="00384923">
              <w:rPr>
                <w:rFonts w:ascii="Arial" w:hAnsi="Arial" w:cs="Arial"/>
                <w:sz w:val="20"/>
                <w:szCs w:val="20"/>
              </w:rPr>
              <w:t xml:space="preserve">Industries </w:t>
            </w:r>
            <w:proofErr w:type="spellStart"/>
            <w:r w:rsidRPr="00384923">
              <w:rPr>
                <w:rFonts w:ascii="Arial" w:hAnsi="Arial" w:cs="Arial"/>
                <w:sz w:val="20"/>
                <w:szCs w:val="20"/>
              </w:rPr>
              <w:t>alimentaires</w:t>
            </w:r>
            <w:proofErr w:type="spellEnd"/>
          </w:p>
          <w:p w14:paraId="3C757B67" w14:textId="77777777" w:rsidR="00782754" w:rsidRPr="00384923" w:rsidRDefault="00782754" w:rsidP="00782754">
            <w:pPr>
              <w:rPr>
                <w:rFonts w:ascii="Arial" w:hAnsi="Arial" w:cs="Arial"/>
                <w:sz w:val="20"/>
                <w:szCs w:val="20"/>
              </w:rPr>
            </w:pPr>
          </w:p>
        </w:tc>
      </w:tr>
      <w:tr w:rsidR="00782754" w:rsidRPr="00384923" w14:paraId="2910A15B" w14:textId="77777777" w:rsidTr="00A67D09">
        <w:trPr>
          <w:trHeight w:hRule="exact" w:val="301"/>
        </w:trPr>
        <w:tc>
          <w:tcPr>
            <w:tcW w:w="1129" w:type="dxa"/>
            <w:tcBorders>
              <w:top w:val="single" w:sz="4" w:space="0" w:color="auto"/>
              <w:left w:val="single" w:sz="4" w:space="0" w:color="auto"/>
              <w:bottom w:val="single" w:sz="4" w:space="0" w:color="auto"/>
              <w:right w:val="single" w:sz="4" w:space="0" w:color="auto"/>
            </w:tcBorders>
            <w:noWrap/>
            <w:hideMark/>
          </w:tcPr>
          <w:p w14:paraId="0B0BE1CA" w14:textId="77777777" w:rsidR="00782754" w:rsidRPr="00384923" w:rsidRDefault="00782754" w:rsidP="00782754">
            <w:pPr>
              <w:rPr>
                <w:lang w:val="nl-BE"/>
              </w:rPr>
            </w:pPr>
            <w:r w:rsidRPr="00384923">
              <w:rPr>
                <w:lang w:val="nl-BE"/>
              </w:rPr>
              <w:t>18</w:t>
            </w:r>
          </w:p>
        </w:tc>
        <w:tc>
          <w:tcPr>
            <w:tcW w:w="8221" w:type="dxa"/>
            <w:tcBorders>
              <w:top w:val="single" w:sz="4" w:space="0" w:color="auto"/>
              <w:left w:val="single" w:sz="4" w:space="0" w:color="auto"/>
              <w:bottom w:val="single" w:sz="4" w:space="0" w:color="auto"/>
              <w:right w:val="single" w:sz="4" w:space="0" w:color="auto"/>
            </w:tcBorders>
            <w:hideMark/>
          </w:tcPr>
          <w:p w14:paraId="57164FA5" w14:textId="77777777" w:rsidR="00782754" w:rsidRPr="00384923" w:rsidRDefault="00782754" w:rsidP="00782754">
            <w:pPr>
              <w:rPr>
                <w:rFonts w:ascii="Arial" w:hAnsi="Arial" w:cs="Arial"/>
                <w:sz w:val="20"/>
                <w:szCs w:val="20"/>
              </w:rPr>
            </w:pPr>
            <w:proofErr w:type="spellStart"/>
            <w:r w:rsidRPr="00384923">
              <w:rPr>
                <w:rFonts w:ascii="Arial" w:hAnsi="Arial" w:cs="Arial"/>
                <w:sz w:val="20"/>
                <w:szCs w:val="20"/>
              </w:rPr>
              <w:t>Imprimerie</w:t>
            </w:r>
            <w:proofErr w:type="spellEnd"/>
            <w:r w:rsidRPr="00384923">
              <w:rPr>
                <w:rFonts w:ascii="Arial" w:hAnsi="Arial" w:cs="Arial"/>
                <w:sz w:val="20"/>
                <w:szCs w:val="20"/>
              </w:rPr>
              <w:t xml:space="preserve"> et reproduction </w:t>
            </w:r>
            <w:proofErr w:type="spellStart"/>
            <w:r w:rsidRPr="00384923">
              <w:rPr>
                <w:rFonts w:ascii="Arial" w:hAnsi="Arial" w:cs="Arial"/>
                <w:sz w:val="20"/>
                <w:szCs w:val="20"/>
              </w:rPr>
              <w:t>d'enregistrements</w:t>
            </w:r>
            <w:proofErr w:type="spellEnd"/>
          </w:p>
          <w:p w14:paraId="61E1A8AB" w14:textId="662186C5" w:rsidR="00782754" w:rsidRPr="00384923" w:rsidRDefault="00782754" w:rsidP="00782754">
            <w:pPr>
              <w:rPr>
                <w:lang w:val="nl-BE"/>
              </w:rPr>
            </w:pPr>
          </w:p>
        </w:tc>
      </w:tr>
      <w:tr w:rsidR="00782754" w:rsidRPr="00384923" w14:paraId="14B13A5E" w14:textId="77777777" w:rsidTr="00A67D09">
        <w:trPr>
          <w:trHeight w:hRule="exact" w:val="301"/>
        </w:trPr>
        <w:tc>
          <w:tcPr>
            <w:tcW w:w="1129" w:type="dxa"/>
            <w:tcBorders>
              <w:top w:val="single" w:sz="4" w:space="0" w:color="auto"/>
              <w:left w:val="single" w:sz="4" w:space="0" w:color="auto"/>
              <w:bottom w:val="single" w:sz="4" w:space="0" w:color="auto"/>
              <w:right w:val="single" w:sz="4" w:space="0" w:color="auto"/>
            </w:tcBorders>
            <w:noWrap/>
            <w:hideMark/>
          </w:tcPr>
          <w:p w14:paraId="7E0AF5D9" w14:textId="77777777" w:rsidR="00782754" w:rsidRPr="00384923" w:rsidRDefault="00782754" w:rsidP="00782754">
            <w:pPr>
              <w:rPr>
                <w:lang w:val="nl-BE"/>
              </w:rPr>
            </w:pPr>
            <w:r w:rsidRPr="00384923">
              <w:rPr>
                <w:lang w:val="nl-BE"/>
              </w:rPr>
              <w:t>20</w:t>
            </w:r>
          </w:p>
        </w:tc>
        <w:tc>
          <w:tcPr>
            <w:tcW w:w="8221" w:type="dxa"/>
            <w:tcBorders>
              <w:top w:val="single" w:sz="4" w:space="0" w:color="auto"/>
              <w:left w:val="single" w:sz="4" w:space="0" w:color="auto"/>
              <w:bottom w:val="single" w:sz="4" w:space="0" w:color="auto"/>
              <w:right w:val="single" w:sz="4" w:space="0" w:color="auto"/>
            </w:tcBorders>
            <w:hideMark/>
          </w:tcPr>
          <w:p w14:paraId="2D1E7D81" w14:textId="77777777" w:rsidR="00782754" w:rsidRPr="00384923" w:rsidRDefault="00782754" w:rsidP="00782754">
            <w:pPr>
              <w:rPr>
                <w:rFonts w:ascii="Arial" w:hAnsi="Arial" w:cs="Arial"/>
                <w:sz w:val="20"/>
                <w:szCs w:val="20"/>
              </w:rPr>
            </w:pPr>
            <w:proofErr w:type="spellStart"/>
            <w:r w:rsidRPr="00384923">
              <w:rPr>
                <w:rFonts w:ascii="Arial" w:hAnsi="Arial" w:cs="Arial"/>
                <w:sz w:val="20"/>
                <w:szCs w:val="20"/>
              </w:rPr>
              <w:t>Industrie</w:t>
            </w:r>
            <w:proofErr w:type="spellEnd"/>
            <w:r w:rsidRPr="00384923">
              <w:rPr>
                <w:rFonts w:ascii="Arial" w:hAnsi="Arial" w:cs="Arial"/>
                <w:sz w:val="20"/>
                <w:szCs w:val="20"/>
              </w:rPr>
              <w:t xml:space="preserve"> </w:t>
            </w:r>
            <w:proofErr w:type="spellStart"/>
            <w:r w:rsidRPr="00384923">
              <w:rPr>
                <w:rFonts w:ascii="Arial" w:hAnsi="Arial" w:cs="Arial"/>
                <w:sz w:val="20"/>
                <w:szCs w:val="20"/>
              </w:rPr>
              <w:t>chimique</w:t>
            </w:r>
            <w:proofErr w:type="spellEnd"/>
          </w:p>
          <w:p w14:paraId="05868537" w14:textId="4824F6ED" w:rsidR="00782754" w:rsidRPr="00384923" w:rsidRDefault="00782754" w:rsidP="00782754">
            <w:pPr>
              <w:rPr>
                <w:lang w:val="nl-BE"/>
              </w:rPr>
            </w:pPr>
          </w:p>
        </w:tc>
      </w:tr>
      <w:tr w:rsidR="00782754" w:rsidRPr="00384923" w14:paraId="17CC1A10" w14:textId="77777777" w:rsidTr="00A67D09">
        <w:trPr>
          <w:trHeight w:hRule="exact" w:val="301"/>
        </w:trPr>
        <w:tc>
          <w:tcPr>
            <w:tcW w:w="1129" w:type="dxa"/>
            <w:tcBorders>
              <w:top w:val="single" w:sz="4" w:space="0" w:color="auto"/>
              <w:left w:val="single" w:sz="4" w:space="0" w:color="auto"/>
              <w:bottom w:val="single" w:sz="4" w:space="0" w:color="auto"/>
              <w:right w:val="single" w:sz="4" w:space="0" w:color="auto"/>
            </w:tcBorders>
            <w:noWrap/>
            <w:hideMark/>
          </w:tcPr>
          <w:p w14:paraId="6E18E224" w14:textId="77777777" w:rsidR="00782754" w:rsidRPr="00384923" w:rsidRDefault="00782754" w:rsidP="00782754">
            <w:pPr>
              <w:rPr>
                <w:lang w:val="nl-BE"/>
              </w:rPr>
            </w:pPr>
            <w:r w:rsidRPr="00384923">
              <w:rPr>
                <w:lang w:val="nl-BE"/>
              </w:rPr>
              <w:t>21</w:t>
            </w:r>
          </w:p>
        </w:tc>
        <w:tc>
          <w:tcPr>
            <w:tcW w:w="8221" w:type="dxa"/>
            <w:tcBorders>
              <w:top w:val="single" w:sz="4" w:space="0" w:color="auto"/>
              <w:left w:val="single" w:sz="4" w:space="0" w:color="auto"/>
              <w:bottom w:val="single" w:sz="4" w:space="0" w:color="auto"/>
              <w:right w:val="single" w:sz="4" w:space="0" w:color="auto"/>
            </w:tcBorders>
            <w:hideMark/>
          </w:tcPr>
          <w:p w14:paraId="220E5D0A" w14:textId="77777777" w:rsidR="00782754" w:rsidRPr="00384923" w:rsidRDefault="00782754" w:rsidP="00782754">
            <w:pPr>
              <w:rPr>
                <w:rFonts w:ascii="Arial" w:hAnsi="Arial" w:cs="Arial"/>
                <w:sz w:val="20"/>
                <w:szCs w:val="20"/>
              </w:rPr>
            </w:pPr>
            <w:proofErr w:type="spellStart"/>
            <w:r w:rsidRPr="00384923">
              <w:rPr>
                <w:rFonts w:ascii="Arial" w:hAnsi="Arial" w:cs="Arial"/>
                <w:sz w:val="20"/>
                <w:szCs w:val="20"/>
              </w:rPr>
              <w:t>Industrie</w:t>
            </w:r>
            <w:proofErr w:type="spellEnd"/>
            <w:r w:rsidRPr="00384923">
              <w:rPr>
                <w:rFonts w:ascii="Arial" w:hAnsi="Arial" w:cs="Arial"/>
                <w:sz w:val="20"/>
                <w:szCs w:val="20"/>
              </w:rPr>
              <w:t xml:space="preserve"> </w:t>
            </w:r>
            <w:proofErr w:type="spellStart"/>
            <w:r w:rsidRPr="00384923">
              <w:rPr>
                <w:rFonts w:ascii="Arial" w:hAnsi="Arial" w:cs="Arial"/>
                <w:sz w:val="20"/>
                <w:szCs w:val="20"/>
              </w:rPr>
              <w:t>pharmaceutique</w:t>
            </w:r>
            <w:proofErr w:type="spellEnd"/>
          </w:p>
          <w:p w14:paraId="4BA86F8C" w14:textId="70D2CC88" w:rsidR="00782754" w:rsidRPr="00384923" w:rsidRDefault="00782754" w:rsidP="00782754">
            <w:pPr>
              <w:rPr>
                <w:lang w:val="nl-BE"/>
              </w:rPr>
            </w:pPr>
          </w:p>
        </w:tc>
      </w:tr>
      <w:tr w:rsidR="00782754" w:rsidRPr="007F1FE2" w14:paraId="1075D532" w14:textId="77777777" w:rsidTr="00A67D09">
        <w:trPr>
          <w:trHeight w:hRule="exact" w:val="301"/>
        </w:trPr>
        <w:tc>
          <w:tcPr>
            <w:tcW w:w="1129" w:type="dxa"/>
            <w:tcBorders>
              <w:top w:val="single" w:sz="4" w:space="0" w:color="auto"/>
              <w:left w:val="single" w:sz="4" w:space="0" w:color="auto"/>
              <w:bottom w:val="single" w:sz="4" w:space="0" w:color="auto"/>
              <w:right w:val="single" w:sz="4" w:space="0" w:color="auto"/>
            </w:tcBorders>
            <w:noWrap/>
            <w:hideMark/>
          </w:tcPr>
          <w:p w14:paraId="0C10A73D" w14:textId="77777777" w:rsidR="00782754" w:rsidRPr="00384923" w:rsidRDefault="00782754" w:rsidP="00782754">
            <w:pPr>
              <w:rPr>
                <w:lang w:val="nl-BE"/>
              </w:rPr>
            </w:pPr>
            <w:r w:rsidRPr="00384923">
              <w:rPr>
                <w:lang w:val="nl-BE"/>
              </w:rPr>
              <w:t>22</w:t>
            </w:r>
          </w:p>
        </w:tc>
        <w:tc>
          <w:tcPr>
            <w:tcW w:w="8221" w:type="dxa"/>
            <w:tcBorders>
              <w:top w:val="single" w:sz="4" w:space="0" w:color="auto"/>
              <w:left w:val="single" w:sz="4" w:space="0" w:color="auto"/>
              <w:bottom w:val="single" w:sz="4" w:space="0" w:color="auto"/>
              <w:right w:val="single" w:sz="4" w:space="0" w:color="auto"/>
            </w:tcBorders>
            <w:hideMark/>
          </w:tcPr>
          <w:p w14:paraId="3D5FC344" w14:textId="77777777" w:rsidR="00782754" w:rsidRPr="00384923" w:rsidRDefault="00782754" w:rsidP="00782754">
            <w:pPr>
              <w:rPr>
                <w:rFonts w:ascii="Arial" w:hAnsi="Arial" w:cs="Arial"/>
                <w:sz w:val="20"/>
                <w:szCs w:val="20"/>
                <w:lang w:val="fr-BE"/>
              </w:rPr>
            </w:pPr>
            <w:r w:rsidRPr="00384923">
              <w:rPr>
                <w:rFonts w:ascii="Arial" w:hAnsi="Arial" w:cs="Arial"/>
                <w:sz w:val="20"/>
                <w:szCs w:val="20"/>
                <w:lang w:val="fr-BE"/>
              </w:rPr>
              <w:t>Fabrication de produits en caoutchouc et en plastique</w:t>
            </w:r>
          </w:p>
          <w:p w14:paraId="75EC9750" w14:textId="46797DCF" w:rsidR="00782754" w:rsidRPr="00384923" w:rsidRDefault="00782754" w:rsidP="00782754">
            <w:pPr>
              <w:rPr>
                <w:lang w:val="fr-BE"/>
              </w:rPr>
            </w:pPr>
          </w:p>
        </w:tc>
      </w:tr>
      <w:tr w:rsidR="00782754" w:rsidRPr="007F1FE2" w14:paraId="7ECF9065" w14:textId="77777777" w:rsidTr="00A67D09">
        <w:trPr>
          <w:trHeight w:hRule="exact" w:val="301"/>
        </w:trPr>
        <w:tc>
          <w:tcPr>
            <w:tcW w:w="1129" w:type="dxa"/>
            <w:tcBorders>
              <w:top w:val="single" w:sz="4" w:space="0" w:color="auto"/>
              <w:left w:val="single" w:sz="4" w:space="0" w:color="auto"/>
              <w:bottom w:val="single" w:sz="4" w:space="0" w:color="auto"/>
              <w:right w:val="single" w:sz="4" w:space="0" w:color="auto"/>
            </w:tcBorders>
            <w:noWrap/>
            <w:hideMark/>
          </w:tcPr>
          <w:p w14:paraId="13809FD5" w14:textId="77777777" w:rsidR="00782754" w:rsidRPr="00384923" w:rsidRDefault="00782754" w:rsidP="00782754">
            <w:pPr>
              <w:rPr>
                <w:lang w:val="nl-BE"/>
              </w:rPr>
            </w:pPr>
            <w:r w:rsidRPr="00384923">
              <w:rPr>
                <w:lang w:val="nl-BE"/>
              </w:rPr>
              <w:t>23</w:t>
            </w:r>
          </w:p>
        </w:tc>
        <w:tc>
          <w:tcPr>
            <w:tcW w:w="8221" w:type="dxa"/>
            <w:tcBorders>
              <w:top w:val="single" w:sz="4" w:space="0" w:color="auto"/>
              <w:left w:val="single" w:sz="4" w:space="0" w:color="auto"/>
              <w:bottom w:val="single" w:sz="4" w:space="0" w:color="auto"/>
              <w:right w:val="single" w:sz="4" w:space="0" w:color="auto"/>
            </w:tcBorders>
            <w:hideMark/>
          </w:tcPr>
          <w:p w14:paraId="6361FA63" w14:textId="77777777" w:rsidR="00782754" w:rsidRPr="00384923" w:rsidRDefault="00782754" w:rsidP="00782754">
            <w:pPr>
              <w:rPr>
                <w:rFonts w:ascii="Arial" w:hAnsi="Arial" w:cs="Arial"/>
                <w:sz w:val="20"/>
                <w:szCs w:val="20"/>
                <w:lang w:val="fr-BE"/>
              </w:rPr>
            </w:pPr>
            <w:r w:rsidRPr="00384923">
              <w:rPr>
                <w:rFonts w:ascii="Arial" w:hAnsi="Arial" w:cs="Arial"/>
                <w:sz w:val="20"/>
                <w:szCs w:val="20"/>
                <w:lang w:val="fr-BE"/>
              </w:rPr>
              <w:t>Fabrication d'autres produits minéraux non métalliques</w:t>
            </w:r>
          </w:p>
          <w:p w14:paraId="4880587D" w14:textId="34833444" w:rsidR="00782754" w:rsidRPr="00384923" w:rsidRDefault="00782754" w:rsidP="00782754">
            <w:pPr>
              <w:rPr>
                <w:lang w:val="fr-BE"/>
              </w:rPr>
            </w:pPr>
          </w:p>
        </w:tc>
      </w:tr>
      <w:tr w:rsidR="00782754" w:rsidRPr="00384923" w14:paraId="6CDA2670" w14:textId="77777777" w:rsidTr="00A67D09">
        <w:trPr>
          <w:trHeight w:hRule="exact" w:val="301"/>
        </w:trPr>
        <w:tc>
          <w:tcPr>
            <w:tcW w:w="1129" w:type="dxa"/>
            <w:tcBorders>
              <w:top w:val="single" w:sz="4" w:space="0" w:color="auto"/>
              <w:left w:val="single" w:sz="4" w:space="0" w:color="auto"/>
              <w:bottom w:val="single" w:sz="4" w:space="0" w:color="auto"/>
              <w:right w:val="single" w:sz="4" w:space="0" w:color="auto"/>
            </w:tcBorders>
            <w:noWrap/>
            <w:hideMark/>
          </w:tcPr>
          <w:p w14:paraId="7BE35C7D" w14:textId="77777777" w:rsidR="00782754" w:rsidRPr="00384923" w:rsidRDefault="00782754" w:rsidP="00782754">
            <w:pPr>
              <w:rPr>
                <w:lang w:val="nl-BE"/>
              </w:rPr>
            </w:pPr>
            <w:r w:rsidRPr="00384923">
              <w:rPr>
                <w:lang w:val="nl-BE"/>
              </w:rPr>
              <w:t>24</w:t>
            </w:r>
          </w:p>
        </w:tc>
        <w:tc>
          <w:tcPr>
            <w:tcW w:w="8221" w:type="dxa"/>
            <w:tcBorders>
              <w:top w:val="single" w:sz="4" w:space="0" w:color="auto"/>
              <w:left w:val="single" w:sz="4" w:space="0" w:color="auto"/>
              <w:bottom w:val="single" w:sz="4" w:space="0" w:color="auto"/>
              <w:right w:val="single" w:sz="4" w:space="0" w:color="auto"/>
            </w:tcBorders>
            <w:hideMark/>
          </w:tcPr>
          <w:p w14:paraId="3E7D311F" w14:textId="77777777" w:rsidR="00782754" w:rsidRPr="00384923" w:rsidRDefault="00782754" w:rsidP="00782754">
            <w:pPr>
              <w:rPr>
                <w:rFonts w:ascii="Arial" w:hAnsi="Arial" w:cs="Arial"/>
                <w:sz w:val="20"/>
                <w:szCs w:val="20"/>
              </w:rPr>
            </w:pPr>
            <w:proofErr w:type="spellStart"/>
            <w:r w:rsidRPr="00384923">
              <w:rPr>
                <w:rFonts w:ascii="Arial" w:hAnsi="Arial" w:cs="Arial"/>
                <w:sz w:val="20"/>
                <w:szCs w:val="20"/>
              </w:rPr>
              <w:t>Métallurgie</w:t>
            </w:r>
            <w:proofErr w:type="spellEnd"/>
          </w:p>
          <w:p w14:paraId="5C601388" w14:textId="581A5588" w:rsidR="00782754" w:rsidRPr="00384923" w:rsidRDefault="00782754" w:rsidP="00782754">
            <w:pPr>
              <w:rPr>
                <w:lang w:val="nl-BE"/>
              </w:rPr>
            </w:pPr>
          </w:p>
        </w:tc>
      </w:tr>
      <w:tr w:rsidR="00782754" w:rsidRPr="00384923" w14:paraId="09B3A156" w14:textId="77777777" w:rsidTr="00A67D09">
        <w:trPr>
          <w:trHeight w:hRule="exact" w:val="301"/>
        </w:trPr>
        <w:tc>
          <w:tcPr>
            <w:tcW w:w="1129" w:type="dxa"/>
            <w:tcBorders>
              <w:top w:val="single" w:sz="4" w:space="0" w:color="auto"/>
              <w:left w:val="single" w:sz="4" w:space="0" w:color="auto"/>
              <w:bottom w:val="single" w:sz="4" w:space="0" w:color="auto"/>
              <w:right w:val="single" w:sz="4" w:space="0" w:color="auto"/>
            </w:tcBorders>
            <w:noWrap/>
          </w:tcPr>
          <w:p w14:paraId="10D7FBBE" w14:textId="1D758ACC" w:rsidR="00782754" w:rsidRPr="00384923" w:rsidRDefault="00782754" w:rsidP="00782754">
            <w:pPr>
              <w:rPr>
                <w:lang w:val="nl-BE"/>
              </w:rPr>
            </w:pPr>
            <w:r>
              <w:rPr>
                <w:lang w:val="nl-BE"/>
              </w:rPr>
              <w:t>27</w:t>
            </w:r>
          </w:p>
        </w:tc>
        <w:tc>
          <w:tcPr>
            <w:tcW w:w="8221" w:type="dxa"/>
            <w:tcBorders>
              <w:top w:val="single" w:sz="4" w:space="0" w:color="auto"/>
              <w:left w:val="single" w:sz="4" w:space="0" w:color="auto"/>
              <w:bottom w:val="single" w:sz="4" w:space="0" w:color="auto"/>
              <w:right w:val="single" w:sz="4" w:space="0" w:color="auto"/>
            </w:tcBorders>
          </w:tcPr>
          <w:p w14:paraId="48E16384" w14:textId="6FD98A2B" w:rsidR="00782754" w:rsidRPr="00384923" w:rsidRDefault="003C65C8" w:rsidP="00782754">
            <w:pPr>
              <w:rPr>
                <w:rFonts w:ascii="Arial" w:hAnsi="Arial" w:cs="Arial"/>
                <w:sz w:val="20"/>
                <w:szCs w:val="20"/>
              </w:rPr>
            </w:pPr>
            <w:r w:rsidRPr="003C65C8">
              <w:rPr>
                <w:rFonts w:ascii="Arial" w:hAnsi="Arial" w:cs="Arial"/>
                <w:sz w:val="20"/>
                <w:szCs w:val="20"/>
              </w:rPr>
              <w:t xml:space="preserve">Fabrication </w:t>
            </w:r>
            <w:proofErr w:type="spellStart"/>
            <w:r w:rsidRPr="003C65C8">
              <w:rPr>
                <w:rFonts w:ascii="Arial" w:hAnsi="Arial" w:cs="Arial"/>
                <w:sz w:val="20"/>
                <w:szCs w:val="20"/>
              </w:rPr>
              <w:t>d'équipements</w:t>
            </w:r>
            <w:proofErr w:type="spellEnd"/>
            <w:r w:rsidRPr="003C65C8">
              <w:rPr>
                <w:rFonts w:ascii="Arial" w:hAnsi="Arial" w:cs="Arial"/>
                <w:sz w:val="20"/>
                <w:szCs w:val="20"/>
              </w:rPr>
              <w:t xml:space="preserve"> </w:t>
            </w:r>
            <w:proofErr w:type="spellStart"/>
            <w:r w:rsidRPr="003C65C8">
              <w:rPr>
                <w:rFonts w:ascii="Arial" w:hAnsi="Arial" w:cs="Arial"/>
                <w:sz w:val="20"/>
                <w:szCs w:val="20"/>
              </w:rPr>
              <w:t>électriques</w:t>
            </w:r>
            <w:proofErr w:type="spellEnd"/>
          </w:p>
        </w:tc>
      </w:tr>
      <w:tr w:rsidR="00782754" w:rsidRPr="00384923" w14:paraId="47D569ED" w14:textId="77777777" w:rsidTr="00A67D09">
        <w:trPr>
          <w:trHeight w:hRule="exact" w:val="301"/>
        </w:trPr>
        <w:tc>
          <w:tcPr>
            <w:tcW w:w="1129" w:type="dxa"/>
            <w:tcBorders>
              <w:top w:val="single" w:sz="4" w:space="0" w:color="auto"/>
              <w:left w:val="single" w:sz="4" w:space="0" w:color="auto"/>
              <w:bottom w:val="single" w:sz="4" w:space="0" w:color="auto"/>
              <w:right w:val="single" w:sz="4" w:space="0" w:color="auto"/>
            </w:tcBorders>
            <w:noWrap/>
            <w:hideMark/>
          </w:tcPr>
          <w:p w14:paraId="08019552" w14:textId="77777777" w:rsidR="00782754" w:rsidRPr="00384923" w:rsidRDefault="00782754" w:rsidP="00782754">
            <w:pPr>
              <w:rPr>
                <w:lang w:val="nl-BE"/>
              </w:rPr>
            </w:pPr>
            <w:r w:rsidRPr="00384923">
              <w:rPr>
                <w:lang w:val="nl-BE"/>
              </w:rPr>
              <w:t>31</w:t>
            </w:r>
          </w:p>
        </w:tc>
        <w:tc>
          <w:tcPr>
            <w:tcW w:w="8221" w:type="dxa"/>
            <w:tcBorders>
              <w:top w:val="single" w:sz="4" w:space="0" w:color="auto"/>
              <w:left w:val="single" w:sz="4" w:space="0" w:color="auto"/>
              <w:bottom w:val="single" w:sz="4" w:space="0" w:color="auto"/>
              <w:right w:val="single" w:sz="4" w:space="0" w:color="auto"/>
            </w:tcBorders>
            <w:hideMark/>
          </w:tcPr>
          <w:p w14:paraId="0CF73ABA" w14:textId="77777777" w:rsidR="00782754" w:rsidRPr="00384923" w:rsidRDefault="00782754" w:rsidP="00782754">
            <w:pPr>
              <w:rPr>
                <w:rFonts w:ascii="Arial" w:hAnsi="Arial" w:cs="Arial"/>
                <w:sz w:val="20"/>
                <w:szCs w:val="20"/>
              </w:rPr>
            </w:pPr>
            <w:r w:rsidRPr="00384923">
              <w:rPr>
                <w:rFonts w:ascii="Arial" w:hAnsi="Arial" w:cs="Arial"/>
                <w:sz w:val="20"/>
                <w:szCs w:val="20"/>
              </w:rPr>
              <w:t xml:space="preserve">Fabrication de </w:t>
            </w:r>
            <w:proofErr w:type="spellStart"/>
            <w:r w:rsidRPr="00384923">
              <w:rPr>
                <w:rFonts w:ascii="Arial" w:hAnsi="Arial" w:cs="Arial"/>
                <w:sz w:val="20"/>
                <w:szCs w:val="20"/>
              </w:rPr>
              <w:t>meubles</w:t>
            </w:r>
            <w:proofErr w:type="spellEnd"/>
          </w:p>
          <w:p w14:paraId="3FCA1D5E" w14:textId="219FC813" w:rsidR="00782754" w:rsidRPr="00384923" w:rsidRDefault="00782754" w:rsidP="00782754">
            <w:pPr>
              <w:rPr>
                <w:lang w:val="nl-BE"/>
              </w:rPr>
            </w:pPr>
          </w:p>
        </w:tc>
      </w:tr>
      <w:tr w:rsidR="00782754" w:rsidRPr="00384923" w14:paraId="017A47CA" w14:textId="77777777" w:rsidTr="00A67D09">
        <w:trPr>
          <w:trHeight w:hRule="exact" w:val="301"/>
        </w:trPr>
        <w:tc>
          <w:tcPr>
            <w:tcW w:w="1129" w:type="dxa"/>
            <w:tcBorders>
              <w:top w:val="single" w:sz="4" w:space="0" w:color="auto"/>
              <w:left w:val="single" w:sz="4" w:space="0" w:color="auto"/>
              <w:bottom w:val="single" w:sz="4" w:space="0" w:color="auto"/>
              <w:right w:val="single" w:sz="4" w:space="0" w:color="auto"/>
            </w:tcBorders>
            <w:noWrap/>
            <w:hideMark/>
          </w:tcPr>
          <w:p w14:paraId="614D8D93" w14:textId="77777777" w:rsidR="00782754" w:rsidRPr="00384923" w:rsidRDefault="00782754" w:rsidP="00782754">
            <w:pPr>
              <w:rPr>
                <w:lang w:val="nl-BE"/>
              </w:rPr>
            </w:pPr>
            <w:r w:rsidRPr="00384923">
              <w:rPr>
                <w:lang w:val="nl-BE"/>
              </w:rPr>
              <w:t>32</w:t>
            </w:r>
          </w:p>
        </w:tc>
        <w:tc>
          <w:tcPr>
            <w:tcW w:w="8221" w:type="dxa"/>
            <w:tcBorders>
              <w:top w:val="single" w:sz="4" w:space="0" w:color="auto"/>
              <w:left w:val="single" w:sz="4" w:space="0" w:color="auto"/>
              <w:bottom w:val="single" w:sz="4" w:space="0" w:color="auto"/>
              <w:right w:val="single" w:sz="4" w:space="0" w:color="auto"/>
            </w:tcBorders>
            <w:hideMark/>
          </w:tcPr>
          <w:p w14:paraId="67C3FDAC" w14:textId="77777777" w:rsidR="00782754" w:rsidRPr="00384923" w:rsidRDefault="00782754" w:rsidP="00782754">
            <w:pPr>
              <w:rPr>
                <w:rFonts w:ascii="Arial" w:hAnsi="Arial" w:cs="Arial"/>
                <w:sz w:val="20"/>
                <w:szCs w:val="20"/>
              </w:rPr>
            </w:pPr>
            <w:proofErr w:type="spellStart"/>
            <w:r w:rsidRPr="00384923">
              <w:rPr>
                <w:rFonts w:ascii="Arial" w:hAnsi="Arial" w:cs="Arial"/>
                <w:sz w:val="20"/>
                <w:szCs w:val="20"/>
              </w:rPr>
              <w:t>Autres</w:t>
            </w:r>
            <w:proofErr w:type="spellEnd"/>
            <w:r w:rsidRPr="00384923">
              <w:rPr>
                <w:rFonts w:ascii="Arial" w:hAnsi="Arial" w:cs="Arial"/>
                <w:sz w:val="20"/>
                <w:szCs w:val="20"/>
              </w:rPr>
              <w:t xml:space="preserve"> industries </w:t>
            </w:r>
            <w:proofErr w:type="spellStart"/>
            <w:r w:rsidRPr="00384923">
              <w:rPr>
                <w:rFonts w:ascii="Arial" w:hAnsi="Arial" w:cs="Arial"/>
                <w:sz w:val="20"/>
                <w:szCs w:val="20"/>
              </w:rPr>
              <w:t>manufacturières</w:t>
            </w:r>
            <w:proofErr w:type="spellEnd"/>
          </w:p>
          <w:p w14:paraId="773D307E" w14:textId="580764AF" w:rsidR="00782754" w:rsidRPr="00384923" w:rsidRDefault="00782754" w:rsidP="00782754">
            <w:pPr>
              <w:rPr>
                <w:lang w:val="nl-BE"/>
              </w:rPr>
            </w:pPr>
          </w:p>
        </w:tc>
      </w:tr>
      <w:tr w:rsidR="00782754" w:rsidRPr="00384923" w14:paraId="6465FF42" w14:textId="77777777" w:rsidTr="00A67D09">
        <w:trPr>
          <w:trHeight w:hRule="exact" w:val="301"/>
        </w:trPr>
        <w:tc>
          <w:tcPr>
            <w:tcW w:w="1129" w:type="dxa"/>
            <w:tcBorders>
              <w:top w:val="single" w:sz="4" w:space="0" w:color="auto"/>
              <w:left w:val="single" w:sz="4" w:space="0" w:color="auto"/>
              <w:bottom w:val="single" w:sz="4" w:space="0" w:color="auto"/>
              <w:right w:val="single" w:sz="4" w:space="0" w:color="auto"/>
            </w:tcBorders>
            <w:noWrap/>
            <w:hideMark/>
          </w:tcPr>
          <w:p w14:paraId="4B20C728" w14:textId="77777777" w:rsidR="00782754" w:rsidRPr="00384923" w:rsidRDefault="00782754" w:rsidP="00782754">
            <w:pPr>
              <w:rPr>
                <w:lang w:val="nl-BE"/>
              </w:rPr>
            </w:pPr>
            <w:r w:rsidRPr="00384923">
              <w:rPr>
                <w:lang w:val="nl-BE"/>
              </w:rPr>
              <w:t>43</w:t>
            </w:r>
          </w:p>
        </w:tc>
        <w:tc>
          <w:tcPr>
            <w:tcW w:w="8221" w:type="dxa"/>
            <w:tcBorders>
              <w:top w:val="single" w:sz="4" w:space="0" w:color="auto"/>
              <w:left w:val="single" w:sz="4" w:space="0" w:color="auto"/>
              <w:bottom w:val="single" w:sz="4" w:space="0" w:color="auto"/>
              <w:right w:val="single" w:sz="4" w:space="0" w:color="auto"/>
            </w:tcBorders>
            <w:hideMark/>
          </w:tcPr>
          <w:p w14:paraId="75D9AA4C" w14:textId="77777777" w:rsidR="00782754" w:rsidRPr="00384923" w:rsidRDefault="00782754" w:rsidP="00782754">
            <w:pPr>
              <w:rPr>
                <w:rFonts w:ascii="Arial" w:hAnsi="Arial" w:cs="Arial"/>
                <w:sz w:val="20"/>
                <w:szCs w:val="20"/>
              </w:rPr>
            </w:pPr>
            <w:r w:rsidRPr="00384923">
              <w:rPr>
                <w:rFonts w:ascii="Arial" w:hAnsi="Arial" w:cs="Arial"/>
                <w:sz w:val="20"/>
                <w:szCs w:val="20"/>
              </w:rPr>
              <w:t xml:space="preserve">Travaux de construction </w:t>
            </w:r>
            <w:proofErr w:type="spellStart"/>
            <w:r w:rsidRPr="00384923">
              <w:rPr>
                <w:rFonts w:ascii="Arial" w:hAnsi="Arial" w:cs="Arial"/>
                <w:sz w:val="20"/>
                <w:szCs w:val="20"/>
              </w:rPr>
              <w:t>spécialisés</w:t>
            </w:r>
            <w:proofErr w:type="spellEnd"/>
          </w:p>
          <w:p w14:paraId="43851AE8" w14:textId="157B1EAA" w:rsidR="00782754" w:rsidRPr="00384923" w:rsidRDefault="00782754" w:rsidP="00782754">
            <w:pPr>
              <w:rPr>
                <w:lang w:val="nl-BE"/>
              </w:rPr>
            </w:pPr>
          </w:p>
        </w:tc>
      </w:tr>
      <w:tr w:rsidR="00782754" w:rsidRPr="007F1FE2" w14:paraId="603E4695" w14:textId="77777777" w:rsidTr="00B76985">
        <w:trPr>
          <w:trHeight w:hRule="exact" w:val="313"/>
        </w:trPr>
        <w:tc>
          <w:tcPr>
            <w:tcW w:w="1129" w:type="dxa"/>
            <w:tcBorders>
              <w:top w:val="single" w:sz="4" w:space="0" w:color="auto"/>
              <w:left w:val="single" w:sz="4" w:space="0" w:color="auto"/>
              <w:bottom w:val="single" w:sz="4" w:space="0" w:color="auto"/>
              <w:right w:val="single" w:sz="4" w:space="0" w:color="auto"/>
            </w:tcBorders>
            <w:noWrap/>
            <w:hideMark/>
          </w:tcPr>
          <w:p w14:paraId="37FE8408" w14:textId="77777777" w:rsidR="00782754" w:rsidRPr="00384923" w:rsidRDefault="00782754" w:rsidP="00782754">
            <w:pPr>
              <w:rPr>
                <w:lang w:val="nl-BE"/>
              </w:rPr>
            </w:pPr>
            <w:r w:rsidRPr="00384923">
              <w:rPr>
                <w:lang w:val="nl-BE"/>
              </w:rPr>
              <w:t>46</w:t>
            </w:r>
          </w:p>
        </w:tc>
        <w:tc>
          <w:tcPr>
            <w:tcW w:w="8221" w:type="dxa"/>
            <w:tcBorders>
              <w:top w:val="single" w:sz="4" w:space="0" w:color="auto"/>
              <w:left w:val="single" w:sz="4" w:space="0" w:color="auto"/>
              <w:bottom w:val="single" w:sz="4" w:space="0" w:color="auto"/>
              <w:right w:val="single" w:sz="4" w:space="0" w:color="auto"/>
            </w:tcBorders>
            <w:hideMark/>
          </w:tcPr>
          <w:p w14:paraId="3A1C06D1" w14:textId="5A4B3D46" w:rsidR="00782754" w:rsidRPr="00384923" w:rsidRDefault="00782754" w:rsidP="00782754">
            <w:pPr>
              <w:rPr>
                <w:rFonts w:ascii="Arial" w:hAnsi="Arial" w:cs="Arial"/>
                <w:sz w:val="20"/>
                <w:szCs w:val="20"/>
                <w:lang w:val="fr-BE"/>
              </w:rPr>
            </w:pPr>
            <w:r w:rsidRPr="00384923">
              <w:rPr>
                <w:rFonts w:ascii="Arial" w:hAnsi="Arial" w:cs="Arial"/>
                <w:sz w:val="20"/>
                <w:szCs w:val="20"/>
                <w:lang w:val="fr-BE"/>
              </w:rPr>
              <w:t>Commerce de gros, à l'exception des véhicules automobiles et des motocycles</w:t>
            </w:r>
          </w:p>
        </w:tc>
      </w:tr>
      <w:tr w:rsidR="00782754" w:rsidRPr="007F1FE2" w14:paraId="4DC1E885" w14:textId="77777777" w:rsidTr="00A67D09">
        <w:trPr>
          <w:trHeight w:hRule="exact" w:val="301"/>
        </w:trPr>
        <w:tc>
          <w:tcPr>
            <w:tcW w:w="1129" w:type="dxa"/>
            <w:tcBorders>
              <w:top w:val="single" w:sz="4" w:space="0" w:color="auto"/>
              <w:left w:val="single" w:sz="4" w:space="0" w:color="auto"/>
              <w:bottom w:val="single" w:sz="4" w:space="0" w:color="auto"/>
              <w:right w:val="single" w:sz="4" w:space="0" w:color="auto"/>
            </w:tcBorders>
            <w:noWrap/>
            <w:hideMark/>
          </w:tcPr>
          <w:p w14:paraId="5026A6FB" w14:textId="77777777" w:rsidR="00782754" w:rsidRPr="00384923" w:rsidRDefault="00782754" w:rsidP="00782754">
            <w:pPr>
              <w:rPr>
                <w:lang w:val="nl-BE"/>
              </w:rPr>
            </w:pPr>
            <w:r w:rsidRPr="00384923">
              <w:rPr>
                <w:lang w:val="nl-BE"/>
              </w:rPr>
              <w:t>47</w:t>
            </w:r>
          </w:p>
        </w:tc>
        <w:tc>
          <w:tcPr>
            <w:tcW w:w="8221" w:type="dxa"/>
            <w:tcBorders>
              <w:top w:val="single" w:sz="4" w:space="0" w:color="auto"/>
              <w:left w:val="single" w:sz="4" w:space="0" w:color="auto"/>
              <w:bottom w:val="single" w:sz="4" w:space="0" w:color="auto"/>
              <w:right w:val="single" w:sz="4" w:space="0" w:color="auto"/>
            </w:tcBorders>
            <w:hideMark/>
          </w:tcPr>
          <w:p w14:paraId="5D8B9582" w14:textId="77777777" w:rsidR="00782754" w:rsidRPr="00384923" w:rsidRDefault="00782754" w:rsidP="00782754">
            <w:pPr>
              <w:rPr>
                <w:rFonts w:ascii="Arial" w:hAnsi="Arial" w:cs="Arial"/>
                <w:sz w:val="20"/>
                <w:szCs w:val="20"/>
                <w:lang w:val="fr-BE"/>
              </w:rPr>
            </w:pPr>
            <w:r w:rsidRPr="00384923">
              <w:rPr>
                <w:rFonts w:ascii="Arial" w:hAnsi="Arial" w:cs="Arial"/>
                <w:sz w:val="20"/>
                <w:szCs w:val="20"/>
                <w:lang w:val="fr-BE"/>
              </w:rPr>
              <w:t>Commerce de détail, à l'exception des véhicules automobiles et des motocycles</w:t>
            </w:r>
          </w:p>
          <w:p w14:paraId="75E0D7C0" w14:textId="1E8A8FC1" w:rsidR="00782754" w:rsidRPr="00384923" w:rsidRDefault="00782754" w:rsidP="00782754">
            <w:pPr>
              <w:rPr>
                <w:lang w:val="fr-BE"/>
              </w:rPr>
            </w:pPr>
          </w:p>
        </w:tc>
      </w:tr>
      <w:tr w:rsidR="00782754" w:rsidRPr="007F1FE2" w14:paraId="78ECE4D8" w14:textId="77777777" w:rsidTr="00A67D09">
        <w:trPr>
          <w:trHeight w:hRule="exact" w:val="301"/>
        </w:trPr>
        <w:tc>
          <w:tcPr>
            <w:tcW w:w="1129" w:type="dxa"/>
            <w:tcBorders>
              <w:top w:val="single" w:sz="4" w:space="0" w:color="auto"/>
              <w:left w:val="single" w:sz="4" w:space="0" w:color="auto"/>
              <w:bottom w:val="single" w:sz="4" w:space="0" w:color="auto"/>
              <w:right w:val="single" w:sz="4" w:space="0" w:color="auto"/>
            </w:tcBorders>
            <w:noWrap/>
            <w:hideMark/>
          </w:tcPr>
          <w:p w14:paraId="23021541" w14:textId="77777777" w:rsidR="00782754" w:rsidRPr="00384923" w:rsidRDefault="00782754" w:rsidP="00782754">
            <w:pPr>
              <w:rPr>
                <w:lang w:val="nl-BE"/>
              </w:rPr>
            </w:pPr>
            <w:r w:rsidRPr="00384923">
              <w:rPr>
                <w:lang w:val="nl-BE"/>
              </w:rPr>
              <w:t>52</w:t>
            </w:r>
          </w:p>
        </w:tc>
        <w:tc>
          <w:tcPr>
            <w:tcW w:w="8221" w:type="dxa"/>
            <w:tcBorders>
              <w:top w:val="single" w:sz="4" w:space="0" w:color="auto"/>
              <w:left w:val="single" w:sz="4" w:space="0" w:color="auto"/>
              <w:bottom w:val="single" w:sz="4" w:space="0" w:color="auto"/>
              <w:right w:val="single" w:sz="4" w:space="0" w:color="auto"/>
            </w:tcBorders>
            <w:hideMark/>
          </w:tcPr>
          <w:p w14:paraId="37846424" w14:textId="77777777" w:rsidR="00782754" w:rsidRPr="00384923" w:rsidRDefault="00782754" w:rsidP="00782754">
            <w:pPr>
              <w:rPr>
                <w:rFonts w:ascii="Arial" w:hAnsi="Arial" w:cs="Arial"/>
                <w:sz w:val="20"/>
                <w:szCs w:val="20"/>
                <w:lang w:val="fr-BE"/>
              </w:rPr>
            </w:pPr>
            <w:r w:rsidRPr="00384923">
              <w:rPr>
                <w:rFonts w:ascii="Arial" w:hAnsi="Arial" w:cs="Arial"/>
                <w:sz w:val="20"/>
                <w:szCs w:val="20"/>
                <w:lang w:val="fr-BE"/>
              </w:rPr>
              <w:t>Entreposage et services auxiliaires des transports</w:t>
            </w:r>
          </w:p>
          <w:p w14:paraId="21F61769" w14:textId="644C52A1" w:rsidR="00782754" w:rsidRPr="00384923" w:rsidRDefault="00782754" w:rsidP="00782754">
            <w:pPr>
              <w:rPr>
                <w:lang w:val="fr-BE"/>
              </w:rPr>
            </w:pPr>
          </w:p>
        </w:tc>
      </w:tr>
      <w:tr w:rsidR="00782754" w:rsidRPr="00384923" w14:paraId="287C0FAD" w14:textId="77777777" w:rsidTr="00A67D09">
        <w:trPr>
          <w:trHeight w:hRule="exact" w:val="301"/>
        </w:trPr>
        <w:tc>
          <w:tcPr>
            <w:tcW w:w="1129" w:type="dxa"/>
            <w:tcBorders>
              <w:top w:val="single" w:sz="4" w:space="0" w:color="auto"/>
              <w:left w:val="single" w:sz="4" w:space="0" w:color="auto"/>
              <w:bottom w:val="single" w:sz="4" w:space="0" w:color="auto"/>
              <w:right w:val="single" w:sz="4" w:space="0" w:color="auto"/>
            </w:tcBorders>
            <w:noWrap/>
            <w:hideMark/>
          </w:tcPr>
          <w:p w14:paraId="33141A2C" w14:textId="77777777" w:rsidR="00782754" w:rsidRPr="00384923" w:rsidRDefault="00782754" w:rsidP="00782754">
            <w:pPr>
              <w:rPr>
                <w:lang w:val="nl-BE"/>
              </w:rPr>
            </w:pPr>
            <w:r w:rsidRPr="00384923">
              <w:rPr>
                <w:lang w:val="nl-BE"/>
              </w:rPr>
              <w:t>69</w:t>
            </w:r>
          </w:p>
        </w:tc>
        <w:tc>
          <w:tcPr>
            <w:tcW w:w="8221" w:type="dxa"/>
            <w:tcBorders>
              <w:top w:val="single" w:sz="4" w:space="0" w:color="auto"/>
              <w:left w:val="single" w:sz="4" w:space="0" w:color="auto"/>
              <w:bottom w:val="single" w:sz="4" w:space="0" w:color="auto"/>
              <w:right w:val="single" w:sz="4" w:space="0" w:color="auto"/>
            </w:tcBorders>
            <w:hideMark/>
          </w:tcPr>
          <w:p w14:paraId="27FBFE39" w14:textId="77777777" w:rsidR="00782754" w:rsidRPr="00384923" w:rsidRDefault="00782754" w:rsidP="00782754">
            <w:pPr>
              <w:rPr>
                <w:rFonts w:ascii="Arial" w:hAnsi="Arial" w:cs="Arial"/>
                <w:sz w:val="20"/>
                <w:szCs w:val="20"/>
              </w:rPr>
            </w:pPr>
            <w:proofErr w:type="spellStart"/>
            <w:r w:rsidRPr="00384923">
              <w:rPr>
                <w:rFonts w:ascii="Arial" w:hAnsi="Arial" w:cs="Arial"/>
                <w:sz w:val="20"/>
                <w:szCs w:val="20"/>
              </w:rPr>
              <w:t>Activités</w:t>
            </w:r>
            <w:proofErr w:type="spellEnd"/>
            <w:r w:rsidRPr="00384923">
              <w:rPr>
                <w:rFonts w:ascii="Arial" w:hAnsi="Arial" w:cs="Arial"/>
                <w:sz w:val="20"/>
                <w:szCs w:val="20"/>
              </w:rPr>
              <w:t xml:space="preserve"> </w:t>
            </w:r>
            <w:proofErr w:type="spellStart"/>
            <w:r w:rsidRPr="00384923">
              <w:rPr>
                <w:rFonts w:ascii="Arial" w:hAnsi="Arial" w:cs="Arial"/>
                <w:sz w:val="20"/>
                <w:szCs w:val="20"/>
              </w:rPr>
              <w:t>juridiques</w:t>
            </w:r>
            <w:proofErr w:type="spellEnd"/>
            <w:r w:rsidRPr="00384923">
              <w:rPr>
                <w:rFonts w:ascii="Arial" w:hAnsi="Arial" w:cs="Arial"/>
                <w:sz w:val="20"/>
                <w:szCs w:val="20"/>
              </w:rPr>
              <w:t xml:space="preserve"> et </w:t>
            </w:r>
            <w:proofErr w:type="spellStart"/>
            <w:r w:rsidRPr="00384923">
              <w:rPr>
                <w:rFonts w:ascii="Arial" w:hAnsi="Arial" w:cs="Arial"/>
                <w:sz w:val="20"/>
                <w:szCs w:val="20"/>
              </w:rPr>
              <w:t>comptables</w:t>
            </w:r>
            <w:proofErr w:type="spellEnd"/>
          </w:p>
          <w:p w14:paraId="253CCC73" w14:textId="60D276E6" w:rsidR="00782754" w:rsidRPr="00384923" w:rsidRDefault="00782754" w:rsidP="00782754">
            <w:pPr>
              <w:rPr>
                <w:lang w:val="nl-BE"/>
              </w:rPr>
            </w:pPr>
          </w:p>
        </w:tc>
      </w:tr>
      <w:tr w:rsidR="00782754" w:rsidRPr="007F1FE2" w14:paraId="1A9BCFB2" w14:textId="77777777" w:rsidTr="00A67D09">
        <w:trPr>
          <w:trHeight w:hRule="exact" w:val="301"/>
        </w:trPr>
        <w:tc>
          <w:tcPr>
            <w:tcW w:w="1129" w:type="dxa"/>
            <w:tcBorders>
              <w:top w:val="single" w:sz="4" w:space="0" w:color="auto"/>
              <w:left w:val="single" w:sz="4" w:space="0" w:color="auto"/>
              <w:bottom w:val="single" w:sz="4" w:space="0" w:color="auto"/>
              <w:right w:val="single" w:sz="4" w:space="0" w:color="auto"/>
            </w:tcBorders>
            <w:noWrap/>
          </w:tcPr>
          <w:p w14:paraId="71C96ACE" w14:textId="2D8C4078" w:rsidR="00782754" w:rsidRPr="00384923" w:rsidRDefault="00782754" w:rsidP="00782754">
            <w:pPr>
              <w:rPr>
                <w:lang w:val="nl-BE"/>
              </w:rPr>
            </w:pPr>
            <w:r>
              <w:rPr>
                <w:lang w:val="nl-BE"/>
              </w:rPr>
              <w:t>70</w:t>
            </w:r>
          </w:p>
        </w:tc>
        <w:tc>
          <w:tcPr>
            <w:tcW w:w="8221" w:type="dxa"/>
            <w:tcBorders>
              <w:top w:val="single" w:sz="4" w:space="0" w:color="auto"/>
              <w:left w:val="single" w:sz="4" w:space="0" w:color="auto"/>
              <w:bottom w:val="single" w:sz="4" w:space="0" w:color="auto"/>
              <w:right w:val="single" w:sz="4" w:space="0" w:color="auto"/>
            </w:tcBorders>
          </w:tcPr>
          <w:p w14:paraId="57134DC8" w14:textId="698CDFA7" w:rsidR="00782754" w:rsidRPr="003B5AC1" w:rsidRDefault="00782754" w:rsidP="00782754">
            <w:pPr>
              <w:rPr>
                <w:rFonts w:ascii="Arial" w:hAnsi="Arial" w:cs="Arial"/>
                <w:sz w:val="20"/>
                <w:szCs w:val="20"/>
                <w:lang w:val="fr-BE"/>
              </w:rPr>
            </w:pPr>
            <w:r w:rsidRPr="003B5AC1">
              <w:rPr>
                <w:rFonts w:ascii="Arial" w:hAnsi="Arial" w:cs="Arial"/>
                <w:sz w:val="20"/>
                <w:szCs w:val="20"/>
                <w:lang w:val="fr-BE"/>
              </w:rPr>
              <w:t>Activités des sièges sociaux; conseil de gestion</w:t>
            </w:r>
          </w:p>
        </w:tc>
      </w:tr>
      <w:tr w:rsidR="00782754" w:rsidRPr="00384923" w14:paraId="1E8DB7D6" w14:textId="77777777" w:rsidTr="00A67D09">
        <w:trPr>
          <w:trHeight w:hRule="exact" w:val="301"/>
        </w:trPr>
        <w:tc>
          <w:tcPr>
            <w:tcW w:w="1129" w:type="dxa"/>
            <w:tcBorders>
              <w:top w:val="single" w:sz="4" w:space="0" w:color="auto"/>
              <w:left w:val="single" w:sz="4" w:space="0" w:color="auto"/>
              <w:bottom w:val="single" w:sz="4" w:space="0" w:color="auto"/>
              <w:right w:val="single" w:sz="4" w:space="0" w:color="auto"/>
            </w:tcBorders>
            <w:noWrap/>
            <w:hideMark/>
          </w:tcPr>
          <w:p w14:paraId="3A7226A8" w14:textId="77777777" w:rsidR="00782754" w:rsidRPr="00384923" w:rsidRDefault="00782754" w:rsidP="00782754">
            <w:pPr>
              <w:rPr>
                <w:lang w:val="nl-BE"/>
              </w:rPr>
            </w:pPr>
            <w:r w:rsidRPr="00384923">
              <w:rPr>
                <w:lang w:val="nl-BE"/>
              </w:rPr>
              <w:t>72</w:t>
            </w:r>
          </w:p>
        </w:tc>
        <w:tc>
          <w:tcPr>
            <w:tcW w:w="8221" w:type="dxa"/>
            <w:tcBorders>
              <w:top w:val="single" w:sz="4" w:space="0" w:color="auto"/>
              <w:left w:val="single" w:sz="4" w:space="0" w:color="auto"/>
              <w:bottom w:val="single" w:sz="4" w:space="0" w:color="auto"/>
              <w:right w:val="single" w:sz="4" w:space="0" w:color="auto"/>
            </w:tcBorders>
            <w:hideMark/>
          </w:tcPr>
          <w:p w14:paraId="1F218C5A" w14:textId="77777777" w:rsidR="00782754" w:rsidRPr="00384923" w:rsidRDefault="00782754" w:rsidP="00782754">
            <w:pPr>
              <w:rPr>
                <w:rFonts w:ascii="Arial" w:hAnsi="Arial" w:cs="Arial"/>
                <w:sz w:val="20"/>
                <w:szCs w:val="20"/>
              </w:rPr>
            </w:pPr>
            <w:r w:rsidRPr="00384923">
              <w:rPr>
                <w:rFonts w:ascii="Arial" w:hAnsi="Arial" w:cs="Arial"/>
                <w:sz w:val="20"/>
                <w:szCs w:val="20"/>
              </w:rPr>
              <w:t>Recherche-</w:t>
            </w:r>
            <w:proofErr w:type="spellStart"/>
            <w:r w:rsidRPr="00384923">
              <w:rPr>
                <w:rFonts w:ascii="Arial" w:hAnsi="Arial" w:cs="Arial"/>
                <w:sz w:val="20"/>
                <w:szCs w:val="20"/>
              </w:rPr>
              <w:t>développement</w:t>
            </w:r>
            <w:proofErr w:type="spellEnd"/>
            <w:r w:rsidRPr="00384923">
              <w:rPr>
                <w:rFonts w:ascii="Arial" w:hAnsi="Arial" w:cs="Arial"/>
                <w:sz w:val="20"/>
                <w:szCs w:val="20"/>
              </w:rPr>
              <w:t xml:space="preserve"> </w:t>
            </w:r>
            <w:proofErr w:type="spellStart"/>
            <w:r w:rsidRPr="00384923">
              <w:rPr>
                <w:rFonts w:ascii="Arial" w:hAnsi="Arial" w:cs="Arial"/>
                <w:sz w:val="20"/>
                <w:szCs w:val="20"/>
              </w:rPr>
              <w:t>scientifique</w:t>
            </w:r>
            <w:proofErr w:type="spellEnd"/>
          </w:p>
          <w:p w14:paraId="4841C775" w14:textId="1A8B3C36" w:rsidR="00782754" w:rsidRPr="00384923" w:rsidRDefault="00782754" w:rsidP="00782754">
            <w:pPr>
              <w:rPr>
                <w:lang w:val="nl-BE"/>
              </w:rPr>
            </w:pPr>
          </w:p>
        </w:tc>
      </w:tr>
      <w:tr w:rsidR="00782754" w:rsidRPr="007F1FE2" w14:paraId="6BA23AB4" w14:textId="77777777" w:rsidTr="00A67D09">
        <w:trPr>
          <w:trHeight w:hRule="exact" w:val="301"/>
        </w:trPr>
        <w:tc>
          <w:tcPr>
            <w:tcW w:w="1129" w:type="dxa"/>
            <w:tcBorders>
              <w:top w:val="single" w:sz="4" w:space="0" w:color="auto"/>
              <w:left w:val="single" w:sz="4" w:space="0" w:color="auto"/>
              <w:bottom w:val="single" w:sz="4" w:space="0" w:color="auto"/>
              <w:right w:val="single" w:sz="4" w:space="0" w:color="auto"/>
            </w:tcBorders>
            <w:noWrap/>
            <w:hideMark/>
          </w:tcPr>
          <w:p w14:paraId="3DD24889" w14:textId="77777777" w:rsidR="00782754" w:rsidRPr="00384923" w:rsidRDefault="00782754" w:rsidP="00782754">
            <w:pPr>
              <w:rPr>
                <w:lang w:val="nl-BE"/>
              </w:rPr>
            </w:pPr>
            <w:r w:rsidRPr="00384923">
              <w:rPr>
                <w:lang w:val="nl-BE"/>
              </w:rPr>
              <w:t>74</w:t>
            </w:r>
          </w:p>
        </w:tc>
        <w:tc>
          <w:tcPr>
            <w:tcW w:w="8221" w:type="dxa"/>
            <w:tcBorders>
              <w:top w:val="single" w:sz="4" w:space="0" w:color="auto"/>
              <w:left w:val="single" w:sz="4" w:space="0" w:color="auto"/>
              <w:bottom w:val="single" w:sz="4" w:space="0" w:color="auto"/>
              <w:right w:val="single" w:sz="4" w:space="0" w:color="auto"/>
            </w:tcBorders>
            <w:hideMark/>
          </w:tcPr>
          <w:p w14:paraId="62D4E86E" w14:textId="77777777" w:rsidR="00782754" w:rsidRPr="00384923" w:rsidRDefault="00782754" w:rsidP="00782754">
            <w:pPr>
              <w:rPr>
                <w:rFonts w:ascii="Arial" w:hAnsi="Arial" w:cs="Arial"/>
                <w:sz w:val="20"/>
                <w:szCs w:val="20"/>
                <w:lang w:val="fr-BE"/>
              </w:rPr>
            </w:pPr>
            <w:r w:rsidRPr="00384923">
              <w:rPr>
                <w:rFonts w:ascii="Arial" w:hAnsi="Arial" w:cs="Arial"/>
                <w:sz w:val="20"/>
                <w:szCs w:val="20"/>
                <w:lang w:val="fr-BE"/>
              </w:rPr>
              <w:t>Autres activités spécialisées, scientifiques et techniques</w:t>
            </w:r>
          </w:p>
          <w:p w14:paraId="473587A9" w14:textId="77BB430C" w:rsidR="00782754" w:rsidRPr="00384923" w:rsidRDefault="00782754" w:rsidP="00782754">
            <w:pPr>
              <w:rPr>
                <w:lang w:val="fr-BE"/>
              </w:rPr>
            </w:pPr>
          </w:p>
        </w:tc>
      </w:tr>
      <w:tr w:rsidR="00782754" w:rsidRPr="007F1FE2" w14:paraId="0CB84D69" w14:textId="77777777" w:rsidTr="00A67D09">
        <w:trPr>
          <w:trHeight w:hRule="exact" w:val="301"/>
        </w:trPr>
        <w:tc>
          <w:tcPr>
            <w:tcW w:w="1129" w:type="dxa"/>
            <w:tcBorders>
              <w:top w:val="single" w:sz="4" w:space="0" w:color="auto"/>
              <w:left w:val="single" w:sz="4" w:space="0" w:color="auto"/>
              <w:bottom w:val="single" w:sz="4" w:space="0" w:color="auto"/>
              <w:right w:val="single" w:sz="4" w:space="0" w:color="auto"/>
            </w:tcBorders>
            <w:noWrap/>
          </w:tcPr>
          <w:p w14:paraId="4EB9406A" w14:textId="306EABAE" w:rsidR="00782754" w:rsidRPr="00384923" w:rsidRDefault="00782754" w:rsidP="00782754">
            <w:pPr>
              <w:rPr>
                <w:lang w:val="nl-BE"/>
              </w:rPr>
            </w:pPr>
            <w:r>
              <w:rPr>
                <w:lang w:val="nl-BE"/>
              </w:rPr>
              <w:t>81</w:t>
            </w:r>
          </w:p>
        </w:tc>
        <w:tc>
          <w:tcPr>
            <w:tcW w:w="8221" w:type="dxa"/>
            <w:tcBorders>
              <w:top w:val="single" w:sz="4" w:space="0" w:color="auto"/>
              <w:left w:val="single" w:sz="4" w:space="0" w:color="auto"/>
              <w:bottom w:val="single" w:sz="4" w:space="0" w:color="auto"/>
              <w:right w:val="single" w:sz="4" w:space="0" w:color="auto"/>
            </w:tcBorders>
          </w:tcPr>
          <w:p w14:paraId="33E9002B" w14:textId="6F58874C" w:rsidR="00782754" w:rsidRPr="00384923" w:rsidRDefault="00782754" w:rsidP="00782754">
            <w:pPr>
              <w:rPr>
                <w:rFonts w:ascii="Arial" w:hAnsi="Arial" w:cs="Arial"/>
                <w:sz w:val="20"/>
                <w:szCs w:val="20"/>
                <w:lang w:val="fr-BE"/>
              </w:rPr>
            </w:pPr>
            <w:r w:rsidRPr="00746E0B">
              <w:rPr>
                <w:rFonts w:ascii="Arial" w:hAnsi="Arial" w:cs="Arial"/>
                <w:sz w:val="20"/>
                <w:szCs w:val="20"/>
                <w:lang w:val="fr-BE"/>
              </w:rPr>
              <w:t>Services relatifs aux bâtiments; aménagement paysager</w:t>
            </w:r>
          </w:p>
        </w:tc>
      </w:tr>
      <w:tr w:rsidR="00782754" w:rsidRPr="007F1FE2" w14:paraId="42946B56" w14:textId="77777777" w:rsidTr="00B76985">
        <w:trPr>
          <w:trHeight w:hRule="exact" w:val="353"/>
        </w:trPr>
        <w:tc>
          <w:tcPr>
            <w:tcW w:w="1129" w:type="dxa"/>
            <w:tcBorders>
              <w:top w:val="single" w:sz="4" w:space="0" w:color="auto"/>
              <w:left w:val="single" w:sz="4" w:space="0" w:color="auto"/>
              <w:bottom w:val="single" w:sz="4" w:space="0" w:color="auto"/>
              <w:right w:val="single" w:sz="4" w:space="0" w:color="auto"/>
            </w:tcBorders>
            <w:noWrap/>
            <w:hideMark/>
          </w:tcPr>
          <w:p w14:paraId="49B30333" w14:textId="77777777" w:rsidR="00782754" w:rsidRPr="00384923" w:rsidRDefault="00782754" w:rsidP="00782754">
            <w:pPr>
              <w:rPr>
                <w:lang w:val="nl-BE"/>
              </w:rPr>
            </w:pPr>
            <w:r w:rsidRPr="00384923">
              <w:rPr>
                <w:lang w:val="nl-BE"/>
              </w:rPr>
              <w:t>82</w:t>
            </w:r>
          </w:p>
        </w:tc>
        <w:tc>
          <w:tcPr>
            <w:tcW w:w="8221" w:type="dxa"/>
            <w:tcBorders>
              <w:top w:val="single" w:sz="4" w:space="0" w:color="auto"/>
              <w:left w:val="single" w:sz="4" w:space="0" w:color="auto"/>
              <w:bottom w:val="single" w:sz="4" w:space="0" w:color="auto"/>
              <w:right w:val="single" w:sz="4" w:space="0" w:color="auto"/>
            </w:tcBorders>
            <w:hideMark/>
          </w:tcPr>
          <w:p w14:paraId="738EA672" w14:textId="42EFF69E" w:rsidR="00782754" w:rsidRPr="00384923" w:rsidRDefault="00782754" w:rsidP="00782754">
            <w:pPr>
              <w:rPr>
                <w:rFonts w:ascii="Arial" w:hAnsi="Arial" w:cs="Arial"/>
                <w:sz w:val="20"/>
                <w:szCs w:val="20"/>
                <w:lang w:val="fr-BE"/>
              </w:rPr>
            </w:pPr>
            <w:r w:rsidRPr="00384923">
              <w:rPr>
                <w:rFonts w:ascii="Arial" w:hAnsi="Arial" w:cs="Arial"/>
                <w:sz w:val="20"/>
                <w:szCs w:val="20"/>
                <w:lang w:val="fr-BE"/>
              </w:rPr>
              <w:t>Services administratifs de bureau et autres activités de soutien aux entreprises</w:t>
            </w:r>
          </w:p>
        </w:tc>
      </w:tr>
      <w:tr w:rsidR="00782754" w:rsidRPr="007F1FE2" w14:paraId="674D5C4A" w14:textId="77777777" w:rsidTr="00B76985">
        <w:trPr>
          <w:trHeight w:hRule="exact" w:val="353"/>
        </w:trPr>
        <w:tc>
          <w:tcPr>
            <w:tcW w:w="1129" w:type="dxa"/>
            <w:tcBorders>
              <w:top w:val="single" w:sz="4" w:space="0" w:color="auto"/>
              <w:left w:val="single" w:sz="4" w:space="0" w:color="auto"/>
              <w:bottom w:val="single" w:sz="4" w:space="0" w:color="auto"/>
              <w:right w:val="single" w:sz="4" w:space="0" w:color="auto"/>
            </w:tcBorders>
            <w:noWrap/>
          </w:tcPr>
          <w:p w14:paraId="5F594845" w14:textId="616845BC" w:rsidR="00782754" w:rsidRPr="00384923" w:rsidRDefault="00782754" w:rsidP="00782754">
            <w:pPr>
              <w:rPr>
                <w:lang w:val="nl-BE"/>
              </w:rPr>
            </w:pPr>
            <w:r>
              <w:rPr>
                <w:lang w:val="nl-BE"/>
              </w:rPr>
              <w:t>86</w:t>
            </w:r>
          </w:p>
        </w:tc>
        <w:tc>
          <w:tcPr>
            <w:tcW w:w="8221" w:type="dxa"/>
            <w:tcBorders>
              <w:top w:val="single" w:sz="4" w:space="0" w:color="auto"/>
              <w:left w:val="single" w:sz="4" w:space="0" w:color="auto"/>
              <w:bottom w:val="single" w:sz="4" w:space="0" w:color="auto"/>
              <w:right w:val="single" w:sz="4" w:space="0" w:color="auto"/>
            </w:tcBorders>
          </w:tcPr>
          <w:p w14:paraId="7F3675AD" w14:textId="2CCEAD3A" w:rsidR="00782754" w:rsidRPr="00384923" w:rsidRDefault="003C65C8" w:rsidP="00782754">
            <w:pPr>
              <w:rPr>
                <w:rFonts w:ascii="Arial" w:hAnsi="Arial" w:cs="Arial"/>
                <w:sz w:val="20"/>
                <w:szCs w:val="20"/>
                <w:lang w:val="fr-BE"/>
              </w:rPr>
            </w:pPr>
            <w:r w:rsidRPr="003C65C8">
              <w:rPr>
                <w:rFonts w:ascii="Arial" w:hAnsi="Arial" w:cs="Arial"/>
                <w:sz w:val="20"/>
                <w:szCs w:val="20"/>
                <w:lang w:val="fr-BE"/>
              </w:rPr>
              <w:t>Activités pour la santé humaine</w:t>
            </w:r>
          </w:p>
        </w:tc>
      </w:tr>
      <w:tr w:rsidR="00782754" w:rsidRPr="00384923" w14:paraId="4461B65A" w14:textId="77777777" w:rsidTr="00A67D09">
        <w:trPr>
          <w:trHeight w:hRule="exact" w:val="301"/>
        </w:trPr>
        <w:tc>
          <w:tcPr>
            <w:tcW w:w="1129" w:type="dxa"/>
            <w:tcBorders>
              <w:top w:val="single" w:sz="4" w:space="0" w:color="auto"/>
              <w:left w:val="single" w:sz="4" w:space="0" w:color="auto"/>
              <w:bottom w:val="single" w:sz="4" w:space="0" w:color="auto"/>
              <w:right w:val="single" w:sz="4" w:space="0" w:color="auto"/>
            </w:tcBorders>
            <w:noWrap/>
            <w:hideMark/>
          </w:tcPr>
          <w:p w14:paraId="52E688E6" w14:textId="77777777" w:rsidR="00782754" w:rsidRPr="00384923" w:rsidRDefault="00782754" w:rsidP="00782754">
            <w:pPr>
              <w:rPr>
                <w:lang w:val="nl-BE"/>
              </w:rPr>
            </w:pPr>
            <w:r w:rsidRPr="00384923">
              <w:rPr>
                <w:lang w:val="nl-BE"/>
              </w:rPr>
              <w:t>96</w:t>
            </w:r>
          </w:p>
        </w:tc>
        <w:tc>
          <w:tcPr>
            <w:tcW w:w="8221" w:type="dxa"/>
            <w:tcBorders>
              <w:top w:val="single" w:sz="4" w:space="0" w:color="auto"/>
              <w:left w:val="single" w:sz="4" w:space="0" w:color="auto"/>
              <w:bottom w:val="single" w:sz="4" w:space="0" w:color="auto"/>
              <w:right w:val="single" w:sz="4" w:space="0" w:color="auto"/>
            </w:tcBorders>
            <w:hideMark/>
          </w:tcPr>
          <w:p w14:paraId="134E27CE" w14:textId="77777777" w:rsidR="00782754" w:rsidRPr="00384923" w:rsidRDefault="00782754" w:rsidP="00782754">
            <w:pPr>
              <w:rPr>
                <w:rFonts w:ascii="Arial" w:hAnsi="Arial" w:cs="Arial"/>
                <w:sz w:val="20"/>
                <w:szCs w:val="20"/>
              </w:rPr>
            </w:pPr>
            <w:proofErr w:type="spellStart"/>
            <w:r w:rsidRPr="00384923">
              <w:rPr>
                <w:rFonts w:ascii="Arial" w:hAnsi="Arial" w:cs="Arial"/>
                <w:sz w:val="20"/>
                <w:szCs w:val="20"/>
              </w:rPr>
              <w:t>Autres</w:t>
            </w:r>
            <w:proofErr w:type="spellEnd"/>
            <w:r w:rsidRPr="00384923">
              <w:rPr>
                <w:rFonts w:ascii="Arial" w:hAnsi="Arial" w:cs="Arial"/>
                <w:sz w:val="20"/>
                <w:szCs w:val="20"/>
              </w:rPr>
              <w:t xml:space="preserve"> services </w:t>
            </w:r>
            <w:proofErr w:type="spellStart"/>
            <w:r w:rsidRPr="00384923">
              <w:rPr>
                <w:rFonts w:ascii="Arial" w:hAnsi="Arial" w:cs="Arial"/>
                <w:sz w:val="20"/>
                <w:szCs w:val="20"/>
              </w:rPr>
              <w:t>personnels</w:t>
            </w:r>
            <w:proofErr w:type="spellEnd"/>
          </w:p>
          <w:p w14:paraId="711EC468" w14:textId="14899ED5" w:rsidR="00782754" w:rsidRPr="00384923" w:rsidRDefault="00782754" w:rsidP="00782754">
            <w:pPr>
              <w:rPr>
                <w:lang w:val="nl-BE"/>
              </w:rPr>
            </w:pPr>
          </w:p>
        </w:tc>
      </w:tr>
      <w:tr w:rsidR="00782754" w:rsidRPr="007F1FE2" w14:paraId="6AC36249" w14:textId="77777777" w:rsidTr="00A67D09">
        <w:trPr>
          <w:trHeight w:hRule="exact" w:val="301"/>
        </w:trPr>
        <w:tc>
          <w:tcPr>
            <w:tcW w:w="1129" w:type="dxa"/>
            <w:tcBorders>
              <w:top w:val="single" w:sz="4" w:space="0" w:color="auto"/>
              <w:left w:val="single" w:sz="4" w:space="0" w:color="auto"/>
              <w:bottom w:val="single" w:sz="4" w:space="0" w:color="auto"/>
              <w:right w:val="single" w:sz="4" w:space="0" w:color="auto"/>
            </w:tcBorders>
            <w:noWrap/>
            <w:hideMark/>
          </w:tcPr>
          <w:p w14:paraId="739D7C2D" w14:textId="77777777" w:rsidR="00782754" w:rsidRPr="00384923" w:rsidRDefault="00782754" w:rsidP="00782754">
            <w:pPr>
              <w:rPr>
                <w:lang w:val="nl-BE"/>
              </w:rPr>
            </w:pPr>
            <w:r w:rsidRPr="00384923">
              <w:rPr>
                <w:lang w:val="nl-BE"/>
              </w:rPr>
              <w:t>99</w:t>
            </w:r>
          </w:p>
        </w:tc>
        <w:tc>
          <w:tcPr>
            <w:tcW w:w="8221" w:type="dxa"/>
            <w:tcBorders>
              <w:top w:val="single" w:sz="4" w:space="0" w:color="auto"/>
              <w:left w:val="single" w:sz="4" w:space="0" w:color="auto"/>
              <w:bottom w:val="single" w:sz="4" w:space="0" w:color="auto"/>
              <w:right w:val="single" w:sz="4" w:space="0" w:color="auto"/>
            </w:tcBorders>
            <w:hideMark/>
          </w:tcPr>
          <w:p w14:paraId="781BF4A3" w14:textId="77777777" w:rsidR="00782754" w:rsidRPr="00384923" w:rsidRDefault="00782754" w:rsidP="00782754">
            <w:pPr>
              <w:rPr>
                <w:rFonts w:ascii="Arial" w:hAnsi="Arial" w:cs="Arial"/>
                <w:sz w:val="20"/>
                <w:szCs w:val="20"/>
                <w:lang w:val="fr-BE"/>
              </w:rPr>
            </w:pPr>
            <w:r w:rsidRPr="00384923">
              <w:rPr>
                <w:rFonts w:ascii="Arial" w:hAnsi="Arial" w:cs="Arial"/>
                <w:sz w:val="20"/>
                <w:szCs w:val="20"/>
                <w:lang w:val="fr-BE"/>
              </w:rPr>
              <w:t>Activités des organisations et organismes extraterritoriaux</w:t>
            </w:r>
          </w:p>
          <w:p w14:paraId="7BB1B03F" w14:textId="267A19EA" w:rsidR="00782754" w:rsidRPr="00384923" w:rsidRDefault="00782754" w:rsidP="00782754">
            <w:pPr>
              <w:rPr>
                <w:lang w:val="fr-BE"/>
              </w:rPr>
            </w:pPr>
          </w:p>
        </w:tc>
      </w:tr>
      <w:bookmarkEnd w:id="48"/>
    </w:tbl>
    <w:p w14:paraId="70AC9C86" w14:textId="77777777" w:rsidR="00A67D09" w:rsidRPr="00B76985" w:rsidRDefault="00A67D09" w:rsidP="001C36AE">
      <w:pPr>
        <w:jc w:val="both"/>
        <w:rPr>
          <w:lang w:val="fr-BE"/>
        </w:rPr>
      </w:pPr>
    </w:p>
    <w:p w14:paraId="2DDC5AF3" w14:textId="6890472A" w:rsidR="00CD6205" w:rsidRDefault="00452107" w:rsidP="00AA0C4E">
      <w:pPr>
        <w:jc w:val="both"/>
        <w:rPr>
          <w:lang w:val="fr-FR"/>
        </w:rPr>
      </w:pPr>
      <w:r>
        <w:rPr>
          <w:lang w:val="fr-FR"/>
        </w:rPr>
        <w:lastRenderedPageBreak/>
        <w:t xml:space="preserve">En </w:t>
      </w:r>
      <w:r w:rsidR="00782754">
        <w:rPr>
          <w:lang w:val="fr-FR"/>
        </w:rPr>
        <w:t>2020 </w:t>
      </w:r>
      <w:r w:rsidR="00CD6205">
        <w:rPr>
          <w:lang w:val="fr-FR"/>
        </w:rPr>
        <w:t>:</w:t>
      </w:r>
    </w:p>
    <w:p w14:paraId="6C57C5B0" w14:textId="3F327654" w:rsidR="003D2709" w:rsidRDefault="00B471E0" w:rsidP="00B176EF">
      <w:pPr>
        <w:jc w:val="center"/>
      </w:pPr>
      <w:r>
        <w:rPr>
          <w:noProof/>
          <w:lang w:val="fr-FR"/>
        </w:rPr>
        <w:drawing>
          <wp:inline distT="0" distB="0" distL="0" distR="0" wp14:anchorId="24016D0D" wp14:editId="727955E9">
            <wp:extent cx="5486400" cy="3200400"/>
            <wp:effectExtent l="0" t="0" r="0" b="0"/>
            <wp:docPr id="12" name="Graphique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7512AFB" w14:textId="10A8F8C8" w:rsidR="00B471E0" w:rsidRDefault="003D2709" w:rsidP="003B5AC1">
      <w:pPr>
        <w:pStyle w:val="Lgende"/>
        <w:jc w:val="center"/>
        <w:rPr>
          <w:lang w:val="fr-FR"/>
        </w:rPr>
      </w:pPr>
      <w:r w:rsidRPr="00B76985">
        <w:rPr>
          <w:lang w:val="fr-BE"/>
        </w:rPr>
        <w:t xml:space="preserve">Figure </w:t>
      </w:r>
      <w:r>
        <w:fldChar w:fldCharType="begin"/>
      </w:r>
      <w:r w:rsidRPr="00B76985">
        <w:rPr>
          <w:lang w:val="fr-BE"/>
        </w:rPr>
        <w:instrText xml:space="preserve"> SEQ Figure \* ARABIC </w:instrText>
      </w:r>
      <w:r>
        <w:fldChar w:fldCharType="separate"/>
      </w:r>
      <w:r w:rsidR="00B176EF">
        <w:rPr>
          <w:noProof/>
          <w:lang w:val="fr-BE"/>
        </w:rPr>
        <w:t>5</w:t>
      </w:r>
      <w:r>
        <w:fldChar w:fldCharType="end"/>
      </w:r>
      <w:r w:rsidRPr="00B76985">
        <w:rPr>
          <w:lang w:val="fr-BE"/>
        </w:rPr>
        <w:t>: nombre d'entreprises (en %) par code NACE (</w:t>
      </w:r>
      <w:proofErr w:type="spellStart"/>
      <w:r w:rsidRPr="00B76985">
        <w:rPr>
          <w:lang w:val="fr-BE"/>
        </w:rPr>
        <w:t>Level</w:t>
      </w:r>
      <w:proofErr w:type="spellEnd"/>
      <w:r w:rsidRPr="00B76985">
        <w:rPr>
          <w:lang w:val="fr-BE"/>
        </w:rPr>
        <w:t xml:space="preserve"> 02)</w:t>
      </w:r>
    </w:p>
    <w:p w14:paraId="366E3839" w14:textId="13C66472" w:rsidR="00534DF0" w:rsidRPr="00B76985" w:rsidRDefault="00AE42E0" w:rsidP="00B76985">
      <w:pPr>
        <w:jc w:val="both"/>
        <w:rPr>
          <w:lang w:val="fr-FR"/>
        </w:rPr>
      </w:pPr>
      <w:r>
        <w:rPr>
          <w:lang w:val="fr-FR"/>
        </w:rPr>
        <w:t xml:space="preserve">Le </w:t>
      </w:r>
      <w:r w:rsidR="00534DF0" w:rsidRPr="00B76985">
        <w:rPr>
          <w:lang w:val="fr-FR"/>
        </w:rPr>
        <w:t xml:space="preserve">Code 20 </w:t>
      </w:r>
      <w:r>
        <w:rPr>
          <w:lang w:val="fr-FR"/>
        </w:rPr>
        <w:t xml:space="preserve">représente </w:t>
      </w:r>
      <w:r w:rsidR="00534DF0" w:rsidRPr="00B76985">
        <w:rPr>
          <w:lang w:val="fr-FR"/>
        </w:rPr>
        <w:t xml:space="preserve">maintenant </w:t>
      </w:r>
      <w:r w:rsidR="00E6309A">
        <w:rPr>
          <w:lang w:val="fr-FR"/>
        </w:rPr>
        <w:t>plus</w:t>
      </w:r>
      <w:r w:rsidR="00534DF0" w:rsidRPr="00B76985">
        <w:rPr>
          <w:lang w:val="fr-FR"/>
        </w:rPr>
        <w:t xml:space="preserve"> de la moiti</w:t>
      </w:r>
      <w:r w:rsidR="00534DF0" w:rsidRPr="00B76985">
        <w:rPr>
          <w:rFonts w:hint="eastAsia"/>
          <w:lang w:val="fr-FR"/>
        </w:rPr>
        <w:t>é</w:t>
      </w:r>
      <w:r w:rsidR="00534DF0" w:rsidRPr="00B76985">
        <w:rPr>
          <w:lang w:val="fr-FR"/>
        </w:rPr>
        <w:t xml:space="preserve"> des inscrits</w:t>
      </w:r>
      <w:r>
        <w:rPr>
          <w:lang w:val="fr-FR"/>
        </w:rPr>
        <w:t xml:space="preserve">. Le code </w:t>
      </w:r>
      <w:r w:rsidR="00782754">
        <w:rPr>
          <w:lang w:val="fr-FR"/>
        </w:rPr>
        <w:t xml:space="preserve">43 </w:t>
      </w:r>
      <w:r>
        <w:rPr>
          <w:lang w:val="fr-FR"/>
        </w:rPr>
        <w:t>fait maintenant son entrée dans le top 5</w:t>
      </w:r>
      <w:r w:rsidR="00B471E0">
        <w:rPr>
          <w:lang w:val="fr-FR"/>
        </w:rPr>
        <w:t>,</w:t>
      </w:r>
      <w:r>
        <w:rPr>
          <w:lang w:val="fr-FR"/>
        </w:rPr>
        <w:t xml:space="preserve"> à défaut du code « </w:t>
      </w:r>
      <w:r w:rsidR="00782754">
        <w:rPr>
          <w:lang w:val="fr-FR"/>
        </w:rPr>
        <w:t xml:space="preserve">47 Commerce de détail, à l’exception des véhicules automobiles et des motocycles </w:t>
      </w:r>
      <w:r>
        <w:rPr>
          <w:lang w:val="fr-FR"/>
        </w:rPr>
        <w:t xml:space="preserve">». </w:t>
      </w:r>
    </w:p>
    <w:p w14:paraId="4167EE4B" w14:textId="716014F9" w:rsidR="00534DF0" w:rsidRPr="00B76985" w:rsidRDefault="00534DF0" w:rsidP="00B76985">
      <w:pPr>
        <w:jc w:val="both"/>
        <w:rPr>
          <w:lang w:val="fr-FR"/>
        </w:rPr>
      </w:pPr>
    </w:p>
    <w:p w14:paraId="16072099" w14:textId="5610BE79" w:rsidR="00045BDF" w:rsidRPr="00B76985" w:rsidRDefault="00045BDF" w:rsidP="00B76985">
      <w:pPr>
        <w:pStyle w:val="Titre2"/>
        <w:rPr>
          <w:lang w:val="fr-BE"/>
        </w:rPr>
      </w:pPr>
      <w:bookmarkStart w:id="49" w:name="_Toc58847332"/>
      <w:bookmarkStart w:id="50" w:name="_Toc61343618"/>
      <w:bookmarkStart w:id="51" w:name="_Toc61344059"/>
      <w:bookmarkStart w:id="52" w:name="_Toc63079636"/>
      <w:bookmarkStart w:id="53" w:name="_Toc64970067"/>
      <w:bookmarkStart w:id="54" w:name="_Toc58847333"/>
      <w:bookmarkStart w:id="55" w:name="_Toc61343619"/>
      <w:bookmarkStart w:id="56" w:name="_Toc61344060"/>
      <w:bookmarkStart w:id="57" w:name="_Toc63079637"/>
      <w:bookmarkStart w:id="58" w:name="_Toc64970068"/>
      <w:bookmarkStart w:id="59" w:name="_Toc76034172"/>
      <w:bookmarkEnd w:id="49"/>
      <w:bookmarkEnd w:id="50"/>
      <w:bookmarkEnd w:id="51"/>
      <w:bookmarkEnd w:id="52"/>
      <w:bookmarkEnd w:id="53"/>
      <w:bookmarkEnd w:id="54"/>
      <w:bookmarkEnd w:id="55"/>
      <w:bookmarkEnd w:id="56"/>
      <w:bookmarkEnd w:id="57"/>
      <w:bookmarkEnd w:id="58"/>
      <w:r>
        <w:t>Activités économiques mentionnées dans les enregistrements</w:t>
      </w:r>
      <w:bookmarkEnd w:id="59"/>
    </w:p>
    <w:p w14:paraId="5C3F4853" w14:textId="0670DF0B" w:rsidR="0072250A" w:rsidRPr="00BD15C9" w:rsidRDefault="0072250A" w:rsidP="001C36AE">
      <w:pPr>
        <w:jc w:val="both"/>
        <w:rPr>
          <w:lang w:val="fr-FR"/>
        </w:rPr>
      </w:pPr>
      <w:r w:rsidRPr="00BD15C9">
        <w:rPr>
          <w:lang w:val="fr-FR"/>
        </w:rPr>
        <w:t>Au moment de l'introduction d'un enregistrement, le Déclarant peut spécifier directement au niveau de l'enregistrement, les codes NACE(BEL) de son entreprise d'application à la substance spécifique. Ce n'est le cas que pour le type de compte Déclarant</w:t>
      </w:r>
      <w:r w:rsidR="00E40864">
        <w:rPr>
          <w:lang w:val="fr-FR"/>
        </w:rPr>
        <w:t>,</w:t>
      </w:r>
      <w:r w:rsidRPr="00BD15C9">
        <w:rPr>
          <w:lang w:val="fr-FR"/>
        </w:rPr>
        <w:t xml:space="preserve"> le type de compte Fournisseur étranger ne prévoit pas l'introduction des codes NACE(BEL) dans les enregistrements. </w:t>
      </w:r>
    </w:p>
    <w:p w14:paraId="506BE964" w14:textId="78CC3C95" w:rsidR="00F23CD3" w:rsidRPr="00BD15C9" w:rsidRDefault="00873D9A" w:rsidP="001C36AE">
      <w:pPr>
        <w:jc w:val="both"/>
        <w:rPr>
          <w:lang w:val="fr-FR"/>
        </w:rPr>
      </w:pPr>
      <w:r w:rsidRPr="00BD15C9">
        <w:rPr>
          <w:lang w:val="fr-FR"/>
        </w:rPr>
        <w:t>L</w:t>
      </w:r>
      <w:r w:rsidR="00884135">
        <w:rPr>
          <w:lang w:val="fr-FR"/>
        </w:rPr>
        <w:t>es</w:t>
      </w:r>
      <w:r w:rsidRPr="00BD15C9">
        <w:rPr>
          <w:lang w:val="fr-FR"/>
        </w:rPr>
        <w:t xml:space="preserve"> figure</w:t>
      </w:r>
      <w:r w:rsidR="00884135">
        <w:rPr>
          <w:lang w:val="fr-FR"/>
        </w:rPr>
        <w:t>s</w:t>
      </w:r>
      <w:r w:rsidRPr="00BD15C9">
        <w:rPr>
          <w:lang w:val="fr-FR"/>
        </w:rPr>
        <w:t xml:space="preserve"> ci-dessous repren</w:t>
      </w:r>
      <w:r w:rsidR="00884135">
        <w:rPr>
          <w:lang w:val="fr-FR"/>
        </w:rPr>
        <w:t>nent</w:t>
      </w:r>
      <w:r w:rsidRPr="00BD15C9">
        <w:rPr>
          <w:lang w:val="fr-FR"/>
        </w:rPr>
        <w:t xml:space="preserve"> les cinq codes NACE(BEL) le plus souvent mentionnés dans les enregistrements. </w:t>
      </w:r>
    </w:p>
    <w:p w14:paraId="4E26E2B3" w14:textId="77777777" w:rsidR="00452107" w:rsidRDefault="00452107" w:rsidP="001C36AE">
      <w:pPr>
        <w:jc w:val="both"/>
        <w:rPr>
          <w:lang w:val="fr-FR"/>
        </w:rPr>
      </w:pPr>
    </w:p>
    <w:p w14:paraId="307C8BFB" w14:textId="64B64162" w:rsidR="00327B9A" w:rsidRDefault="00327B9A" w:rsidP="001C36AE">
      <w:pPr>
        <w:jc w:val="both"/>
        <w:rPr>
          <w:lang w:val="fr-FR"/>
        </w:rPr>
      </w:pPr>
      <w:r>
        <w:rPr>
          <w:lang w:val="fr-FR"/>
        </w:rPr>
        <w:t>Pour 20</w:t>
      </w:r>
      <w:r w:rsidR="00D7799F">
        <w:rPr>
          <w:lang w:val="fr-FR"/>
        </w:rPr>
        <w:t>20</w:t>
      </w:r>
      <w:r>
        <w:rPr>
          <w:lang w:val="fr-FR"/>
        </w:rPr>
        <w:t> : substances et mélanges ensemble</w:t>
      </w:r>
    </w:p>
    <w:p w14:paraId="503EE9DE" w14:textId="3C53AB8B" w:rsidR="00F51AAA" w:rsidRDefault="0094621A" w:rsidP="001C36AE">
      <w:pPr>
        <w:jc w:val="both"/>
        <w:rPr>
          <w:lang w:val="fr-BE"/>
        </w:rPr>
      </w:pPr>
      <w:r>
        <w:rPr>
          <w:noProof/>
          <w:lang w:val="fr-BE"/>
        </w:rPr>
        <w:lastRenderedPageBreak/>
        <w:drawing>
          <wp:anchor distT="0" distB="0" distL="114300" distR="114300" simplePos="0" relativeHeight="251658240" behindDoc="0" locked="0" layoutInCell="1" allowOverlap="1" wp14:anchorId="70BF6A0F" wp14:editId="3089CE5B">
            <wp:simplePos x="914400" y="914400"/>
            <wp:positionH relativeFrom="column">
              <wp:align>left</wp:align>
            </wp:positionH>
            <wp:positionV relativeFrom="paragraph">
              <wp:align>top</wp:align>
            </wp:positionV>
            <wp:extent cx="5486400" cy="3200400"/>
            <wp:effectExtent l="0" t="0" r="0" b="0"/>
            <wp:wrapSquare wrapText="bothSides"/>
            <wp:docPr id="14" name="Graphique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14:paraId="2178B926" w14:textId="2F63A6B8" w:rsidR="00F51AAA" w:rsidRDefault="00F51AAA" w:rsidP="001C36AE">
      <w:pPr>
        <w:jc w:val="both"/>
        <w:rPr>
          <w:lang w:val="fr-BE"/>
        </w:rPr>
      </w:pPr>
    </w:p>
    <w:p w14:paraId="1CFFB85D" w14:textId="19508142" w:rsidR="00F51AAA" w:rsidRDefault="00F51AAA" w:rsidP="001C36AE">
      <w:pPr>
        <w:jc w:val="both"/>
        <w:rPr>
          <w:lang w:val="fr-BE"/>
        </w:rPr>
      </w:pPr>
    </w:p>
    <w:p w14:paraId="407B80AA" w14:textId="5D03E2BB" w:rsidR="00F51AAA" w:rsidRDefault="00F51AAA" w:rsidP="001C36AE">
      <w:pPr>
        <w:jc w:val="both"/>
        <w:rPr>
          <w:lang w:val="fr-BE"/>
        </w:rPr>
      </w:pPr>
    </w:p>
    <w:p w14:paraId="791E0C20" w14:textId="10C432EB" w:rsidR="00F51AAA" w:rsidRDefault="00F51AAA" w:rsidP="001C36AE">
      <w:pPr>
        <w:jc w:val="both"/>
        <w:rPr>
          <w:lang w:val="fr-BE"/>
        </w:rPr>
      </w:pPr>
    </w:p>
    <w:p w14:paraId="51E22E9F" w14:textId="6D236E03" w:rsidR="00F51AAA" w:rsidRDefault="00F51AAA" w:rsidP="001C36AE">
      <w:pPr>
        <w:jc w:val="both"/>
        <w:rPr>
          <w:lang w:val="fr-BE"/>
        </w:rPr>
      </w:pPr>
    </w:p>
    <w:p w14:paraId="03406AA5" w14:textId="5947F1AA" w:rsidR="00F51AAA" w:rsidRDefault="00F51AAA" w:rsidP="001C36AE">
      <w:pPr>
        <w:jc w:val="both"/>
        <w:rPr>
          <w:lang w:val="fr-BE"/>
        </w:rPr>
      </w:pPr>
    </w:p>
    <w:p w14:paraId="380EE9AB" w14:textId="2F27069C" w:rsidR="00F51AAA" w:rsidRDefault="00F51AAA" w:rsidP="001C36AE">
      <w:pPr>
        <w:jc w:val="both"/>
        <w:rPr>
          <w:lang w:val="fr-BE"/>
        </w:rPr>
      </w:pPr>
    </w:p>
    <w:p w14:paraId="07355F13" w14:textId="258D0B8F" w:rsidR="00F51AAA" w:rsidRDefault="00F51AAA" w:rsidP="001C36AE">
      <w:pPr>
        <w:jc w:val="both"/>
        <w:rPr>
          <w:lang w:val="fr-BE"/>
        </w:rPr>
      </w:pPr>
    </w:p>
    <w:p w14:paraId="2F013482" w14:textId="5C48249C" w:rsidR="00F51AAA" w:rsidRDefault="00F51AAA" w:rsidP="001C36AE">
      <w:pPr>
        <w:jc w:val="both"/>
        <w:rPr>
          <w:lang w:val="fr-BE"/>
        </w:rPr>
      </w:pPr>
    </w:p>
    <w:p w14:paraId="56B15627" w14:textId="77777777" w:rsidR="00F51AAA" w:rsidRDefault="00F51AAA" w:rsidP="001C36AE">
      <w:pPr>
        <w:jc w:val="both"/>
        <w:rPr>
          <w:lang w:val="fr-BE"/>
        </w:rPr>
      </w:pPr>
    </w:p>
    <w:p w14:paraId="31DE407A" w14:textId="70E8CF0E" w:rsidR="003D2709" w:rsidRPr="00DE1F47" w:rsidRDefault="003D2709" w:rsidP="003B5AC1">
      <w:pPr>
        <w:jc w:val="both"/>
        <w:rPr>
          <w:lang w:val="fr-BE"/>
        </w:rPr>
      </w:pPr>
    </w:p>
    <w:p w14:paraId="62916FF5" w14:textId="6A9CD344" w:rsidR="00327B9A" w:rsidRDefault="003D2709" w:rsidP="00384923">
      <w:pPr>
        <w:pStyle w:val="Lgende"/>
        <w:jc w:val="center"/>
        <w:rPr>
          <w:lang w:val="fr-BE"/>
        </w:rPr>
      </w:pPr>
      <w:r w:rsidRPr="00B76985">
        <w:rPr>
          <w:lang w:val="fr-BE"/>
        </w:rPr>
        <w:t xml:space="preserve">Figure </w:t>
      </w:r>
      <w:r>
        <w:fldChar w:fldCharType="begin"/>
      </w:r>
      <w:r w:rsidRPr="00B76985">
        <w:rPr>
          <w:lang w:val="fr-BE"/>
        </w:rPr>
        <w:instrText xml:space="preserve"> SEQ Figure \* ARABIC </w:instrText>
      </w:r>
      <w:r>
        <w:fldChar w:fldCharType="separate"/>
      </w:r>
      <w:r w:rsidR="00B176EF">
        <w:rPr>
          <w:noProof/>
          <w:lang w:val="fr-BE"/>
        </w:rPr>
        <w:t>6</w:t>
      </w:r>
      <w:r>
        <w:fldChar w:fldCharType="end"/>
      </w:r>
      <w:r w:rsidRPr="00B76985">
        <w:rPr>
          <w:lang w:val="fr-BE"/>
        </w:rPr>
        <w:t xml:space="preserve">: Top 5 - nombre des enregistrements </w:t>
      </w:r>
      <w:r w:rsidR="0094621A">
        <w:rPr>
          <w:lang w:val="fr-BE"/>
        </w:rPr>
        <w:t xml:space="preserve">(mélanges et substances) </w:t>
      </w:r>
      <w:r w:rsidRPr="00B76985">
        <w:rPr>
          <w:lang w:val="fr-BE"/>
        </w:rPr>
        <w:t>par code NACE (tous niveaux)</w:t>
      </w:r>
      <w:r w:rsidR="0094621A">
        <w:rPr>
          <w:lang w:val="fr-BE"/>
        </w:rPr>
        <w:t xml:space="preserve"> en </w:t>
      </w:r>
      <w:r w:rsidR="00D7799F">
        <w:rPr>
          <w:lang w:val="fr-BE"/>
        </w:rPr>
        <w:t>2020</w:t>
      </w:r>
    </w:p>
    <w:p w14:paraId="2D140392" w14:textId="0F4BE9B2" w:rsidR="00045BDF" w:rsidRDefault="00045BDF" w:rsidP="001C36AE">
      <w:pPr>
        <w:jc w:val="both"/>
        <w:rPr>
          <w:lang w:val="fr-BE"/>
        </w:rPr>
      </w:pPr>
      <w:r w:rsidRPr="00BD15C9">
        <w:rPr>
          <w:lang w:val="fr-FR"/>
        </w:rPr>
        <w:t xml:space="preserve">Ce top 5 concorde avec les constatations effectuées au niveau des activités économiques des déclarants (voir aussi </w:t>
      </w:r>
      <w:r w:rsidRPr="00BD15C9">
        <w:rPr>
          <w:i/>
          <w:lang w:val="fr-FR"/>
        </w:rPr>
        <w:t xml:space="preserve">§ </w:t>
      </w:r>
      <w:r w:rsidR="0011696F">
        <w:rPr>
          <w:i/>
          <w:lang w:val="fr-FR"/>
        </w:rPr>
        <w:fldChar w:fldCharType="begin"/>
      </w:r>
      <w:r w:rsidR="0011696F">
        <w:rPr>
          <w:i/>
          <w:lang w:val="fr-FR"/>
        </w:rPr>
        <w:instrText xml:space="preserve"> REF _Ref74735391 \w \h </w:instrText>
      </w:r>
      <w:r w:rsidR="0011696F">
        <w:rPr>
          <w:i/>
          <w:lang w:val="fr-FR"/>
        </w:rPr>
      </w:r>
      <w:r w:rsidR="0011696F">
        <w:rPr>
          <w:i/>
          <w:lang w:val="fr-FR"/>
        </w:rPr>
        <w:fldChar w:fldCharType="separate"/>
      </w:r>
      <w:r w:rsidR="0011696F">
        <w:rPr>
          <w:i/>
          <w:lang w:val="fr-FR"/>
        </w:rPr>
        <w:t>8.2</w:t>
      </w:r>
      <w:r w:rsidR="0011696F">
        <w:rPr>
          <w:i/>
          <w:lang w:val="fr-FR"/>
        </w:rPr>
        <w:fldChar w:fldCharType="end"/>
      </w:r>
      <w:r w:rsidRPr="00BD15C9">
        <w:rPr>
          <w:i/>
          <w:lang w:val="fr-FR"/>
        </w:rPr>
        <w:t>-Activités économiques des déclarants</w:t>
      </w:r>
      <w:r>
        <w:rPr>
          <w:lang w:val="fr-FR"/>
        </w:rPr>
        <w:t>): tous les</w:t>
      </w:r>
      <w:r w:rsidRPr="00BD15C9">
        <w:rPr>
          <w:lang w:val="fr-FR"/>
        </w:rPr>
        <w:t xml:space="preserve"> éléments de ce top 5 font partie du code ’20-Fabr</w:t>
      </w:r>
      <w:r>
        <w:rPr>
          <w:lang w:val="fr-FR"/>
        </w:rPr>
        <w:t>ication de produits chimiques’</w:t>
      </w:r>
      <w:r w:rsidR="00D7799F">
        <w:rPr>
          <w:lang w:val="fr-FR"/>
        </w:rPr>
        <w:t>, sauf le code 4675</w:t>
      </w:r>
      <w:r>
        <w:rPr>
          <w:lang w:val="fr-FR"/>
        </w:rPr>
        <w:t>.</w:t>
      </w:r>
      <w:r w:rsidR="00AE42E0">
        <w:rPr>
          <w:lang w:val="fr-FR"/>
        </w:rPr>
        <w:t xml:space="preserve"> </w:t>
      </w:r>
    </w:p>
    <w:p w14:paraId="3B61100A" w14:textId="2C900E73" w:rsidR="00327B9A" w:rsidRDefault="00327B9A" w:rsidP="001C36AE">
      <w:pPr>
        <w:jc w:val="both"/>
        <w:rPr>
          <w:lang w:val="fr-BE"/>
        </w:rPr>
      </w:pPr>
      <w:r>
        <w:rPr>
          <w:lang w:val="fr-BE"/>
        </w:rPr>
        <w:t xml:space="preserve">Pour </w:t>
      </w:r>
      <w:r w:rsidR="005A3BA4">
        <w:rPr>
          <w:lang w:val="fr-BE"/>
        </w:rPr>
        <w:t>20</w:t>
      </w:r>
      <w:r w:rsidR="00D7799F">
        <w:rPr>
          <w:lang w:val="fr-BE"/>
        </w:rPr>
        <w:t>20</w:t>
      </w:r>
      <w:r w:rsidR="005A3BA4">
        <w:rPr>
          <w:lang w:val="fr-BE"/>
        </w:rPr>
        <w:t> </w:t>
      </w:r>
      <w:r>
        <w:rPr>
          <w:lang w:val="fr-BE"/>
        </w:rPr>
        <w:t>: substances</w:t>
      </w:r>
    </w:p>
    <w:p w14:paraId="553459CB" w14:textId="0D578AE6" w:rsidR="003D2709" w:rsidRDefault="005A3BA4" w:rsidP="00B176EF">
      <w:pPr>
        <w:jc w:val="center"/>
      </w:pPr>
      <w:r>
        <w:rPr>
          <w:noProof/>
          <w:lang w:val="fr-BE"/>
        </w:rPr>
        <w:drawing>
          <wp:inline distT="0" distB="0" distL="0" distR="0" wp14:anchorId="5F65AF2A" wp14:editId="67F35FF4">
            <wp:extent cx="5486400" cy="3200400"/>
            <wp:effectExtent l="0" t="0" r="0" b="0"/>
            <wp:docPr id="16" name="Graphique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E118950" w14:textId="18512A32" w:rsidR="00327B9A" w:rsidRDefault="003D2709" w:rsidP="00384923">
      <w:pPr>
        <w:pStyle w:val="Lgende"/>
        <w:jc w:val="center"/>
        <w:rPr>
          <w:lang w:val="fr-BE"/>
        </w:rPr>
      </w:pPr>
      <w:r w:rsidRPr="00B76985">
        <w:rPr>
          <w:lang w:val="fr-BE"/>
        </w:rPr>
        <w:t xml:space="preserve">Figure </w:t>
      </w:r>
      <w:r>
        <w:fldChar w:fldCharType="begin"/>
      </w:r>
      <w:r w:rsidRPr="00B76985">
        <w:rPr>
          <w:lang w:val="fr-BE"/>
        </w:rPr>
        <w:instrText xml:space="preserve"> SEQ Figure \* ARABIC </w:instrText>
      </w:r>
      <w:r>
        <w:fldChar w:fldCharType="separate"/>
      </w:r>
      <w:r w:rsidR="00B176EF">
        <w:rPr>
          <w:noProof/>
          <w:lang w:val="fr-BE"/>
        </w:rPr>
        <w:t>7</w:t>
      </w:r>
      <w:r>
        <w:fldChar w:fldCharType="end"/>
      </w:r>
      <w:r w:rsidRPr="00B76985">
        <w:rPr>
          <w:lang w:val="fr-BE"/>
        </w:rPr>
        <w:t>: Top 5 - nombre des enregistrements</w:t>
      </w:r>
      <w:r w:rsidR="005A3BA4">
        <w:rPr>
          <w:lang w:val="fr-BE"/>
        </w:rPr>
        <w:t xml:space="preserve"> </w:t>
      </w:r>
      <w:r w:rsidRPr="00B76985">
        <w:rPr>
          <w:lang w:val="fr-BE"/>
        </w:rPr>
        <w:t>par code NACE (substance uniquement</w:t>
      </w:r>
      <w:r w:rsidR="00505EDD">
        <w:rPr>
          <w:lang w:val="fr-BE"/>
        </w:rPr>
        <w:t>, tous niveaux</w:t>
      </w:r>
      <w:r w:rsidRPr="00B76985">
        <w:rPr>
          <w:lang w:val="fr-BE"/>
        </w:rPr>
        <w:t>)</w:t>
      </w:r>
      <w:r w:rsidR="005A3BA4">
        <w:rPr>
          <w:lang w:val="fr-BE"/>
        </w:rPr>
        <w:t xml:space="preserve"> en 20</w:t>
      </w:r>
      <w:r w:rsidR="00645789">
        <w:rPr>
          <w:lang w:val="fr-BE"/>
        </w:rPr>
        <w:t>20</w:t>
      </w:r>
    </w:p>
    <w:p w14:paraId="0BBF48C6" w14:textId="77777777" w:rsidR="005A3BA4" w:rsidRDefault="005A3BA4" w:rsidP="001C36AE">
      <w:pPr>
        <w:jc w:val="both"/>
        <w:rPr>
          <w:lang w:val="fr-BE"/>
        </w:rPr>
      </w:pPr>
    </w:p>
    <w:p w14:paraId="74179B64" w14:textId="34CDC49F" w:rsidR="00327B9A" w:rsidRDefault="00327B9A" w:rsidP="001C36AE">
      <w:pPr>
        <w:jc w:val="both"/>
        <w:rPr>
          <w:lang w:val="fr-BE"/>
        </w:rPr>
      </w:pPr>
      <w:r>
        <w:rPr>
          <w:lang w:val="fr-BE"/>
        </w:rPr>
        <w:t xml:space="preserve">Pour </w:t>
      </w:r>
      <w:r w:rsidR="005A3BA4">
        <w:rPr>
          <w:lang w:val="fr-BE"/>
        </w:rPr>
        <w:t>20</w:t>
      </w:r>
      <w:r w:rsidR="00645789">
        <w:rPr>
          <w:lang w:val="fr-BE"/>
        </w:rPr>
        <w:t>20</w:t>
      </w:r>
      <w:r w:rsidR="005A3BA4">
        <w:rPr>
          <w:lang w:val="fr-BE"/>
        </w:rPr>
        <w:t> </w:t>
      </w:r>
      <w:r>
        <w:rPr>
          <w:lang w:val="fr-BE"/>
        </w:rPr>
        <w:t>: mélanges</w:t>
      </w:r>
    </w:p>
    <w:p w14:paraId="4813BF66" w14:textId="4DA332B5" w:rsidR="003D2709" w:rsidRDefault="005A3BA4" w:rsidP="00B176EF">
      <w:pPr>
        <w:jc w:val="center"/>
      </w:pPr>
      <w:r>
        <w:rPr>
          <w:noProof/>
          <w:lang w:val="fr-BE"/>
        </w:rPr>
        <w:drawing>
          <wp:inline distT="0" distB="0" distL="0" distR="0" wp14:anchorId="5DC351F5" wp14:editId="384F59ED">
            <wp:extent cx="5486400" cy="3200400"/>
            <wp:effectExtent l="0" t="0" r="0" b="0"/>
            <wp:docPr id="20" name="Graphique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A7785C9" w14:textId="001245C5" w:rsidR="00327B9A" w:rsidRDefault="003D2709" w:rsidP="00384923">
      <w:pPr>
        <w:pStyle w:val="Lgende"/>
        <w:jc w:val="center"/>
        <w:rPr>
          <w:lang w:val="fr-BE"/>
        </w:rPr>
      </w:pPr>
      <w:r w:rsidRPr="00B76985">
        <w:rPr>
          <w:lang w:val="fr-BE"/>
        </w:rPr>
        <w:t xml:space="preserve">Figure </w:t>
      </w:r>
      <w:r>
        <w:fldChar w:fldCharType="begin"/>
      </w:r>
      <w:r w:rsidRPr="00B76985">
        <w:rPr>
          <w:lang w:val="fr-BE"/>
        </w:rPr>
        <w:instrText xml:space="preserve"> SEQ Figure \* ARABIC </w:instrText>
      </w:r>
      <w:r>
        <w:fldChar w:fldCharType="separate"/>
      </w:r>
      <w:r w:rsidR="00B176EF">
        <w:rPr>
          <w:noProof/>
          <w:lang w:val="fr-BE"/>
        </w:rPr>
        <w:t>8</w:t>
      </w:r>
      <w:r>
        <w:fldChar w:fldCharType="end"/>
      </w:r>
      <w:r w:rsidRPr="00B76985">
        <w:rPr>
          <w:lang w:val="fr-BE"/>
        </w:rPr>
        <w:t>: Top 5 - nombre des enregistrements par code NACE (mélange uniquement</w:t>
      </w:r>
      <w:r w:rsidR="00505EDD">
        <w:rPr>
          <w:lang w:val="fr-BE"/>
        </w:rPr>
        <w:t>, tous niveaux</w:t>
      </w:r>
      <w:r w:rsidRPr="00B76985">
        <w:rPr>
          <w:lang w:val="fr-BE"/>
        </w:rPr>
        <w:t>)</w:t>
      </w:r>
      <w:r w:rsidR="005A3BA4">
        <w:rPr>
          <w:lang w:val="fr-BE"/>
        </w:rPr>
        <w:t xml:space="preserve"> en 20</w:t>
      </w:r>
      <w:r w:rsidR="00645789">
        <w:rPr>
          <w:lang w:val="fr-BE"/>
        </w:rPr>
        <w:t>20</w:t>
      </w:r>
    </w:p>
    <w:p w14:paraId="24C6710F" w14:textId="0B108132" w:rsidR="00327B9A" w:rsidRPr="00327B9A" w:rsidRDefault="00327B9A" w:rsidP="001C36AE">
      <w:pPr>
        <w:jc w:val="both"/>
        <w:rPr>
          <w:lang w:val="fr-FR"/>
        </w:rPr>
      </w:pPr>
      <w:r w:rsidRPr="00B76985">
        <w:rPr>
          <w:lang w:val="fr-BE"/>
        </w:rPr>
        <w:br/>
      </w:r>
      <w:r w:rsidR="006864A7" w:rsidRPr="00B05B63">
        <w:rPr>
          <w:lang w:val="fr-BE"/>
        </w:rPr>
        <w:t>C</w:t>
      </w:r>
      <w:proofErr w:type="spellStart"/>
      <w:r w:rsidR="00B05B63" w:rsidRPr="00B05B63">
        <w:rPr>
          <w:lang w:val="fr-FR"/>
        </w:rPr>
        <w:t>oncernant</w:t>
      </w:r>
      <w:proofErr w:type="spellEnd"/>
      <w:r w:rsidR="00E40864" w:rsidRPr="00B05B63">
        <w:rPr>
          <w:lang w:val="fr-FR"/>
        </w:rPr>
        <w:t xml:space="preserve"> la déclaration des s</w:t>
      </w:r>
      <w:r w:rsidRPr="00B05B63">
        <w:rPr>
          <w:lang w:val="fr-FR"/>
        </w:rPr>
        <w:t>ubstances</w:t>
      </w:r>
      <w:r w:rsidR="00E40864" w:rsidRPr="00B05B63">
        <w:rPr>
          <w:lang w:val="fr-FR"/>
        </w:rPr>
        <w:t>, nous retrouvons</w:t>
      </w:r>
      <w:r w:rsidR="00B05B63" w:rsidRPr="00A10AD9">
        <w:rPr>
          <w:lang w:val="fr-FR"/>
        </w:rPr>
        <w:t>, comme en 2019, les codes 20120, 20160 et 20 alors que les codes 20300 et 46710 entrent dans le top 5</w:t>
      </w:r>
      <w:r w:rsidRPr="00B05B63">
        <w:rPr>
          <w:lang w:val="fr-FR"/>
        </w:rPr>
        <w:t xml:space="preserve">; </w:t>
      </w:r>
      <w:r w:rsidR="00E40864" w:rsidRPr="00B05B63">
        <w:rPr>
          <w:lang w:val="fr-FR"/>
        </w:rPr>
        <w:t xml:space="preserve">pour les </w:t>
      </w:r>
      <w:r w:rsidRPr="00B05B63">
        <w:rPr>
          <w:lang w:val="fr-FR"/>
        </w:rPr>
        <w:t>mélanges</w:t>
      </w:r>
      <w:r w:rsidR="00E40864" w:rsidRPr="00B05B63">
        <w:rPr>
          <w:lang w:val="fr-FR"/>
        </w:rPr>
        <w:t xml:space="preserve"> on observe</w:t>
      </w:r>
      <w:r w:rsidRPr="00B05B63">
        <w:rPr>
          <w:lang w:val="fr-FR"/>
        </w:rPr>
        <w:t xml:space="preserve"> </w:t>
      </w:r>
      <w:r w:rsidR="00B05B63" w:rsidRPr="00B05B63">
        <w:rPr>
          <w:lang w:val="fr-FR"/>
        </w:rPr>
        <w:t>la stabilité du code 2014 en première place et l’apparition du code 4675.</w:t>
      </w:r>
    </w:p>
    <w:p w14:paraId="477B4A96" w14:textId="0C306B67" w:rsidR="002A5CB9" w:rsidRPr="002A5CB9" w:rsidRDefault="002A5CB9" w:rsidP="00B76985">
      <w:pPr>
        <w:pStyle w:val="Titre2"/>
      </w:pPr>
      <w:bookmarkStart w:id="60" w:name="_Toc76034173"/>
      <w:r>
        <w:t>Activités économiques des producteurs</w:t>
      </w:r>
      <w:bookmarkEnd w:id="60"/>
    </w:p>
    <w:p w14:paraId="5FECB519" w14:textId="41503C7F" w:rsidR="00E7502C" w:rsidRPr="00BD15C9" w:rsidRDefault="00E7502C" w:rsidP="001C36AE">
      <w:pPr>
        <w:jc w:val="both"/>
        <w:rPr>
          <w:lang w:val="fr-FR"/>
        </w:rPr>
      </w:pPr>
      <w:r w:rsidRPr="00BD15C9">
        <w:rPr>
          <w:lang w:val="fr-FR"/>
        </w:rPr>
        <w:t xml:space="preserve">Le Déclarant mentionne dans son enregistrement, outre les codes NACE(BEL), aussi la quantité qu'il a mise sur le marché en </w:t>
      </w:r>
      <w:r w:rsidR="002D7A3F" w:rsidRPr="00BD15C9">
        <w:rPr>
          <w:lang w:val="fr-FR"/>
        </w:rPr>
        <w:t>20</w:t>
      </w:r>
      <w:r w:rsidR="002D7A3F">
        <w:rPr>
          <w:lang w:val="fr-FR"/>
        </w:rPr>
        <w:t>20</w:t>
      </w:r>
      <w:r w:rsidR="002D7A3F" w:rsidRPr="00BD15C9">
        <w:rPr>
          <w:lang w:val="fr-FR"/>
        </w:rPr>
        <w:t xml:space="preserve"> </w:t>
      </w:r>
      <w:r w:rsidRPr="00BD15C9">
        <w:rPr>
          <w:lang w:val="fr-FR"/>
        </w:rPr>
        <w:t>et le rôle joué dans ce cadre au niveau de la chaîne d'approvisionnement de la substance enregistrée.</w:t>
      </w:r>
    </w:p>
    <w:p w14:paraId="76AA3751" w14:textId="6C924FDE" w:rsidR="00673101" w:rsidRPr="00BD15C9" w:rsidRDefault="009A526B" w:rsidP="00E7502C">
      <w:pPr>
        <w:jc w:val="both"/>
        <w:rPr>
          <w:lang w:val="fr-FR"/>
        </w:rPr>
      </w:pPr>
      <w:r w:rsidRPr="00BD15C9">
        <w:rPr>
          <w:lang w:val="fr-FR"/>
        </w:rPr>
        <w:t>La figure ci-dessous illustre les codes NACE(BEL) (tous niveaux) en fonction de la quantité produite (top 5</w:t>
      </w:r>
      <w:r w:rsidR="00B27798">
        <w:rPr>
          <w:lang w:val="fr-FR"/>
        </w:rPr>
        <w:t>, en tonne</w:t>
      </w:r>
      <w:r w:rsidRPr="00BD15C9">
        <w:rPr>
          <w:lang w:val="fr-FR"/>
        </w:rPr>
        <w:t xml:space="preserve">). </w:t>
      </w:r>
    </w:p>
    <w:p w14:paraId="02018235" w14:textId="3E2DA270" w:rsidR="002A5CB9" w:rsidRDefault="002A5CB9" w:rsidP="00E7502C">
      <w:pPr>
        <w:jc w:val="both"/>
        <w:rPr>
          <w:lang w:val="fr-FR"/>
        </w:rPr>
      </w:pPr>
      <w:r>
        <w:rPr>
          <w:lang w:val="fr-FR"/>
        </w:rPr>
        <w:t xml:space="preserve">Pour </w:t>
      </w:r>
      <w:r w:rsidR="003F0CB6">
        <w:rPr>
          <w:lang w:val="fr-FR"/>
        </w:rPr>
        <w:t>20</w:t>
      </w:r>
      <w:r w:rsidR="00645789">
        <w:rPr>
          <w:lang w:val="fr-FR"/>
        </w:rPr>
        <w:t>20</w:t>
      </w:r>
      <w:r>
        <w:rPr>
          <w:lang w:val="fr-FR"/>
        </w:rPr>
        <w:t>,</w:t>
      </w:r>
      <w:r w:rsidR="003F0CB6">
        <w:rPr>
          <w:lang w:val="fr-FR"/>
        </w:rPr>
        <w:t xml:space="preserve"> en ce qui concerne les</w:t>
      </w:r>
      <w:r>
        <w:rPr>
          <w:lang w:val="fr-FR"/>
        </w:rPr>
        <w:t xml:space="preserve"> substances :</w:t>
      </w:r>
    </w:p>
    <w:p w14:paraId="18A92280" w14:textId="4C8B1B0A" w:rsidR="003F0CB6" w:rsidRDefault="003F0CB6" w:rsidP="00B176EF">
      <w:pPr>
        <w:jc w:val="center"/>
        <w:rPr>
          <w:lang w:val="fr-FR"/>
        </w:rPr>
      </w:pPr>
      <w:r>
        <w:rPr>
          <w:noProof/>
          <w:lang w:val="fr-FR"/>
        </w:rPr>
        <w:lastRenderedPageBreak/>
        <w:drawing>
          <wp:inline distT="0" distB="0" distL="0" distR="0" wp14:anchorId="0F99361D" wp14:editId="4F3DDE02">
            <wp:extent cx="5486400" cy="3200400"/>
            <wp:effectExtent l="0" t="0" r="0" b="0"/>
            <wp:docPr id="5"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DF83444" w14:textId="260BF9A2" w:rsidR="002A5CB9" w:rsidRPr="00B76985" w:rsidRDefault="00B77C24" w:rsidP="00384923">
      <w:pPr>
        <w:pStyle w:val="Lgende"/>
        <w:jc w:val="center"/>
        <w:rPr>
          <w:lang w:val="fr-BE"/>
        </w:rPr>
      </w:pPr>
      <w:r w:rsidRPr="00B76985">
        <w:rPr>
          <w:lang w:val="fr-BE"/>
        </w:rPr>
        <w:t xml:space="preserve">Figure </w:t>
      </w:r>
      <w:r>
        <w:fldChar w:fldCharType="begin"/>
      </w:r>
      <w:r w:rsidRPr="00B76985">
        <w:rPr>
          <w:lang w:val="fr-BE"/>
        </w:rPr>
        <w:instrText xml:space="preserve"> SEQ Figure \* ARABIC </w:instrText>
      </w:r>
      <w:r>
        <w:fldChar w:fldCharType="separate"/>
      </w:r>
      <w:r w:rsidR="00B176EF">
        <w:rPr>
          <w:noProof/>
          <w:lang w:val="fr-BE"/>
        </w:rPr>
        <w:t>9</w:t>
      </w:r>
      <w:r>
        <w:fldChar w:fldCharType="end"/>
      </w:r>
      <w:r w:rsidRPr="00B76985">
        <w:rPr>
          <w:lang w:val="fr-BE"/>
        </w:rPr>
        <w:t xml:space="preserve"> : Top 5 - nombre de tonnes produites par code NACE (tous niveaux)</w:t>
      </w:r>
      <w:r w:rsidR="005E7801">
        <w:rPr>
          <w:lang w:val="fr-BE"/>
        </w:rPr>
        <w:t xml:space="preserve"> pour les producteurs de substances</w:t>
      </w:r>
      <w:r w:rsidR="004F4F45">
        <w:rPr>
          <w:lang w:val="fr-BE"/>
        </w:rPr>
        <w:t xml:space="preserve">, en </w:t>
      </w:r>
      <w:r w:rsidR="00645789">
        <w:rPr>
          <w:lang w:val="fr-BE"/>
        </w:rPr>
        <w:t>2020</w:t>
      </w:r>
    </w:p>
    <w:p w14:paraId="5844DB51" w14:textId="0ED28E11" w:rsidR="00B77C24" w:rsidRDefault="00B77C24" w:rsidP="00B77C24">
      <w:pPr>
        <w:jc w:val="both"/>
        <w:rPr>
          <w:lang w:val="fr-FR"/>
        </w:rPr>
      </w:pPr>
      <w:r w:rsidRPr="00B27798">
        <w:rPr>
          <w:lang w:val="fr-FR"/>
        </w:rPr>
        <w:t xml:space="preserve">Ce top 5 contient 3 subdivisions du code ’20-Fabrication de produits chimiques’. </w:t>
      </w:r>
      <w:r w:rsidR="00BB4A1E" w:rsidRPr="00B27798">
        <w:rPr>
          <w:lang w:val="fr-FR"/>
        </w:rPr>
        <w:t xml:space="preserve">La </w:t>
      </w:r>
      <w:r w:rsidR="005E7801" w:rsidRPr="00B27798">
        <w:rPr>
          <w:lang w:val="fr-FR"/>
        </w:rPr>
        <w:t xml:space="preserve">troisième </w:t>
      </w:r>
      <w:r w:rsidR="00BB4A1E" w:rsidRPr="00B27798">
        <w:rPr>
          <w:lang w:val="fr-FR"/>
        </w:rPr>
        <w:t xml:space="preserve">et la </w:t>
      </w:r>
      <w:r w:rsidR="00B27798" w:rsidRPr="00A10AD9">
        <w:rPr>
          <w:lang w:val="fr-FR"/>
        </w:rPr>
        <w:t xml:space="preserve">quatrième </w:t>
      </w:r>
      <w:r w:rsidR="00BB4A1E" w:rsidRPr="00B27798">
        <w:rPr>
          <w:lang w:val="fr-FR"/>
        </w:rPr>
        <w:t>place sont quant à elles occupé</w:t>
      </w:r>
      <w:r w:rsidR="003D2709" w:rsidRPr="00B27798">
        <w:rPr>
          <w:lang w:val="fr-FR"/>
        </w:rPr>
        <w:t>e</w:t>
      </w:r>
      <w:r w:rsidR="00BB4A1E" w:rsidRPr="00B27798">
        <w:rPr>
          <w:lang w:val="fr-FR"/>
        </w:rPr>
        <w:t xml:space="preserve">s par </w:t>
      </w:r>
      <w:r w:rsidR="00B27798" w:rsidRPr="00A10AD9">
        <w:rPr>
          <w:lang w:val="fr-FR"/>
        </w:rPr>
        <w:t xml:space="preserve">les </w:t>
      </w:r>
      <w:r w:rsidR="00BB4A1E" w:rsidRPr="00B27798">
        <w:rPr>
          <w:lang w:val="fr-FR"/>
        </w:rPr>
        <w:t>code</w:t>
      </w:r>
      <w:r w:rsidR="00B27798" w:rsidRPr="00A10AD9">
        <w:rPr>
          <w:lang w:val="fr-FR"/>
        </w:rPr>
        <w:t>s 23 et 8910, avec 3144 et 3031 tonnes, respectivement</w:t>
      </w:r>
      <w:r w:rsidR="00BB4A1E" w:rsidRPr="00B27798">
        <w:rPr>
          <w:lang w:val="fr-FR"/>
        </w:rPr>
        <w:t xml:space="preserve">. </w:t>
      </w:r>
      <w:r w:rsidR="00B27798">
        <w:rPr>
          <w:lang w:val="fr-FR"/>
        </w:rPr>
        <w:t>En comparaison avec 2019, le code 20 a été divisé par quatre, le code 20130 reste égale, le code 23 a doublé sa quantité, le code 8910 a perdu 25 % de sa quantité produite comme le code 20120.</w:t>
      </w:r>
    </w:p>
    <w:p w14:paraId="7BE76024" w14:textId="3A4E0500" w:rsidR="00B77C24" w:rsidRDefault="001D4D48" w:rsidP="00250143">
      <w:pPr>
        <w:tabs>
          <w:tab w:val="left" w:pos="6715"/>
        </w:tabs>
        <w:rPr>
          <w:lang w:val="fr-FR"/>
        </w:rPr>
      </w:pPr>
      <w:r>
        <w:rPr>
          <w:lang w:val="fr-FR"/>
        </w:rPr>
        <w:t xml:space="preserve">Pour </w:t>
      </w:r>
      <w:r w:rsidR="00645789">
        <w:rPr>
          <w:lang w:val="fr-FR"/>
        </w:rPr>
        <w:t>2020</w:t>
      </w:r>
      <w:r>
        <w:rPr>
          <w:lang w:val="fr-FR"/>
        </w:rPr>
        <w:t>,</w:t>
      </w:r>
      <w:r w:rsidR="005E7801">
        <w:rPr>
          <w:lang w:val="fr-FR"/>
        </w:rPr>
        <w:t xml:space="preserve"> concernant les</w:t>
      </w:r>
      <w:r>
        <w:rPr>
          <w:lang w:val="fr-FR"/>
        </w:rPr>
        <w:t xml:space="preserve"> mélanges :</w:t>
      </w:r>
      <w:r w:rsidR="00250143">
        <w:rPr>
          <w:lang w:val="fr-FR"/>
        </w:rPr>
        <w:tab/>
      </w:r>
    </w:p>
    <w:p w14:paraId="1332D252" w14:textId="7106CB25" w:rsidR="00250143" w:rsidRDefault="00250143" w:rsidP="00A10AD9">
      <w:pPr>
        <w:tabs>
          <w:tab w:val="left" w:pos="6715"/>
        </w:tabs>
        <w:rPr>
          <w:lang w:val="fr-FR"/>
        </w:rPr>
      </w:pPr>
      <w:r>
        <w:rPr>
          <w:noProof/>
          <w:lang w:val="fr-FR"/>
        </w:rPr>
        <w:drawing>
          <wp:inline distT="0" distB="0" distL="0" distR="0" wp14:anchorId="2CAC4EF4" wp14:editId="17F33D1F">
            <wp:extent cx="6482281" cy="3223034"/>
            <wp:effectExtent l="0" t="0" r="13970" b="15875"/>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D0E56B6" w14:textId="3B580A0D" w:rsidR="00BB4A1E" w:rsidRDefault="00384923" w:rsidP="00384923">
      <w:pPr>
        <w:pStyle w:val="Lgende"/>
        <w:jc w:val="center"/>
        <w:rPr>
          <w:lang w:val="fr-BE"/>
        </w:rPr>
      </w:pPr>
      <w:r w:rsidRPr="00384923">
        <w:rPr>
          <w:lang w:val="fr-BE"/>
        </w:rPr>
        <w:t xml:space="preserve">Figure </w:t>
      </w:r>
      <w:r>
        <w:fldChar w:fldCharType="begin"/>
      </w:r>
      <w:r w:rsidRPr="00384923">
        <w:rPr>
          <w:lang w:val="fr-BE"/>
        </w:rPr>
        <w:instrText xml:space="preserve"> SEQ Figure \* ARABIC </w:instrText>
      </w:r>
      <w:r>
        <w:fldChar w:fldCharType="separate"/>
      </w:r>
      <w:r w:rsidR="00B176EF">
        <w:rPr>
          <w:noProof/>
          <w:lang w:val="fr-BE"/>
        </w:rPr>
        <w:t>10</w:t>
      </w:r>
      <w:r>
        <w:fldChar w:fldCharType="end"/>
      </w:r>
      <w:r w:rsidRPr="00384923">
        <w:rPr>
          <w:lang w:val="fr-BE"/>
        </w:rPr>
        <w:t>: Top 5 - nombre de tonnes produites par code NACE (tous niveaux</w:t>
      </w:r>
      <w:r w:rsidR="004F4F45">
        <w:rPr>
          <w:lang w:val="fr-BE"/>
        </w:rPr>
        <w:t>) pour les mélanges, en 2</w:t>
      </w:r>
      <w:r w:rsidR="00645789">
        <w:rPr>
          <w:lang w:val="fr-BE"/>
        </w:rPr>
        <w:t>020</w:t>
      </w:r>
    </w:p>
    <w:p w14:paraId="6EC75446" w14:textId="7873C9B7" w:rsidR="00BB4A1E" w:rsidRPr="00BB4A1E" w:rsidRDefault="00BB4A1E" w:rsidP="00B76985">
      <w:pPr>
        <w:pStyle w:val="Titre2"/>
      </w:pPr>
      <w:bookmarkStart w:id="61" w:name="_Toc76034174"/>
      <w:r>
        <w:lastRenderedPageBreak/>
        <w:t>Activités économiques des importateurs</w:t>
      </w:r>
      <w:bookmarkEnd w:id="61"/>
    </w:p>
    <w:p w14:paraId="144CE2EB" w14:textId="351EC6F7" w:rsidR="000C35DF" w:rsidRPr="00BD15C9" w:rsidRDefault="000C35DF" w:rsidP="000C35DF">
      <w:pPr>
        <w:jc w:val="both"/>
        <w:rPr>
          <w:lang w:val="fr-FR"/>
        </w:rPr>
      </w:pPr>
      <w:r w:rsidRPr="00BD15C9">
        <w:rPr>
          <w:lang w:val="fr-FR"/>
        </w:rPr>
        <w:t xml:space="preserve">Le Déclarant mentionne dans son enregistrement, outre les codes NACE(BEL),  la quantité qu'il a mise sur le marché en </w:t>
      </w:r>
      <w:r w:rsidR="004F4F45" w:rsidRPr="00BD15C9">
        <w:rPr>
          <w:lang w:val="fr-FR"/>
        </w:rPr>
        <w:t>20</w:t>
      </w:r>
      <w:r w:rsidR="00250143">
        <w:rPr>
          <w:lang w:val="fr-FR"/>
        </w:rPr>
        <w:t>20</w:t>
      </w:r>
      <w:r w:rsidR="004F4F45" w:rsidRPr="00BD15C9">
        <w:rPr>
          <w:lang w:val="fr-FR"/>
        </w:rPr>
        <w:t xml:space="preserve"> </w:t>
      </w:r>
      <w:r w:rsidRPr="00BD15C9">
        <w:rPr>
          <w:lang w:val="fr-FR"/>
        </w:rPr>
        <w:t>et le rôle joué dans ce cadre au niveau de la chaîne d'approvisionnement de la substance enregistrée.</w:t>
      </w:r>
    </w:p>
    <w:p w14:paraId="64AA207E" w14:textId="179C4637" w:rsidR="000C35DF" w:rsidRPr="00BD15C9" w:rsidRDefault="00322B18" w:rsidP="00210799">
      <w:pPr>
        <w:jc w:val="both"/>
        <w:rPr>
          <w:lang w:val="fr-FR"/>
        </w:rPr>
      </w:pPr>
      <w:r w:rsidRPr="00BD15C9">
        <w:rPr>
          <w:lang w:val="fr-FR"/>
        </w:rPr>
        <w:t xml:space="preserve">La figure ci-dessous illustre les codes NACE(BEL) (tous niveaux) en fonction de la quantité importée (top 5). </w:t>
      </w:r>
    </w:p>
    <w:p w14:paraId="0B7D66E9" w14:textId="78C3CD97" w:rsidR="00F92C1E" w:rsidRDefault="00F92C1E" w:rsidP="00210799">
      <w:pPr>
        <w:jc w:val="both"/>
        <w:rPr>
          <w:lang w:val="fr-FR"/>
        </w:rPr>
      </w:pPr>
      <w:r>
        <w:rPr>
          <w:lang w:val="fr-FR"/>
        </w:rPr>
        <w:t xml:space="preserve">Pour </w:t>
      </w:r>
      <w:r w:rsidR="004F4F45">
        <w:rPr>
          <w:lang w:val="fr-FR"/>
        </w:rPr>
        <w:t>20</w:t>
      </w:r>
      <w:r w:rsidR="00DC6DCE">
        <w:rPr>
          <w:lang w:val="fr-FR"/>
        </w:rPr>
        <w:t>20</w:t>
      </w:r>
      <w:r>
        <w:rPr>
          <w:lang w:val="fr-FR"/>
        </w:rPr>
        <w:t xml:space="preserve">, </w:t>
      </w:r>
      <w:r w:rsidR="004F4F45">
        <w:rPr>
          <w:lang w:val="fr-FR"/>
        </w:rPr>
        <w:t xml:space="preserve">en ce qui concerne les </w:t>
      </w:r>
      <w:r>
        <w:rPr>
          <w:lang w:val="fr-FR"/>
        </w:rPr>
        <w:t>substances :</w:t>
      </w:r>
    </w:p>
    <w:p w14:paraId="304C6BEE" w14:textId="5BC80D36" w:rsidR="00DC6DCE" w:rsidRDefault="00DC6DCE" w:rsidP="00B176EF">
      <w:pPr>
        <w:jc w:val="center"/>
        <w:rPr>
          <w:lang w:val="fr-FR"/>
        </w:rPr>
      </w:pPr>
      <w:r>
        <w:rPr>
          <w:noProof/>
          <w:lang w:val="fr-FR"/>
        </w:rPr>
        <w:drawing>
          <wp:inline distT="0" distB="0" distL="0" distR="0" wp14:anchorId="24AFBCBE" wp14:editId="03BC5482">
            <wp:extent cx="6563762" cy="3177766"/>
            <wp:effectExtent l="0" t="0" r="8890" b="3810"/>
            <wp:docPr id="18" name="Graphique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59858E8" w14:textId="0DFCA79B" w:rsidR="00FE6EF8" w:rsidRPr="00FE6EF8" w:rsidRDefault="00AC66BC">
      <w:pPr>
        <w:jc w:val="center"/>
        <w:rPr>
          <w:color w:val="44546A" w:themeColor="text2"/>
          <w:sz w:val="18"/>
          <w:szCs w:val="18"/>
          <w:lang w:val="fr-BE"/>
        </w:rPr>
      </w:pPr>
      <w:r w:rsidRPr="00B76985">
        <w:rPr>
          <w:color w:val="44546A" w:themeColor="text2"/>
          <w:sz w:val="18"/>
          <w:szCs w:val="18"/>
          <w:lang w:val="fr-BE"/>
        </w:rPr>
        <w:t xml:space="preserve">Figure </w:t>
      </w:r>
      <w:r w:rsidRPr="00FE6EF8">
        <w:rPr>
          <w:color w:val="44546A" w:themeColor="text2"/>
          <w:sz w:val="18"/>
          <w:szCs w:val="18"/>
          <w:lang w:val="fr-BE"/>
        </w:rPr>
        <w:fldChar w:fldCharType="begin"/>
      </w:r>
      <w:r w:rsidRPr="00B76985">
        <w:rPr>
          <w:color w:val="44546A" w:themeColor="text2"/>
          <w:sz w:val="18"/>
          <w:szCs w:val="18"/>
          <w:lang w:val="fr-BE"/>
        </w:rPr>
        <w:instrText xml:space="preserve"> SEQ Figure \* ARABIC </w:instrText>
      </w:r>
      <w:r w:rsidRPr="00FE6EF8">
        <w:rPr>
          <w:color w:val="44546A" w:themeColor="text2"/>
          <w:sz w:val="18"/>
          <w:szCs w:val="18"/>
          <w:lang w:val="fr-BE"/>
        </w:rPr>
        <w:fldChar w:fldCharType="separate"/>
      </w:r>
      <w:r w:rsidR="00B176EF">
        <w:rPr>
          <w:noProof/>
          <w:color w:val="44546A" w:themeColor="text2"/>
          <w:sz w:val="18"/>
          <w:szCs w:val="18"/>
          <w:lang w:val="fr-BE"/>
        </w:rPr>
        <w:t>11</w:t>
      </w:r>
      <w:r w:rsidRPr="00FE6EF8">
        <w:rPr>
          <w:color w:val="44546A" w:themeColor="text2"/>
          <w:sz w:val="18"/>
          <w:szCs w:val="18"/>
          <w:lang w:val="fr-BE"/>
        </w:rPr>
        <w:fldChar w:fldCharType="end"/>
      </w:r>
      <w:r w:rsidRPr="00B76985">
        <w:rPr>
          <w:color w:val="44546A" w:themeColor="text2"/>
          <w:sz w:val="18"/>
          <w:szCs w:val="18"/>
          <w:lang w:val="fr-BE"/>
        </w:rPr>
        <w:t xml:space="preserve"> : nombre de tonnes importées p</w:t>
      </w:r>
      <w:r w:rsidR="00CF725C" w:rsidRPr="00FE6EF8">
        <w:rPr>
          <w:color w:val="44546A" w:themeColor="text2"/>
          <w:sz w:val="18"/>
          <w:szCs w:val="18"/>
          <w:lang w:val="fr-BE"/>
        </w:rPr>
        <w:t>ar code NACE(BEL)</w:t>
      </w:r>
      <w:r w:rsidR="00F33618">
        <w:rPr>
          <w:color w:val="44546A" w:themeColor="text2"/>
          <w:sz w:val="18"/>
          <w:szCs w:val="18"/>
          <w:lang w:val="fr-BE"/>
        </w:rPr>
        <w:t xml:space="preserve"> en </w:t>
      </w:r>
      <w:r w:rsidR="00DC6DCE">
        <w:rPr>
          <w:color w:val="44546A" w:themeColor="text2"/>
          <w:sz w:val="18"/>
          <w:szCs w:val="18"/>
          <w:lang w:val="fr-BE"/>
        </w:rPr>
        <w:t xml:space="preserve">2020 </w:t>
      </w:r>
      <w:r w:rsidR="00F33618">
        <w:rPr>
          <w:color w:val="44546A" w:themeColor="text2"/>
          <w:sz w:val="18"/>
          <w:szCs w:val="18"/>
          <w:lang w:val="fr-BE"/>
        </w:rPr>
        <w:t>pour les substances</w:t>
      </w:r>
    </w:p>
    <w:p w14:paraId="0D0E9918" w14:textId="6924DB03" w:rsidR="00DC6DCE" w:rsidRDefault="00E62385" w:rsidP="00210799">
      <w:pPr>
        <w:jc w:val="both"/>
        <w:rPr>
          <w:lang w:val="fr-FR"/>
        </w:rPr>
      </w:pPr>
      <w:r w:rsidRPr="00BD15C9">
        <w:rPr>
          <w:lang w:val="fr-FR"/>
        </w:rPr>
        <w:t xml:space="preserve">La première place de ce top 5 est occupée </w:t>
      </w:r>
      <w:r w:rsidR="00DC6DCE">
        <w:rPr>
          <w:lang w:val="fr-FR"/>
        </w:rPr>
        <w:t xml:space="preserve">par le code </w:t>
      </w:r>
      <w:r w:rsidR="00DC6DCE" w:rsidRPr="00BD15C9">
        <w:rPr>
          <w:lang w:val="fr-FR"/>
        </w:rPr>
        <w:t>’82-Services administratifs de bureau et autres activités de soutien aux entreprises’</w:t>
      </w:r>
      <w:r w:rsidR="00DC6DCE">
        <w:rPr>
          <w:lang w:val="fr-FR"/>
        </w:rPr>
        <w:t xml:space="preserve"> (qui occupait la deuxième place en 2019) et la deuxième place est occupée par </w:t>
      </w:r>
      <w:r w:rsidRPr="00BD15C9">
        <w:rPr>
          <w:lang w:val="fr-FR"/>
        </w:rPr>
        <w:t xml:space="preserve">le code </w:t>
      </w:r>
      <w:r w:rsidR="004F4F45">
        <w:rPr>
          <w:lang w:val="fr-FR"/>
        </w:rPr>
        <w:t>‘46720 Commerce de gros de minerais et de métaux’</w:t>
      </w:r>
      <w:r w:rsidR="00F33618">
        <w:rPr>
          <w:lang w:val="fr-FR"/>
        </w:rPr>
        <w:t xml:space="preserve"> (qui occupait la </w:t>
      </w:r>
      <w:r w:rsidR="00DC6DCE">
        <w:rPr>
          <w:lang w:val="fr-FR"/>
        </w:rPr>
        <w:t xml:space="preserve">première </w:t>
      </w:r>
      <w:r w:rsidR="00F33618">
        <w:rPr>
          <w:lang w:val="fr-FR"/>
        </w:rPr>
        <w:t>position en 201</w:t>
      </w:r>
      <w:r w:rsidR="00DC6DCE">
        <w:rPr>
          <w:lang w:val="fr-FR"/>
        </w:rPr>
        <w:t>9)</w:t>
      </w:r>
      <w:r w:rsidRPr="00BD15C9">
        <w:rPr>
          <w:lang w:val="fr-FR"/>
        </w:rPr>
        <w:t>.</w:t>
      </w:r>
      <w:r w:rsidR="00DC6DCE">
        <w:rPr>
          <w:lang w:val="fr-FR"/>
        </w:rPr>
        <w:t xml:space="preserve"> Deux</w:t>
      </w:r>
      <w:r w:rsidRPr="00BD15C9">
        <w:rPr>
          <w:lang w:val="fr-FR"/>
        </w:rPr>
        <w:t xml:space="preserve"> autres places de ce top 5 sont occupées par des subdivisions du code 20-Fabrication de produits chimiques</w:t>
      </w:r>
      <w:r w:rsidR="00E1771E">
        <w:rPr>
          <w:lang w:val="fr-FR"/>
        </w:rPr>
        <w:t>,</w:t>
      </w:r>
      <w:r w:rsidRPr="00BD15C9">
        <w:rPr>
          <w:lang w:val="fr-FR"/>
        </w:rPr>
        <w:t xml:space="preserve"> </w:t>
      </w:r>
      <w:r w:rsidR="00F33618">
        <w:rPr>
          <w:lang w:val="fr-FR"/>
        </w:rPr>
        <w:t xml:space="preserve">et </w:t>
      </w:r>
      <w:r w:rsidRPr="00BD15C9">
        <w:rPr>
          <w:lang w:val="fr-FR"/>
        </w:rPr>
        <w:t xml:space="preserve">une subdivision du code </w:t>
      </w:r>
      <w:r w:rsidR="00DC6DCE">
        <w:rPr>
          <w:lang w:val="fr-FR"/>
        </w:rPr>
        <w:t xml:space="preserve">0899 – Autres activités extractives </w:t>
      </w:r>
      <w:proofErr w:type="spellStart"/>
      <w:r w:rsidR="00DC6DCE">
        <w:rPr>
          <w:lang w:val="fr-FR"/>
        </w:rPr>
        <w:t>n.c.a</w:t>
      </w:r>
      <w:proofErr w:type="spellEnd"/>
      <w:r w:rsidR="00F33618">
        <w:rPr>
          <w:lang w:val="fr-FR"/>
        </w:rPr>
        <w:t>.</w:t>
      </w:r>
    </w:p>
    <w:p w14:paraId="759CC885" w14:textId="34F1D4A7" w:rsidR="00E62385" w:rsidRDefault="001D4D48" w:rsidP="00210799">
      <w:pPr>
        <w:jc w:val="both"/>
        <w:rPr>
          <w:lang w:val="fr-FR"/>
        </w:rPr>
      </w:pPr>
      <w:r>
        <w:rPr>
          <w:lang w:val="fr-FR"/>
        </w:rPr>
        <w:t xml:space="preserve">Pour </w:t>
      </w:r>
      <w:r w:rsidR="00DC6DCE">
        <w:rPr>
          <w:lang w:val="fr-FR"/>
        </w:rPr>
        <w:t>2020</w:t>
      </w:r>
      <w:r>
        <w:rPr>
          <w:lang w:val="fr-FR"/>
        </w:rPr>
        <w:t xml:space="preserve">, </w:t>
      </w:r>
      <w:r w:rsidR="004F4F45">
        <w:rPr>
          <w:lang w:val="fr-FR"/>
        </w:rPr>
        <w:t xml:space="preserve">concernant les </w:t>
      </w:r>
      <w:r>
        <w:rPr>
          <w:lang w:val="fr-FR"/>
        </w:rPr>
        <w:t>mélanges :</w:t>
      </w:r>
    </w:p>
    <w:p w14:paraId="48062F0F" w14:textId="3C77E016" w:rsidR="00384923" w:rsidRDefault="00DC6DCE" w:rsidP="00B176EF">
      <w:pPr>
        <w:jc w:val="center"/>
      </w:pPr>
      <w:r>
        <w:rPr>
          <w:noProof/>
        </w:rPr>
        <w:lastRenderedPageBreak/>
        <w:drawing>
          <wp:inline distT="0" distB="0" distL="0" distR="0" wp14:anchorId="1910C127" wp14:editId="2C7F1E60">
            <wp:extent cx="5486400" cy="3458424"/>
            <wp:effectExtent l="0" t="0" r="0" b="8890"/>
            <wp:docPr id="19" name="Graphique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7152159" w14:textId="46D9B76A" w:rsidR="001D4D48" w:rsidRDefault="00384923" w:rsidP="00384923">
      <w:pPr>
        <w:pStyle w:val="Lgende"/>
        <w:jc w:val="center"/>
        <w:rPr>
          <w:lang w:val="fr-FR"/>
        </w:rPr>
      </w:pPr>
      <w:r w:rsidRPr="00384923">
        <w:rPr>
          <w:lang w:val="fr-BE"/>
        </w:rPr>
        <w:t xml:space="preserve">Figure </w:t>
      </w:r>
      <w:r>
        <w:fldChar w:fldCharType="begin"/>
      </w:r>
      <w:r w:rsidRPr="00384923">
        <w:rPr>
          <w:lang w:val="fr-BE"/>
        </w:rPr>
        <w:instrText xml:space="preserve"> SEQ Figure \* ARABIC </w:instrText>
      </w:r>
      <w:r>
        <w:fldChar w:fldCharType="separate"/>
      </w:r>
      <w:r w:rsidR="00B176EF">
        <w:rPr>
          <w:noProof/>
          <w:lang w:val="fr-BE"/>
        </w:rPr>
        <w:t>12</w:t>
      </w:r>
      <w:r>
        <w:fldChar w:fldCharType="end"/>
      </w:r>
      <w:r w:rsidRPr="00384923">
        <w:rPr>
          <w:lang w:val="fr-BE"/>
        </w:rPr>
        <w:t>: nombre de tonnes importées par code NACE(BEL)</w:t>
      </w:r>
      <w:r w:rsidR="00A10AD9">
        <w:rPr>
          <w:lang w:val="fr-BE"/>
        </w:rPr>
        <w:t>, en 2020</w:t>
      </w:r>
    </w:p>
    <w:p w14:paraId="3245598A" w14:textId="43D7D73B" w:rsidR="00E1771E" w:rsidRDefault="00E1771E" w:rsidP="00210799">
      <w:pPr>
        <w:jc w:val="both"/>
        <w:rPr>
          <w:lang w:val="fr-FR"/>
        </w:rPr>
      </w:pPr>
      <w:r>
        <w:rPr>
          <w:lang w:val="fr-FR"/>
        </w:rPr>
        <w:t>Ce premier top 5 établit pour les mélanges révèle la présence de 4 code de type 20, industrie chimique et le code 46 du commerce de ces produits, ce qui semble assez logique dans le cadre du rôle de distributeur.</w:t>
      </w:r>
    </w:p>
    <w:p w14:paraId="4A68C1A2" w14:textId="77777777" w:rsidR="00F33618" w:rsidRPr="00BD15C9" w:rsidRDefault="00F33618" w:rsidP="00210799">
      <w:pPr>
        <w:jc w:val="both"/>
        <w:rPr>
          <w:lang w:val="fr-FR"/>
        </w:rPr>
      </w:pPr>
    </w:p>
    <w:p w14:paraId="0FAFA00E" w14:textId="015530F3" w:rsidR="000C008E" w:rsidRPr="00BD15C9" w:rsidRDefault="00860592" w:rsidP="00BB22C7">
      <w:pPr>
        <w:pStyle w:val="Titre1"/>
        <w:rPr>
          <w:lang w:val="fr-FR"/>
        </w:rPr>
      </w:pPr>
      <w:bookmarkStart w:id="62" w:name="_Toc76034175"/>
      <w:r w:rsidRPr="00BD15C9">
        <w:rPr>
          <w:lang w:val="fr-FR"/>
        </w:rPr>
        <w:t>Utilisation des substances enregistrées</w:t>
      </w:r>
      <w:bookmarkEnd w:id="62"/>
    </w:p>
    <w:p w14:paraId="56525E4F" w14:textId="6E5E5E46" w:rsidR="00F92C1E" w:rsidRPr="00F92C1E" w:rsidRDefault="00F92C1E" w:rsidP="00B76985">
      <w:pPr>
        <w:pStyle w:val="Titre2"/>
      </w:pPr>
      <w:bookmarkStart w:id="63" w:name="_Toc76034176"/>
      <w:r>
        <w:t>Description des utilisations</w:t>
      </w:r>
      <w:bookmarkEnd w:id="63"/>
    </w:p>
    <w:p w14:paraId="7F727814" w14:textId="77777777" w:rsidR="005C27B8" w:rsidRPr="00BD15C9" w:rsidRDefault="005C27B8" w:rsidP="00CF0AA4">
      <w:pPr>
        <w:jc w:val="both"/>
        <w:rPr>
          <w:lang w:val="fr-FR"/>
        </w:rPr>
      </w:pPr>
      <w:r w:rsidRPr="00BD15C9">
        <w:rPr>
          <w:lang w:val="fr-FR"/>
        </w:rPr>
        <w:t>Pour l'enregistrement de l'utilisation des nanomatériaux on utilise le système européen des catégories de descripteur d'utilisation Ce système se compose de 5 catégories :</w:t>
      </w:r>
    </w:p>
    <w:p w14:paraId="65759E82" w14:textId="77777777" w:rsidR="002C419E" w:rsidRPr="00BD15C9" w:rsidRDefault="002C419E" w:rsidP="002C419E">
      <w:pPr>
        <w:pStyle w:val="Paragraphedeliste"/>
        <w:numPr>
          <w:ilvl w:val="0"/>
          <w:numId w:val="13"/>
        </w:numPr>
        <w:rPr>
          <w:lang w:val="fr-FR"/>
        </w:rPr>
      </w:pPr>
      <w:r w:rsidRPr="00BD15C9">
        <w:rPr>
          <w:lang w:val="fr-FR"/>
        </w:rPr>
        <w:t>Secteurs d'utilisation (SU)</w:t>
      </w:r>
    </w:p>
    <w:p w14:paraId="6C4EDC2E" w14:textId="77777777" w:rsidR="00BA287C" w:rsidRPr="00BD15C9" w:rsidRDefault="00BA287C" w:rsidP="00BA287C">
      <w:pPr>
        <w:pStyle w:val="Paragraphedeliste"/>
        <w:numPr>
          <w:ilvl w:val="0"/>
          <w:numId w:val="13"/>
        </w:numPr>
        <w:rPr>
          <w:lang w:val="fr-FR"/>
        </w:rPr>
      </w:pPr>
      <w:r w:rsidRPr="00BD15C9">
        <w:rPr>
          <w:lang w:val="fr-FR"/>
        </w:rPr>
        <w:t>Catégories de processus (PROC)</w:t>
      </w:r>
    </w:p>
    <w:p w14:paraId="2861D3B0" w14:textId="77777777" w:rsidR="002C419E" w:rsidRPr="00BD15C9" w:rsidRDefault="002C419E" w:rsidP="002C419E">
      <w:pPr>
        <w:pStyle w:val="Paragraphedeliste"/>
        <w:numPr>
          <w:ilvl w:val="0"/>
          <w:numId w:val="13"/>
        </w:numPr>
        <w:rPr>
          <w:lang w:val="fr-FR"/>
        </w:rPr>
      </w:pPr>
      <w:r w:rsidRPr="00BD15C9">
        <w:rPr>
          <w:lang w:val="fr-FR"/>
        </w:rPr>
        <w:t>Catégorie de produits (PC)</w:t>
      </w:r>
    </w:p>
    <w:p w14:paraId="4C02CDE5" w14:textId="77777777" w:rsidR="002C419E" w:rsidRPr="00BD15C9" w:rsidRDefault="002C419E" w:rsidP="002C419E">
      <w:pPr>
        <w:pStyle w:val="Paragraphedeliste"/>
        <w:numPr>
          <w:ilvl w:val="0"/>
          <w:numId w:val="13"/>
        </w:numPr>
        <w:rPr>
          <w:lang w:val="fr-FR"/>
        </w:rPr>
      </w:pPr>
      <w:r w:rsidRPr="00BD15C9">
        <w:rPr>
          <w:lang w:val="fr-FR"/>
        </w:rPr>
        <w:t>Catégorie de rejet dans l'environnement (ERC)</w:t>
      </w:r>
    </w:p>
    <w:p w14:paraId="22A1A48F" w14:textId="77777777" w:rsidR="002C419E" w:rsidRPr="00BD15C9" w:rsidRDefault="002C419E" w:rsidP="002C419E">
      <w:pPr>
        <w:pStyle w:val="Paragraphedeliste"/>
        <w:numPr>
          <w:ilvl w:val="0"/>
          <w:numId w:val="13"/>
        </w:numPr>
        <w:rPr>
          <w:lang w:val="fr-FR"/>
        </w:rPr>
      </w:pPr>
      <w:r w:rsidRPr="00BD15C9">
        <w:rPr>
          <w:lang w:val="fr-FR"/>
        </w:rPr>
        <w:t>Catégorie d'articles (AC)</w:t>
      </w:r>
    </w:p>
    <w:p w14:paraId="2E32B7AD" w14:textId="2CBE735B" w:rsidR="002C419E" w:rsidRPr="00BD15C9" w:rsidRDefault="00CF0AA4" w:rsidP="00CF0AA4">
      <w:pPr>
        <w:jc w:val="both"/>
        <w:rPr>
          <w:lang w:val="fr-FR"/>
        </w:rPr>
      </w:pPr>
      <w:r w:rsidRPr="00BD15C9">
        <w:rPr>
          <w:lang w:val="fr-FR"/>
        </w:rPr>
        <w:t>L'enregistrement de l’utilisation des nanomatériaux dans le registre est limité au Déclarant, pour les substances</w:t>
      </w:r>
      <w:r w:rsidR="008336C2">
        <w:rPr>
          <w:lang w:val="fr-FR"/>
        </w:rPr>
        <w:t xml:space="preserve"> et mélanges </w:t>
      </w:r>
      <w:r w:rsidRPr="00BD15C9">
        <w:rPr>
          <w:lang w:val="fr-FR"/>
        </w:rPr>
        <w:t xml:space="preserve">mis sur le marché à des fins commerciales. Les utilisations ne sont pas enregistrées pour les enregistrements soumis par un Fournisseur étranger ou les enregistrements simplifiés (enregistrements des substances exclusivement destinées à des fins scientifiques). </w:t>
      </w:r>
    </w:p>
    <w:p w14:paraId="7529E12C" w14:textId="7E2C8D75" w:rsidR="001D0C66" w:rsidRPr="00BD15C9" w:rsidRDefault="000F0FEA" w:rsidP="00CF0AA4">
      <w:pPr>
        <w:jc w:val="both"/>
        <w:rPr>
          <w:lang w:val="fr-FR"/>
        </w:rPr>
      </w:pPr>
      <w:r w:rsidRPr="002C189B">
        <w:rPr>
          <w:lang w:val="fr-FR"/>
        </w:rPr>
        <w:t xml:space="preserve">Sur </w:t>
      </w:r>
      <w:r w:rsidRPr="00040C87">
        <w:rPr>
          <w:lang w:val="fr-FR"/>
        </w:rPr>
        <w:t xml:space="preserve">les </w:t>
      </w:r>
      <w:r w:rsidR="002C189B" w:rsidRPr="00040C87">
        <w:rPr>
          <w:lang w:val="fr-FR"/>
        </w:rPr>
        <w:t>1</w:t>
      </w:r>
      <w:r w:rsidR="00484A46" w:rsidRPr="00040C87">
        <w:rPr>
          <w:lang w:val="fr-FR"/>
        </w:rPr>
        <w:t>928</w:t>
      </w:r>
      <w:r w:rsidR="002C189B" w:rsidRPr="00A10AD9">
        <w:rPr>
          <w:lang w:val="fr-FR"/>
        </w:rPr>
        <w:t xml:space="preserve"> </w:t>
      </w:r>
      <w:r w:rsidRPr="00A10AD9">
        <w:rPr>
          <w:lang w:val="fr-FR"/>
        </w:rPr>
        <w:t xml:space="preserve">enregistrements concernés, nous avons retrouvé, au total </w:t>
      </w:r>
      <w:r w:rsidR="007B2AFD" w:rsidRPr="00A10AD9">
        <w:rPr>
          <w:lang w:val="fr-FR"/>
        </w:rPr>
        <w:t>1972</w:t>
      </w:r>
      <w:r w:rsidR="007B2AFD" w:rsidRPr="002C189B">
        <w:rPr>
          <w:lang w:val="fr-FR"/>
        </w:rPr>
        <w:t xml:space="preserve"> </w:t>
      </w:r>
      <w:r w:rsidRPr="002C189B">
        <w:rPr>
          <w:lang w:val="fr-FR"/>
        </w:rPr>
        <w:t xml:space="preserve">utilisations enregistrées qui représentent, ensemble, </w:t>
      </w:r>
      <w:r w:rsidR="002C189B" w:rsidRPr="007B2AFD">
        <w:rPr>
          <w:lang w:val="fr-FR"/>
        </w:rPr>
        <w:t>1</w:t>
      </w:r>
      <w:r w:rsidR="007B2AFD">
        <w:rPr>
          <w:lang w:val="fr-FR"/>
        </w:rPr>
        <w:t>33</w:t>
      </w:r>
      <w:r w:rsidR="002C189B" w:rsidRPr="002C189B">
        <w:rPr>
          <w:lang w:val="fr-FR"/>
        </w:rPr>
        <w:t xml:space="preserve"> </w:t>
      </w:r>
      <w:r w:rsidRPr="002C189B">
        <w:rPr>
          <w:lang w:val="fr-FR"/>
        </w:rPr>
        <w:t>valeurs uniques</w:t>
      </w:r>
      <w:r w:rsidRPr="005B5437">
        <w:rPr>
          <w:lang w:val="fr-FR"/>
        </w:rPr>
        <w:t>.</w:t>
      </w:r>
      <w:r w:rsidRPr="00BD15C9">
        <w:rPr>
          <w:lang w:val="fr-FR"/>
        </w:rPr>
        <w:t xml:space="preserve"> Un enregistrement peut mentionner plusieurs catégories </w:t>
      </w:r>
      <w:r w:rsidRPr="00BD15C9">
        <w:rPr>
          <w:lang w:val="fr-FR"/>
        </w:rPr>
        <w:lastRenderedPageBreak/>
        <w:t xml:space="preserve">et plusieurs valeurs d'une même catégorie. Dans ce type d'enregistrement, </w:t>
      </w:r>
      <w:r w:rsidRPr="00B76985">
        <w:rPr>
          <w:u w:val="single"/>
          <w:lang w:val="fr-FR"/>
        </w:rPr>
        <w:t>le logiciel exige la mention d'au moins une utilisation d'au moins une catégorie</w:t>
      </w:r>
      <w:r w:rsidRPr="00BD15C9">
        <w:rPr>
          <w:lang w:val="fr-FR"/>
        </w:rPr>
        <w:t xml:space="preserve">. </w:t>
      </w:r>
    </w:p>
    <w:p w14:paraId="6533A188" w14:textId="221CF556" w:rsidR="00DC22B7" w:rsidRDefault="00DC22B7" w:rsidP="00CF0AA4">
      <w:pPr>
        <w:jc w:val="both"/>
        <w:rPr>
          <w:lang w:val="fr-FR"/>
        </w:rPr>
      </w:pPr>
      <w:r w:rsidRPr="00BD15C9">
        <w:rPr>
          <w:lang w:val="fr-FR"/>
        </w:rPr>
        <w:t>La répartition (relative) des utilisations enregistrées entre les différentes catégories est la suivante :</w:t>
      </w:r>
    </w:p>
    <w:p w14:paraId="553CD52B" w14:textId="0E3BBDBD" w:rsidR="00F92C1E" w:rsidRDefault="00F92C1E" w:rsidP="00CF0AA4">
      <w:pPr>
        <w:jc w:val="both"/>
        <w:rPr>
          <w:lang w:val="fr-FR"/>
        </w:rPr>
      </w:pPr>
      <w:r>
        <w:rPr>
          <w:lang w:val="fr-FR"/>
        </w:rPr>
        <w:t xml:space="preserve">Pour </w:t>
      </w:r>
      <w:r w:rsidR="00E22838">
        <w:rPr>
          <w:lang w:val="fr-FR"/>
        </w:rPr>
        <w:t>2020 </w:t>
      </w:r>
      <w:r>
        <w:rPr>
          <w:lang w:val="fr-F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1"/>
        <w:gridCol w:w="1672"/>
        <w:gridCol w:w="1672"/>
        <w:gridCol w:w="1672"/>
        <w:gridCol w:w="1672"/>
      </w:tblGrid>
      <w:tr w:rsidR="00F92C1E" w:rsidRPr="007F1FE2" w14:paraId="595BF72C" w14:textId="77777777" w:rsidTr="00B176EF">
        <w:trPr>
          <w:tblHeader/>
          <w:jc w:val="center"/>
        </w:trPr>
        <w:tc>
          <w:tcPr>
            <w:tcW w:w="8359" w:type="dxa"/>
            <w:gridSpan w:val="5"/>
            <w:tcBorders>
              <w:top w:val="single" w:sz="4" w:space="0" w:color="auto"/>
              <w:left w:val="single" w:sz="4" w:space="0" w:color="auto"/>
              <w:bottom w:val="single" w:sz="4" w:space="0" w:color="auto"/>
              <w:right w:val="single" w:sz="4" w:space="0" w:color="auto"/>
            </w:tcBorders>
            <w:hideMark/>
          </w:tcPr>
          <w:p w14:paraId="0AB4E904" w14:textId="21F7B8B9" w:rsidR="00F92C1E" w:rsidRPr="00B76985" w:rsidRDefault="00F92C1E" w:rsidP="00F92C1E">
            <w:pPr>
              <w:jc w:val="both"/>
              <w:rPr>
                <w:rFonts w:ascii="inherit" w:hAnsi="inherit"/>
                <w:color w:val="212121"/>
                <w:lang w:val="fr-BE"/>
              </w:rPr>
            </w:pPr>
            <w:r w:rsidRPr="00B76985">
              <w:rPr>
                <w:b/>
                <w:i/>
                <w:lang w:val="fr-FR"/>
              </w:rPr>
              <w:t>Tableau: r</w:t>
            </w:r>
            <w:r w:rsidRPr="00B76985">
              <w:rPr>
                <w:rFonts w:hint="eastAsia"/>
                <w:b/>
                <w:i/>
                <w:lang w:val="fr-FR"/>
              </w:rPr>
              <w:t>é</w:t>
            </w:r>
            <w:r w:rsidRPr="00B76985">
              <w:rPr>
                <w:b/>
                <w:i/>
                <w:lang w:val="fr-FR"/>
              </w:rPr>
              <w:t>partition des utilisations mentionn</w:t>
            </w:r>
            <w:r w:rsidRPr="00B76985">
              <w:rPr>
                <w:rFonts w:hint="eastAsia"/>
                <w:b/>
                <w:i/>
                <w:lang w:val="fr-FR"/>
              </w:rPr>
              <w:t>é</w:t>
            </w:r>
            <w:r w:rsidRPr="00B76985">
              <w:rPr>
                <w:b/>
                <w:i/>
                <w:lang w:val="fr-FR"/>
              </w:rPr>
              <w:t>es sur les 5 cat</w:t>
            </w:r>
            <w:r w:rsidRPr="00B76985">
              <w:rPr>
                <w:rFonts w:hint="eastAsia"/>
                <w:b/>
                <w:i/>
                <w:lang w:val="fr-FR"/>
              </w:rPr>
              <w:t>é</w:t>
            </w:r>
            <w:r w:rsidRPr="00B76985">
              <w:rPr>
                <w:b/>
                <w:i/>
                <w:lang w:val="fr-FR"/>
              </w:rPr>
              <w:t>gories diff</w:t>
            </w:r>
            <w:r w:rsidRPr="00B76985">
              <w:rPr>
                <w:rFonts w:hint="eastAsia"/>
                <w:b/>
                <w:i/>
                <w:lang w:val="fr-FR"/>
              </w:rPr>
              <w:t>é</w:t>
            </w:r>
            <w:r w:rsidRPr="00B76985">
              <w:rPr>
                <w:b/>
                <w:i/>
                <w:lang w:val="fr-FR"/>
              </w:rPr>
              <w:t>rentes (%), substances et m</w:t>
            </w:r>
            <w:r w:rsidRPr="00B76985">
              <w:rPr>
                <w:rFonts w:hint="eastAsia"/>
                <w:b/>
                <w:i/>
                <w:lang w:val="fr-FR"/>
              </w:rPr>
              <w:t>é</w:t>
            </w:r>
            <w:r w:rsidRPr="00B76985">
              <w:rPr>
                <w:b/>
                <w:i/>
                <w:lang w:val="fr-FR"/>
              </w:rPr>
              <w:t>langes pris ensemble</w:t>
            </w:r>
          </w:p>
        </w:tc>
      </w:tr>
      <w:tr w:rsidR="00F92C1E" w14:paraId="1AB1934D" w14:textId="77777777" w:rsidTr="00B176EF">
        <w:trPr>
          <w:tblHeader/>
          <w:jc w:val="center"/>
        </w:trPr>
        <w:tc>
          <w:tcPr>
            <w:tcW w:w="1671" w:type="dxa"/>
            <w:tcBorders>
              <w:top w:val="single" w:sz="4" w:space="0" w:color="auto"/>
              <w:left w:val="single" w:sz="4" w:space="0" w:color="auto"/>
              <w:bottom w:val="single" w:sz="4" w:space="0" w:color="auto"/>
              <w:right w:val="single" w:sz="4" w:space="0" w:color="auto"/>
            </w:tcBorders>
            <w:hideMark/>
          </w:tcPr>
          <w:p w14:paraId="38264015" w14:textId="77777777" w:rsidR="00F92C1E" w:rsidRDefault="00F92C1E">
            <w:pPr>
              <w:jc w:val="center"/>
              <w:rPr>
                <w:color w:val="FF0000"/>
                <w:lang w:val="nl-BE"/>
              </w:rPr>
            </w:pPr>
            <w:r>
              <w:rPr>
                <w:color w:val="FF0000"/>
                <w:lang w:val="nl-BE"/>
              </w:rPr>
              <w:t>SU</w:t>
            </w:r>
          </w:p>
        </w:tc>
        <w:tc>
          <w:tcPr>
            <w:tcW w:w="1672" w:type="dxa"/>
            <w:tcBorders>
              <w:top w:val="single" w:sz="4" w:space="0" w:color="auto"/>
              <w:left w:val="single" w:sz="4" w:space="0" w:color="auto"/>
              <w:bottom w:val="single" w:sz="4" w:space="0" w:color="auto"/>
              <w:right w:val="single" w:sz="4" w:space="0" w:color="auto"/>
            </w:tcBorders>
            <w:hideMark/>
          </w:tcPr>
          <w:p w14:paraId="2E752B17" w14:textId="77777777" w:rsidR="00F92C1E" w:rsidRDefault="00F92C1E">
            <w:pPr>
              <w:jc w:val="center"/>
              <w:rPr>
                <w:color w:val="FF0000"/>
                <w:lang w:val="nl-BE"/>
              </w:rPr>
            </w:pPr>
            <w:r>
              <w:rPr>
                <w:color w:val="FF0000"/>
                <w:lang w:val="nl-BE"/>
              </w:rPr>
              <w:t>PROC</w:t>
            </w:r>
          </w:p>
        </w:tc>
        <w:tc>
          <w:tcPr>
            <w:tcW w:w="1672" w:type="dxa"/>
            <w:tcBorders>
              <w:top w:val="single" w:sz="4" w:space="0" w:color="auto"/>
              <w:left w:val="single" w:sz="4" w:space="0" w:color="auto"/>
              <w:bottom w:val="single" w:sz="4" w:space="0" w:color="auto"/>
              <w:right w:val="single" w:sz="4" w:space="0" w:color="auto"/>
            </w:tcBorders>
            <w:hideMark/>
          </w:tcPr>
          <w:p w14:paraId="6002D371" w14:textId="77777777" w:rsidR="00F92C1E" w:rsidRDefault="00F92C1E">
            <w:pPr>
              <w:jc w:val="center"/>
              <w:rPr>
                <w:color w:val="FF0000"/>
                <w:lang w:val="nl-BE"/>
              </w:rPr>
            </w:pPr>
            <w:r>
              <w:rPr>
                <w:color w:val="FF0000"/>
                <w:lang w:val="nl-BE"/>
              </w:rPr>
              <w:t>PC</w:t>
            </w:r>
          </w:p>
        </w:tc>
        <w:tc>
          <w:tcPr>
            <w:tcW w:w="1672" w:type="dxa"/>
            <w:tcBorders>
              <w:top w:val="single" w:sz="4" w:space="0" w:color="auto"/>
              <w:left w:val="single" w:sz="4" w:space="0" w:color="auto"/>
              <w:bottom w:val="single" w:sz="4" w:space="0" w:color="auto"/>
              <w:right w:val="single" w:sz="4" w:space="0" w:color="auto"/>
            </w:tcBorders>
            <w:hideMark/>
          </w:tcPr>
          <w:p w14:paraId="677677D5" w14:textId="77777777" w:rsidR="00F92C1E" w:rsidRDefault="00F92C1E">
            <w:pPr>
              <w:jc w:val="center"/>
              <w:rPr>
                <w:color w:val="FF0000"/>
                <w:lang w:val="nl-BE"/>
              </w:rPr>
            </w:pPr>
            <w:r>
              <w:rPr>
                <w:color w:val="FF0000"/>
                <w:lang w:val="nl-BE"/>
              </w:rPr>
              <w:t>ERC</w:t>
            </w:r>
          </w:p>
        </w:tc>
        <w:tc>
          <w:tcPr>
            <w:tcW w:w="1672" w:type="dxa"/>
            <w:tcBorders>
              <w:top w:val="single" w:sz="4" w:space="0" w:color="auto"/>
              <w:left w:val="single" w:sz="4" w:space="0" w:color="auto"/>
              <w:bottom w:val="single" w:sz="4" w:space="0" w:color="auto"/>
              <w:right w:val="single" w:sz="4" w:space="0" w:color="auto"/>
            </w:tcBorders>
            <w:hideMark/>
          </w:tcPr>
          <w:p w14:paraId="46E001CB" w14:textId="77777777" w:rsidR="00F92C1E" w:rsidRDefault="00F92C1E">
            <w:pPr>
              <w:jc w:val="center"/>
              <w:rPr>
                <w:color w:val="FF0000"/>
                <w:lang w:val="nl-BE"/>
              </w:rPr>
            </w:pPr>
            <w:r>
              <w:rPr>
                <w:color w:val="FF0000"/>
                <w:lang w:val="nl-BE"/>
              </w:rPr>
              <w:t>AC</w:t>
            </w:r>
          </w:p>
        </w:tc>
      </w:tr>
      <w:tr w:rsidR="00E22838" w14:paraId="06AAA963" w14:textId="77777777" w:rsidTr="00B176EF">
        <w:trPr>
          <w:jc w:val="center"/>
        </w:trPr>
        <w:tc>
          <w:tcPr>
            <w:tcW w:w="1671" w:type="dxa"/>
            <w:tcBorders>
              <w:top w:val="single" w:sz="4" w:space="0" w:color="auto"/>
              <w:left w:val="single" w:sz="4" w:space="0" w:color="auto"/>
              <w:bottom w:val="single" w:sz="4" w:space="0" w:color="auto"/>
              <w:right w:val="single" w:sz="4" w:space="0" w:color="auto"/>
            </w:tcBorders>
            <w:hideMark/>
          </w:tcPr>
          <w:p w14:paraId="296CC08C" w14:textId="24EAB56F" w:rsidR="00E22838" w:rsidRPr="00E22838" w:rsidRDefault="00E22838" w:rsidP="00E22838">
            <w:pPr>
              <w:jc w:val="center"/>
              <w:rPr>
                <w:color w:val="FF0000"/>
                <w:lang w:val="nl-BE"/>
              </w:rPr>
            </w:pPr>
            <w:r w:rsidRPr="00040C87">
              <w:rPr>
                <w:color w:val="FF0000"/>
                <w:lang w:val="nl-BE"/>
              </w:rPr>
              <w:t>48,63</w:t>
            </w:r>
          </w:p>
        </w:tc>
        <w:tc>
          <w:tcPr>
            <w:tcW w:w="1672" w:type="dxa"/>
            <w:tcBorders>
              <w:top w:val="single" w:sz="4" w:space="0" w:color="auto"/>
              <w:left w:val="single" w:sz="4" w:space="0" w:color="auto"/>
              <w:bottom w:val="single" w:sz="4" w:space="0" w:color="auto"/>
              <w:right w:val="single" w:sz="4" w:space="0" w:color="auto"/>
            </w:tcBorders>
            <w:hideMark/>
          </w:tcPr>
          <w:p w14:paraId="4C2390F4" w14:textId="5B3F1886" w:rsidR="00E22838" w:rsidRPr="00E22838" w:rsidRDefault="00E22838" w:rsidP="00E22838">
            <w:pPr>
              <w:jc w:val="center"/>
              <w:rPr>
                <w:color w:val="FF0000"/>
                <w:lang w:val="nl-BE"/>
              </w:rPr>
            </w:pPr>
            <w:r w:rsidRPr="00040C87">
              <w:rPr>
                <w:color w:val="FF0000"/>
                <w:lang w:val="nl-BE"/>
              </w:rPr>
              <w:t>17,65</w:t>
            </w:r>
          </w:p>
        </w:tc>
        <w:tc>
          <w:tcPr>
            <w:tcW w:w="1672" w:type="dxa"/>
            <w:tcBorders>
              <w:top w:val="single" w:sz="4" w:space="0" w:color="auto"/>
              <w:left w:val="single" w:sz="4" w:space="0" w:color="auto"/>
              <w:bottom w:val="single" w:sz="4" w:space="0" w:color="auto"/>
              <w:right w:val="single" w:sz="4" w:space="0" w:color="auto"/>
            </w:tcBorders>
            <w:hideMark/>
          </w:tcPr>
          <w:p w14:paraId="0B7CAF2B" w14:textId="1E9CA52C" w:rsidR="00E22838" w:rsidRPr="00E22838" w:rsidRDefault="00E22838" w:rsidP="00E22838">
            <w:pPr>
              <w:jc w:val="center"/>
              <w:rPr>
                <w:color w:val="FF0000"/>
                <w:lang w:val="nl-BE"/>
              </w:rPr>
            </w:pPr>
            <w:r w:rsidRPr="00040C87">
              <w:rPr>
                <w:color w:val="FF0000"/>
                <w:lang w:val="nl-BE"/>
              </w:rPr>
              <w:t>20,89</w:t>
            </w:r>
          </w:p>
        </w:tc>
        <w:tc>
          <w:tcPr>
            <w:tcW w:w="1672" w:type="dxa"/>
            <w:tcBorders>
              <w:top w:val="single" w:sz="4" w:space="0" w:color="auto"/>
              <w:left w:val="single" w:sz="4" w:space="0" w:color="auto"/>
              <w:bottom w:val="single" w:sz="4" w:space="0" w:color="auto"/>
              <w:right w:val="single" w:sz="4" w:space="0" w:color="auto"/>
            </w:tcBorders>
            <w:hideMark/>
          </w:tcPr>
          <w:p w14:paraId="4958C5E2" w14:textId="7A795050" w:rsidR="00E22838" w:rsidRPr="00E22838" w:rsidRDefault="00E22838" w:rsidP="00E22838">
            <w:pPr>
              <w:jc w:val="center"/>
              <w:rPr>
                <w:color w:val="FF0000"/>
                <w:lang w:val="nl-BE"/>
              </w:rPr>
            </w:pPr>
            <w:r w:rsidRPr="00040C87">
              <w:rPr>
                <w:color w:val="FF0000"/>
                <w:lang w:val="nl-BE"/>
              </w:rPr>
              <w:t>8,37</w:t>
            </w:r>
          </w:p>
        </w:tc>
        <w:tc>
          <w:tcPr>
            <w:tcW w:w="1672" w:type="dxa"/>
            <w:tcBorders>
              <w:top w:val="single" w:sz="4" w:space="0" w:color="auto"/>
              <w:left w:val="single" w:sz="4" w:space="0" w:color="auto"/>
              <w:bottom w:val="single" w:sz="4" w:space="0" w:color="auto"/>
              <w:right w:val="single" w:sz="4" w:space="0" w:color="auto"/>
            </w:tcBorders>
            <w:hideMark/>
          </w:tcPr>
          <w:p w14:paraId="6DAC50F5" w14:textId="1B0B0A45" w:rsidR="00E22838" w:rsidRPr="00E22838" w:rsidRDefault="00E22838" w:rsidP="00E22838">
            <w:pPr>
              <w:jc w:val="center"/>
              <w:rPr>
                <w:color w:val="FF0000"/>
                <w:lang w:val="nl-BE"/>
              </w:rPr>
            </w:pPr>
            <w:r w:rsidRPr="00040C87">
              <w:rPr>
                <w:color w:val="FF0000"/>
                <w:lang w:val="nl-BE"/>
              </w:rPr>
              <w:t>4,46</w:t>
            </w:r>
          </w:p>
        </w:tc>
      </w:tr>
    </w:tbl>
    <w:p w14:paraId="65872553" w14:textId="1DF029C9" w:rsidR="00F92C1E" w:rsidRDefault="00F92C1E" w:rsidP="00B76985"/>
    <w:p w14:paraId="217FCCC7" w14:textId="1195C0A0" w:rsidR="002C189B" w:rsidRDefault="002C189B" w:rsidP="00B76985">
      <w:pPr>
        <w:rPr>
          <w:lang w:val="fr-BE"/>
        </w:rPr>
      </w:pPr>
      <w:r w:rsidRPr="00BA37F3">
        <w:rPr>
          <w:lang w:val="fr-BE"/>
        </w:rPr>
        <w:t xml:space="preserve">Cette </w:t>
      </w:r>
      <w:r w:rsidRPr="002C189B">
        <w:rPr>
          <w:lang w:val="fr-BE"/>
        </w:rPr>
        <w:t>répartition</w:t>
      </w:r>
      <w:r w:rsidRPr="00BA37F3">
        <w:rPr>
          <w:lang w:val="fr-BE"/>
        </w:rPr>
        <w:t xml:space="preserve"> est similaire e</w:t>
      </w:r>
      <w:r>
        <w:rPr>
          <w:lang w:val="fr-BE"/>
        </w:rPr>
        <w:t xml:space="preserve">st celle de l’année </w:t>
      </w:r>
      <w:r w:rsidR="00E22838">
        <w:rPr>
          <w:lang w:val="fr-BE"/>
        </w:rPr>
        <w:t>2019</w:t>
      </w:r>
      <w:r>
        <w:rPr>
          <w:lang w:val="fr-BE"/>
        </w:rPr>
        <w:t>.</w:t>
      </w:r>
    </w:p>
    <w:p w14:paraId="7DA94D05" w14:textId="77777777" w:rsidR="002C189B" w:rsidRPr="00BA37F3" w:rsidRDefault="002C189B" w:rsidP="00B76985">
      <w:pPr>
        <w:rPr>
          <w:lang w:val="fr-BE"/>
        </w:rPr>
      </w:pPr>
    </w:p>
    <w:p w14:paraId="733AD445" w14:textId="26E52082" w:rsidR="00F92C1E" w:rsidRDefault="00F92C1E" w:rsidP="00B76985">
      <w:pPr>
        <w:pStyle w:val="Titre2"/>
      </w:pPr>
      <w:bookmarkStart w:id="64" w:name="_Toc76034177"/>
      <w:r>
        <w:t>Secteurs d’utilisation (SU)</w:t>
      </w:r>
      <w:bookmarkEnd w:id="64"/>
    </w:p>
    <w:p w14:paraId="1C2802D2" w14:textId="1175E765" w:rsidR="00A718B2" w:rsidRPr="00BD15C9" w:rsidRDefault="00A718B2" w:rsidP="00CF0AA4">
      <w:pPr>
        <w:jc w:val="both"/>
        <w:rPr>
          <w:lang w:val="fr-FR"/>
        </w:rPr>
      </w:pPr>
      <w:r w:rsidRPr="00BD15C9">
        <w:rPr>
          <w:lang w:val="fr-FR"/>
        </w:rPr>
        <w:t xml:space="preserve">La catégorie des secteurs d'utilisation fournit des informations sur le secteur économique ou le segment du marché dans lequel la substance enregistrée est utilisée. </w:t>
      </w:r>
    </w:p>
    <w:p w14:paraId="68915447" w14:textId="4BFC9851" w:rsidR="001B672F" w:rsidRDefault="005329C6" w:rsidP="00CF0AA4">
      <w:pPr>
        <w:jc w:val="both"/>
        <w:rPr>
          <w:lang w:val="fr-FR"/>
        </w:rPr>
      </w:pPr>
      <w:r w:rsidRPr="00BD15C9">
        <w:rPr>
          <w:lang w:val="fr-FR"/>
        </w:rPr>
        <w:t xml:space="preserve">Le tableau ci-dessous énumère les valeurs de la catégorie des secteurs d'utilisation, telles que mentionnées dans les enregistrements et triées en fonction du code de cette catégorie. </w:t>
      </w:r>
    </w:p>
    <w:p w14:paraId="22BA2361" w14:textId="390B7F82" w:rsidR="00F92C1E" w:rsidRDefault="00F92C1E" w:rsidP="00CF0AA4">
      <w:pPr>
        <w:jc w:val="both"/>
        <w:rPr>
          <w:lang w:val="fr-FR"/>
        </w:rPr>
      </w:pPr>
      <w:r>
        <w:rPr>
          <w:lang w:val="fr-FR"/>
        </w:rPr>
        <w:t xml:space="preserve">Pour </w:t>
      </w:r>
      <w:r w:rsidR="005360A4">
        <w:rPr>
          <w:lang w:val="fr-FR"/>
        </w:rPr>
        <w:t>20</w:t>
      </w:r>
      <w:r w:rsidR="0034701B">
        <w:rPr>
          <w:lang w:val="fr-FR"/>
        </w:rPr>
        <w:t>20</w:t>
      </w:r>
      <w:r>
        <w:rPr>
          <w:lang w:val="fr-FR"/>
        </w:rPr>
        <w:t>, substances et mélanges ensemble :</w:t>
      </w:r>
    </w:p>
    <w:tbl>
      <w:tblPr>
        <w:tblStyle w:val="Grilledutableau"/>
        <w:tblW w:w="0" w:type="auto"/>
        <w:tblLook w:val="04A0" w:firstRow="1" w:lastRow="0" w:firstColumn="1" w:lastColumn="0" w:noHBand="0" w:noVBand="1"/>
      </w:tblPr>
      <w:tblGrid>
        <w:gridCol w:w="9350"/>
      </w:tblGrid>
      <w:tr w:rsidR="00384923" w:rsidRPr="007F1FE2" w14:paraId="6F7B487D" w14:textId="77777777" w:rsidTr="00A22B99">
        <w:trPr>
          <w:trHeight w:val="300"/>
          <w:tblHeader/>
        </w:trPr>
        <w:tc>
          <w:tcPr>
            <w:tcW w:w="9350" w:type="dxa"/>
            <w:tcBorders>
              <w:top w:val="single" w:sz="4" w:space="0" w:color="auto"/>
              <w:left w:val="single" w:sz="4" w:space="0" w:color="auto"/>
              <w:bottom w:val="single" w:sz="4" w:space="0" w:color="auto"/>
              <w:right w:val="single" w:sz="4" w:space="0" w:color="auto"/>
            </w:tcBorders>
            <w:noWrap/>
            <w:hideMark/>
          </w:tcPr>
          <w:p w14:paraId="04BD5BE6" w14:textId="4B5B28A8" w:rsidR="00F92C1E" w:rsidRPr="00384923" w:rsidRDefault="00F92C1E" w:rsidP="00F92C1E">
            <w:pPr>
              <w:jc w:val="both"/>
              <w:rPr>
                <w:rFonts w:ascii="inherit" w:hAnsi="inherit"/>
                <w:lang w:val="fr-BE"/>
              </w:rPr>
            </w:pPr>
            <w:r w:rsidRPr="00384923">
              <w:rPr>
                <w:b/>
                <w:i/>
                <w:lang w:val="fr-FR"/>
              </w:rPr>
              <w:t>Tableau: valeurs pour la cat</w:t>
            </w:r>
            <w:r w:rsidRPr="00384923">
              <w:rPr>
                <w:rFonts w:hint="eastAsia"/>
                <w:b/>
                <w:i/>
                <w:lang w:val="fr-FR"/>
              </w:rPr>
              <w:t>é</w:t>
            </w:r>
            <w:r w:rsidRPr="00384923">
              <w:rPr>
                <w:b/>
                <w:i/>
                <w:lang w:val="fr-FR"/>
              </w:rPr>
              <w:t>gorie Secteur de la consommation (SU) mentionn</w:t>
            </w:r>
            <w:r w:rsidRPr="00384923">
              <w:rPr>
                <w:rFonts w:hint="eastAsia"/>
                <w:b/>
                <w:i/>
                <w:lang w:val="fr-FR"/>
              </w:rPr>
              <w:t>é</w:t>
            </w:r>
            <w:r w:rsidRPr="00384923">
              <w:rPr>
                <w:b/>
                <w:i/>
                <w:lang w:val="fr-FR"/>
              </w:rPr>
              <w:t xml:space="preserve">e dans les enregistrements, pour </w:t>
            </w:r>
            <w:r w:rsidR="00C236F3">
              <w:rPr>
                <w:b/>
                <w:i/>
                <w:lang w:val="fr-FR"/>
              </w:rPr>
              <w:t>2020</w:t>
            </w:r>
            <w:r w:rsidRPr="00384923">
              <w:rPr>
                <w:b/>
                <w:i/>
                <w:lang w:val="fr-FR"/>
              </w:rPr>
              <w:t>, Substances et M</w:t>
            </w:r>
            <w:r w:rsidRPr="00384923">
              <w:rPr>
                <w:rFonts w:hint="eastAsia"/>
                <w:b/>
                <w:i/>
                <w:lang w:val="fr-FR"/>
              </w:rPr>
              <w:t>é</w:t>
            </w:r>
            <w:r w:rsidRPr="00384923">
              <w:rPr>
                <w:b/>
                <w:i/>
                <w:lang w:val="fr-FR"/>
              </w:rPr>
              <w:t>langes</w:t>
            </w:r>
          </w:p>
        </w:tc>
      </w:tr>
      <w:tr w:rsidR="00384923" w:rsidRPr="00384923" w14:paraId="6E7ADA20" w14:textId="77777777" w:rsidTr="00A22B9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6798DD9E" w14:textId="1D0D6E43" w:rsidR="00A22B99" w:rsidRPr="00384923" w:rsidRDefault="00A22B99" w:rsidP="00A22B99">
            <w:pPr>
              <w:jc w:val="both"/>
            </w:pPr>
            <w:r w:rsidRPr="00384923">
              <w:rPr>
                <w:rFonts w:asciiTheme="majorHAnsi" w:hAnsiTheme="majorHAnsi" w:cs="Arial"/>
                <w:lang w:val="fr-FR"/>
              </w:rPr>
              <w:t>SU0 Autres</w:t>
            </w:r>
          </w:p>
        </w:tc>
      </w:tr>
      <w:tr w:rsidR="00384923" w:rsidRPr="00384923" w14:paraId="2AD0AF7D" w14:textId="77777777" w:rsidTr="00A22B9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7A0EF4C2" w14:textId="1F100129" w:rsidR="00A22B99" w:rsidRPr="00384923" w:rsidRDefault="00A22B99" w:rsidP="00A22B99">
            <w:pPr>
              <w:jc w:val="both"/>
              <w:rPr>
                <w:lang w:val="nl-BE"/>
              </w:rPr>
            </w:pPr>
            <w:r w:rsidRPr="00384923">
              <w:rPr>
                <w:rFonts w:asciiTheme="majorHAnsi" w:hAnsiTheme="majorHAnsi" w:cs="Arial"/>
                <w:lang w:val="fr-FR"/>
              </w:rPr>
              <w:t>SU1 Agriculture, sylviculture, pêche</w:t>
            </w:r>
          </w:p>
        </w:tc>
      </w:tr>
      <w:tr w:rsidR="00384923" w:rsidRPr="007F1FE2" w14:paraId="61FF9BDB" w14:textId="77777777" w:rsidTr="00A22B9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22E90F60" w14:textId="08F89D44" w:rsidR="00A22B99" w:rsidRPr="00384923" w:rsidRDefault="00A22B99" w:rsidP="00A22B99">
            <w:pPr>
              <w:jc w:val="both"/>
              <w:rPr>
                <w:lang w:val="fr-BE"/>
              </w:rPr>
            </w:pPr>
            <w:r w:rsidRPr="00384923">
              <w:rPr>
                <w:rFonts w:asciiTheme="majorHAnsi" w:hAnsiTheme="majorHAnsi" w:cs="Arial"/>
                <w:lang w:val="fr-FR"/>
              </w:rPr>
              <w:t>SU2a Exploitation minière (hors industries offshore)</w:t>
            </w:r>
          </w:p>
        </w:tc>
      </w:tr>
      <w:tr w:rsidR="005360A4" w:rsidRPr="003F0CB6" w14:paraId="5DCAA323" w14:textId="77777777" w:rsidTr="00A22B99">
        <w:trPr>
          <w:trHeight w:val="300"/>
        </w:trPr>
        <w:tc>
          <w:tcPr>
            <w:tcW w:w="9350" w:type="dxa"/>
            <w:tcBorders>
              <w:top w:val="single" w:sz="4" w:space="0" w:color="auto"/>
              <w:left w:val="single" w:sz="4" w:space="0" w:color="auto"/>
              <w:bottom w:val="single" w:sz="4" w:space="0" w:color="auto"/>
              <w:right w:val="single" w:sz="4" w:space="0" w:color="auto"/>
            </w:tcBorders>
            <w:noWrap/>
          </w:tcPr>
          <w:p w14:paraId="75EE9B59" w14:textId="7B654AF7" w:rsidR="005360A4" w:rsidRPr="00384923" w:rsidRDefault="005360A4" w:rsidP="00A22B99">
            <w:pPr>
              <w:jc w:val="both"/>
              <w:rPr>
                <w:rFonts w:asciiTheme="majorHAnsi" w:hAnsiTheme="majorHAnsi" w:cs="Arial"/>
                <w:lang w:val="fr-FR"/>
              </w:rPr>
            </w:pPr>
            <w:r>
              <w:rPr>
                <w:rFonts w:asciiTheme="majorHAnsi" w:hAnsiTheme="majorHAnsi" w:cs="Arial"/>
                <w:lang w:val="fr-FR"/>
              </w:rPr>
              <w:t xml:space="preserve">SU2b Industrie </w:t>
            </w:r>
            <w:r w:rsidR="00AE0991">
              <w:rPr>
                <w:rFonts w:asciiTheme="majorHAnsi" w:hAnsiTheme="majorHAnsi" w:cs="Arial"/>
                <w:lang w:val="fr-FR"/>
              </w:rPr>
              <w:t>offshore</w:t>
            </w:r>
          </w:p>
        </w:tc>
      </w:tr>
      <w:tr w:rsidR="00384923" w:rsidRPr="007F1FE2" w14:paraId="72B31577" w14:textId="77777777" w:rsidTr="00A22B99">
        <w:trPr>
          <w:trHeight w:val="300"/>
        </w:trPr>
        <w:tc>
          <w:tcPr>
            <w:tcW w:w="9350" w:type="dxa"/>
            <w:tcBorders>
              <w:top w:val="single" w:sz="4" w:space="0" w:color="auto"/>
              <w:left w:val="single" w:sz="4" w:space="0" w:color="auto"/>
              <w:bottom w:val="single" w:sz="4" w:space="0" w:color="auto"/>
              <w:right w:val="single" w:sz="4" w:space="0" w:color="auto"/>
            </w:tcBorders>
            <w:noWrap/>
          </w:tcPr>
          <w:p w14:paraId="54F26900" w14:textId="777514C5" w:rsidR="007248C3" w:rsidRPr="00384923" w:rsidRDefault="007248C3" w:rsidP="007248C3">
            <w:pPr>
              <w:jc w:val="both"/>
              <w:rPr>
                <w:rFonts w:asciiTheme="majorHAnsi" w:hAnsiTheme="majorHAnsi" w:cs="Arial"/>
                <w:lang w:val="fr-FR"/>
              </w:rPr>
            </w:pPr>
            <w:r w:rsidRPr="00384923">
              <w:rPr>
                <w:rFonts w:asciiTheme="majorHAnsi" w:hAnsiTheme="majorHAnsi" w:cs="Arial"/>
                <w:lang w:val="fr-FR"/>
              </w:rPr>
              <w:t>SU3 Utilisations industrielles: Utilisations de substances en tant que telles ou en préparations sur sites industriels</w:t>
            </w:r>
          </w:p>
        </w:tc>
      </w:tr>
      <w:tr w:rsidR="00384923" w:rsidRPr="007F1FE2" w14:paraId="11F50189" w14:textId="77777777" w:rsidTr="00A22B9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260B136D" w14:textId="5D7850C3" w:rsidR="00A22B99" w:rsidRPr="00384923" w:rsidRDefault="00A22B99" w:rsidP="00A22B99">
            <w:pPr>
              <w:jc w:val="both"/>
              <w:rPr>
                <w:lang w:val="fr-BE"/>
              </w:rPr>
            </w:pPr>
            <w:r w:rsidRPr="00384923">
              <w:rPr>
                <w:rFonts w:asciiTheme="majorHAnsi" w:hAnsiTheme="majorHAnsi" w:cs="Arial"/>
                <w:lang w:val="fr-FR"/>
              </w:rPr>
              <w:t>SU4 Fabrication de produits alimentaires</w:t>
            </w:r>
          </w:p>
        </w:tc>
      </w:tr>
      <w:tr w:rsidR="00384923" w:rsidRPr="007F1FE2" w14:paraId="1FA67352" w14:textId="77777777" w:rsidTr="00A22B9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7F489C70" w14:textId="1E3503CD" w:rsidR="00A22B99" w:rsidRPr="00384923" w:rsidRDefault="00A22B99" w:rsidP="00A22B99">
            <w:pPr>
              <w:jc w:val="both"/>
              <w:rPr>
                <w:lang w:val="fr-BE"/>
              </w:rPr>
            </w:pPr>
            <w:r w:rsidRPr="00384923">
              <w:rPr>
                <w:rFonts w:asciiTheme="majorHAnsi" w:hAnsiTheme="majorHAnsi" w:cs="Arial"/>
                <w:lang w:val="fr-FR"/>
              </w:rPr>
              <w:t>SU5 Fabrication de textiles, cuir, fourrure</w:t>
            </w:r>
          </w:p>
        </w:tc>
      </w:tr>
      <w:tr w:rsidR="00384923" w:rsidRPr="007F1FE2" w14:paraId="322DB7EE" w14:textId="77777777" w:rsidTr="00A22B9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4FA2C35D" w14:textId="0416F14C" w:rsidR="00A22B99" w:rsidRPr="00384923" w:rsidRDefault="00A22B99" w:rsidP="00A22B99">
            <w:pPr>
              <w:jc w:val="both"/>
              <w:rPr>
                <w:lang w:val="fr-BE"/>
              </w:rPr>
            </w:pPr>
            <w:r w:rsidRPr="00384923">
              <w:rPr>
                <w:rFonts w:asciiTheme="majorHAnsi" w:hAnsiTheme="majorHAnsi" w:cs="Arial"/>
                <w:lang w:val="fr-FR"/>
              </w:rPr>
              <w:t>SU6a Fabrication de bois et produits du bois</w:t>
            </w:r>
          </w:p>
        </w:tc>
      </w:tr>
      <w:tr w:rsidR="00384923" w:rsidRPr="007F1FE2" w14:paraId="5A286E7E" w14:textId="77777777" w:rsidTr="00A22B9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1EF5E394" w14:textId="4189194D" w:rsidR="00A22B99" w:rsidRPr="00384923" w:rsidRDefault="00A22B99" w:rsidP="00A22B99">
            <w:pPr>
              <w:jc w:val="both"/>
              <w:rPr>
                <w:lang w:val="fr-BE"/>
              </w:rPr>
            </w:pPr>
            <w:r w:rsidRPr="00384923">
              <w:rPr>
                <w:rFonts w:asciiTheme="majorHAnsi" w:hAnsiTheme="majorHAnsi" w:cs="Arial"/>
                <w:lang w:val="fr-FR"/>
              </w:rPr>
              <w:t>SU6b Fabrication de pâte, papier et produits papetiers</w:t>
            </w:r>
          </w:p>
        </w:tc>
      </w:tr>
      <w:tr w:rsidR="00384923" w:rsidRPr="007F1FE2" w14:paraId="1E1F27E9" w14:textId="77777777" w:rsidTr="00A22B9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148A7109" w14:textId="12F551F2" w:rsidR="00A22B99" w:rsidRPr="00384923" w:rsidRDefault="00A22B99" w:rsidP="00A22B99">
            <w:pPr>
              <w:jc w:val="both"/>
              <w:rPr>
                <w:lang w:val="fr-BE"/>
              </w:rPr>
            </w:pPr>
            <w:r w:rsidRPr="00384923">
              <w:rPr>
                <w:rFonts w:asciiTheme="majorHAnsi" w:hAnsiTheme="majorHAnsi" w:cs="Arial"/>
                <w:lang w:val="fr-FR"/>
              </w:rPr>
              <w:t>SU7 Imprimerie et reproduction de supports enregistrés</w:t>
            </w:r>
          </w:p>
        </w:tc>
      </w:tr>
      <w:tr w:rsidR="00384923" w:rsidRPr="007F1FE2" w14:paraId="4CBEF42C" w14:textId="77777777" w:rsidTr="00A22B9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2C4ACD9E" w14:textId="2F271FEF" w:rsidR="00A22B99" w:rsidRPr="00384923" w:rsidRDefault="00A22B99" w:rsidP="00A22B99">
            <w:pPr>
              <w:jc w:val="both"/>
              <w:rPr>
                <w:lang w:val="fr-BE"/>
              </w:rPr>
            </w:pPr>
            <w:r w:rsidRPr="00384923">
              <w:rPr>
                <w:rFonts w:asciiTheme="majorHAnsi" w:hAnsiTheme="majorHAnsi" w:cs="Arial"/>
                <w:lang w:val="fr-FR"/>
              </w:rPr>
              <w:t>SU8 Fabrication de substances chimiques en vrac, à grande échelle (y compris les produits pétroliers)</w:t>
            </w:r>
          </w:p>
        </w:tc>
      </w:tr>
      <w:tr w:rsidR="00384923" w:rsidRPr="007F1FE2" w14:paraId="1F332D60" w14:textId="77777777" w:rsidTr="00A22B9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54AA2AA7" w14:textId="397754CC" w:rsidR="00A22B99" w:rsidRPr="00384923" w:rsidRDefault="00A22B99" w:rsidP="00A22B99">
            <w:pPr>
              <w:jc w:val="both"/>
              <w:rPr>
                <w:lang w:val="fr-BE"/>
              </w:rPr>
            </w:pPr>
            <w:r w:rsidRPr="00384923">
              <w:rPr>
                <w:rFonts w:asciiTheme="majorHAnsi" w:hAnsiTheme="majorHAnsi" w:cs="Arial"/>
                <w:lang w:val="fr-FR"/>
              </w:rPr>
              <w:t>SU9 Fabrication de substances chimiques fines</w:t>
            </w:r>
          </w:p>
        </w:tc>
      </w:tr>
      <w:tr w:rsidR="00384923" w:rsidRPr="007F1FE2" w14:paraId="54549917" w14:textId="77777777" w:rsidTr="00A22B9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09607426" w14:textId="46FB187B" w:rsidR="00A22B99" w:rsidRPr="00384923" w:rsidRDefault="00A22B99" w:rsidP="00A22B99">
            <w:pPr>
              <w:jc w:val="both"/>
              <w:rPr>
                <w:lang w:val="fr-BE"/>
              </w:rPr>
            </w:pPr>
            <w:r w:rsidRPr="00384923">
              <w:rPr>
                <w:rFonts w:asciiTheme="majorHAnsi" w:hAnsiTheme="majorHAnsi" w:cs="Arial"/>
                <w:lang w:val="fr-FR"/>
              </w:rPr>
              <w:t>SU10 Formulation [mélange] de préparations et/ou reconditionnement (sauf alliages)</w:t>
            </w:r>
          </w:p>
        </w:tc>
      </w:tr>
      <w:tr w:rsidR="00384923" w:rsidRPr="007F1FE2" w14:paraId="2E4FC556" w14:textId="77777777" w:rsidTr="00A22B9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4C81E58A" w14:textId="2105A415" w:rsidR="00A22B99" w:rsidRPr="00384923" w:rsidRDefault="00A22B99" w:rsidP="00A22B99">
            <w:pPr>
              <w:jc w:val="both"/>
              <w:rPr>
                <w:lang w:val="fr-BE"/>
              </w:rPr>
            </w:pPr>
            <w:r w:rsidRPr="00384923">
              <w:rPr>
                <w:rFonts w:asciiTheme="majorHAnsi" w:hAnsiTheme="majorHAnsi" w:cs="Arial"/>
                <w:lang w:val="fr-FR"/>
              </w:rPr>
              <w:t>SU11 Fabrication de produits en caoutchouc</w:t>
            </w:r>
          </w:p>
        </w:tc>
      </w:tr>
      <w:tr w:rsidR="00384923" w:rsidRPr="007F1FE2" w14:paraId="0025DD57" w14:textId="77777777" w:rsidTr="00A22B9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455244CA" w14:textId="4089F3F3" w:rsidR="00A22B99" w:rsidRPr="00384923" w:rsidRDefault="00A22B99" w:rsidP="00A22B99">
            <w:pPr>
              <w:jc w:val="both"/>
              <w:rPr>
                <w:lang w:val="fr-BE"/>
              </w:rPr>
            </w:pPr>
            <w:r w:rsidRPr="00384923">
              <w:rPr>
                <w:rFonts w:asciiTheme="majorHAnsi" w:hAnsiTheme="majorHAnsi" w:cs="Arial"/>
                <w:lang w:val="fr-FR"/>
              </w:rPr>
              <w:t>SU12 Fabrication de produits en matières plastiques, y compris formulation et conversion</w:t>
            </w:r>
          </w:p>
        </w:tc>
      </w:tr>
      <w:tr w:rsidR="00384923" w:rsidRPr="007F1FE2" w14:paraId="3C2150DF" w14:textId="77777777" w:rsidTr="00A22B9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47A911EB" w14:textId="582E4827" w:rsidR="00A22B99" w:rsidRPr="00384923" w:rsidRDefault="00A22B99" w:rsidP="00A22B99">
            <w:pPr>
              <w:jc w:val="both"/>
              <w:rPr>
                <w:lang w:val="fr-BE"/>
              </w:rPr>
            </w:pPr>
            <w:r w:rsidRPr="00384923">
              <w:rPr>
                <w:rFonts w:asciiTheme="majorHAnsi" w:hAnsiTheme="majorHAnsi" w:cs="Arial"/>
                <w:lang w:val="fr-FR"/>
              </w:rPr>
              <w:t>SU13 Fabrication d’autres produits minéraux non métalliques, p. ex. plâtre, ciment</w:t>
            </w:r>
          </w:p>
        </w:tc>
      </w:tr>
      <w:tr w:rsidR="00384923" w:rsidRPr="007F1FE2" w14:paraId="53CB2937" w14:textId="77777777" w:rsidTr="00A22B9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65283D79" w14:textId="40E2978E" w:rsidR="00A22B99" w:rsidRPr="00384923" w:rsidRDefault="00A22B99" w:rsidP="00A22B99">
            <w:pPr>
              <w:jc w:val="both"/>
              <w:rPr>
                <w:lang w:val="fr-BE"/>
              </w:rPr>
            </w:pPr>
            <w:r w:rsidRPr="00384923">
              <w:rPr>
                <w:rFonts w:asciiTheme="majorHAnsi" w:hAnsiTheme="majorHAnsi" w:cs="Arial"/>
                <w:lang w:val="fr-FR"/>
              </w:rPr>
              <w:lastRenderedPageBreak/>
              <w:t>SU14 Fabrication de métaux de base, y compris les alliages</w:t>
            </w:r>
          </w:p>
        </w:tc>
      </w:tr>
      <w:tr w:rsidR="00384923" w:rsidRPr="007F1FE2" w14:paraId="74ED7498" w14:textId="77777777" w:rsidTr="00A22B9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33F91027" w14:textId="6D59616C" w:rsidR="00A22B99" w:rsidRPr="00384923" w:rsidRDefault="00A22B99" w:rsidP="00A22B99">
            <w:pPr>
              <w:jc w:val="both"/>
              <w:rPr>
                <w:lang w:val="fr-BE"/>
              </w:rPr>
            </w:pPr>
            <w:r w:rsidRPr="00384923">
              <w:rPr>
                <w:rFonts w:asciiTheme="majorHAnsi" w:hAnsiTheme="majorHAnsi" w:cs="Arial"/>
                <w:lang w:val="fr-FR"/>
              </w:rPr>
              <w:t>SU15 Fabrication de produits métalliques, à l’exclusion des machines et équipements</w:t>
            </w:r>
          </w:p>
        </w:tc>
      </w:tr>
      <w:tr w:rsidR="00384923" w:rsidRPr="007F1FE2" w14:paraId="6B8D1017" w14:textId="77777777" w:rsidTr="00A22B9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549ECF8C" w14:textId="4C25377A" w:rsidR="00A22B99" w:rsidRPr="00384923" w:rsidRDefault="00A22B99" w:rsidP="00A22B99">
            <w:pPr>
              <w:jc w:val="both"/>
              <w:rPr>
                <w:lang w:val="fr-BE"/>
              </w:rPr>
            </w:pPr>
            <w:r w:rsidRPr="00384923">
              <w:rPr>
                <w:rFonts w:asciiTheme="majorHAnsi" w:hAnsiTheme="majorHAnsi" w:cs="Arial"/>
                <w:lang w:val="fr-FR"/>
              </w:rPr>
              <w:t>SU16 Fabrication de produits informatiques, électroniques et optiques, équipements électriques</w:t>
            </w:r>
          </w:p>
        </w:tc>
      </w:tr>
      <w:tr w:rsidR="00384923" w:rsidRPr="007F1FE2" w14:paraId="629A1352" w14:textId="77777777" w:rsidTr="00A22B9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1DAF2138" w14:textId="62A2E426" w:rsidR="00A22B99" w:rsidRPr="00384923" w:rsidRDefault="00A22B99" w:rsidP="00A22B99">
            <w:pPr>
              <w:jc w:val="both"/>
              <w:rPr>
                <w:lang w:val="fr-BE"/>
              </w:rPr>
            </w:pPr>
            <w:r w:rsidRPr="00384923">
              <w:rPr>
                <w:rFonts w:asciiTheme="majorHAnsi" w:hAnsiTheme="majorHAnsi" w:cs="Arial"/>
                <w:lang w:val="fr-FR"/>
              </w:rPr>
              <w:t>SU17 Fabrication générale, p. ex. machines, équipements, véhicules, autres matériels de transport</w:t>
            </w:r>
          </w:p>
        </w:tc>
      </w:tr>
      <w:tr w:rsidR="00384923" w:rsidRPr="00384923" w14:paraId="075BA9F2" w14:textId="77777777" w:rsidTr="00A22B9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4BE4108C" w14:textId="6DC1E5CD" w:rsidR="007248C3" w:rsidRPr="00384923" w:rsidRDefault="007248C3" w:rsidP="007248C3">
            <w:pPr>
              <w:jc w:val="both"/>
            </w:pPr>
            <w:r w:rsidRPr="00384923">
              <w:rPr>
                <w:rFonts w:asciiTheme="majorHAnsi" w:hAnsiTheme="majorHAnsi" w:cs="Arial"/>
                <w:lang w:val="fr-FR"/>
              </w:rPr>
              <w:t>SU18 Fabrication de meubles</w:t>
            </w:r>
          </w:p>
        </w:tc>
      </w:tr>
      <w:tr w:rsidR="00384923" w:rsidRPr="007F1FE2" w14:paraId="4D2EF8C3" w14:textId="77777777" w:rsidTr="00A22B9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62936FA5" w14:textId="21427617" w:rsidR="007248C3" w:rsidRPr="00384923" w:rsidRDefault="007248C3" w:rsidP="007248C3">
            <w:pPr>
              <w:jc w:val="both"/>
              <w:rPr>
                <w:lang w:val="fr-BE"/>
              </w:rPr>
            </w:pPr>
            <w:r w:rsidRPr="00384923">
              <w:rPr>
                <w:rFonts w:asciiTheme="majorHAnsi" w:hAnsiTheme="majorHAnsi" w:cs="Arial"/>
                <w:lang w:val="fr-FR"/>
              </w:rPr>
              <w:t>SU19 Bâtiment et travaux de construction</w:t>
            </w:r>
          </w:p>
        </w:tc>
      </w:tr>
      <w:tr w:rsidR="00384923" w:rsidRPr="00384923" w14:paraId="0944ADAB" w14:textId="77777777" w:rsidTr="00A22B9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1E0A394B" w14:textId="0DC674B3" w:rsidR="007248C3" w:rsidRPr="00DC5C95" w:rsidRDefault="007248C3" w:rsidP="007248C3">
            <w:pPr>
              <w:jc w:val="both"/>
            </w:pPr>
            <w:r w:rsidRPr="00DC5C95">
              <w:rPr>
                <w:rFonts w:asciiTheme="majorHAnsi" w:hAnsiTheme="majorHAnsi" w:cs="Arial"/>
                <w:lang w:val="fr-FR"/>
              </w:rPr>
              <w:t>SU20 Services de santé</w:t>
            </w:r>
          </w:p>
        </w:tc>
      </w:tr>
      <w:tr w:rsidR="00384923" w:rsidRPr="007F1FE2" w14:paraId="3643188A" w14:textId="77777777" w:rsidTr="00A22B9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2AC72E2C" w14:textId="00E6EDC0" w:rsidR="007248C3" w:rsidRPr="00DC5C95" w:rsidRDefault="007248C3" w:rsidP="007248C3">
            <w:pPr>
              <w:jc w:val="both"/>
              <w:rPr>
                <w:lang w:val="fr-BE"/>
              </w:rPr>
            </w:pPr>
            <w:r w:rsidRPr="00DC5C95">
              <w:rPr>
                <w:rFonts w:asciiTheme="majorHAnsi" w:hAnsiTheme="majorHAnsi" w:cs="Arial"/>
                <w:lang w:val="fr-FR"/>
              </w:rPr>
              <w:t>SU21 Utilisations par des consommateurs: Ménages privés (= grand public = consommateurs)</w:t>
            </w:r>
          </w:p>
        </w:tc>
      </w:tr>
      <w:tr w:rsidR="00384923" w:rsidRPr="007F1FE2" w14:paraId="7A4636D8" w14:textId="77777777" w:rsidTr="00A22B9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471135B5" w14:textId="2842B747" w:rsidR="007248C3" w:rsidRPr="00DC5C95" w:rsidRDefault="007248C3" w:rsidP="007248C3">
            <w:pPr>
              <w:jc w:val="both"/>
              <w:rPr>
                <w:lang w:val="fr-BE"/>
              </w:rPr>
            </w:pPr>
            <w:r w:rsidRPr="00DC5C95">
              <w:rPr>
                <w:rFonts w:asciiTheme="majorHAnsi" w:hAnsiTheme="majorHAnsi" w:cs="Arial"/>
                <w:lang w:val="fr-FR"/>
              </w:rPr>
              <w:t>SU22 Utilisations professionnelles: Domaine public (administration, éducation, spectacle, services, artisans)</w:t>
            </w:r>
          </w:p>
        </w:tc>
      </w:tr>
      <w:tr w:rsidR="00384923" w:rsidRPr="007F1FE2" w14:paraId="55E217AF" w14:textId="77777777" w:rsidTr="00A22B9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72B2F15B" w14:textId="5296349B" w:rsidR="007248C3" w:rsidRPr="00DC5C95" w:rsidRDefault="007248C3" w:rsidP="007248C3">
            <w:pPr>
              <w:jc w:val="both"/>
              <w:rPr>
                <w:lang w:val="fr-BE"/>
              </w:rPr>
            </w:pPr>
            <w:r w:rsidRPr="00DC5C95">
              <w:rPr>
                <w:rFonts w:asciiTheme="majorHAnsi" w:hAnsiTheme="majorHAnsi" w:cs="Arial"/>
                <w:lang w:val="fr-FR"/>
              </w:rPr>
              <w:t>SU23 Fourniture d'électricité, de vapeur, de gaz, d'eau et traitement des eaux usées</w:t>
            </w:r>
          </w:p>
        </w:tc>
      </w:tr>
      <w:tr w:rsidR="00384923" w:rsidRPr="007F1FE2" w14:paraId="48D61C36" w14:textId="77777777" w:rsidTr="00A22B9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5DB37681" w14:textId="542AC101" w:rsidR="007248C3" w:rsidRPr="00DC5C95" w:rsidRDefault="007248C3" w:rsidP="007248C3">
            <w:pPr>
              <w:jc w:val="both"/>
              <w:rPr>
                <w:lang w:val="fr-BE"/>
              </w:rPr>
            </w:pPr>
            <w:r w:rsidRPr="00DC5C95">
              <w:rPr>
                <w:rFonts w:asciiTheme="majorHAnsi" w:hAnsiTheme="majorHAnsi" w:cs="Arial"/>
                <w:lang w:val="fr-FR"/>
              </w:rPr>
              <w:t>SU24 Recherche scientifique et développement</w:t>
            </w:r>
          </w:p>
        </w:tc>
      </w:tr>
    </w:tbl>
    <w:p w14:paraId="01219B79" w14:textId="77777777" w:rsidR="00F92C1E" w:rsidRPr="00B76985" w:rsidRDefault="00F92C1E" w:rsidP="00CF0AA4">
      <w:pPr>
        <w:jc w:val="both"/>
        <w:rPr>
          <w:lang w:val="fr-BE"/>
        </w:rPr>
      </w:pPr>
    </w:p>
    <w:p w14:paraId="028DDC2E" w14:textId="346C3E7B" w:rsidR="00C3110F" w:rsidRPr="00BD15C9" w:rsidRDefault="001B672F" w:rsidP="00CF0AA4">
      <w:pPr>
        <w:jc w:val="both"/>
        <w:rPr>
          <w:lang w:val="fr-FR"/>
        </w:rPr>
      </w:pPr>
      <w:r w:rsidRPr="00BD15C9">
        <w:rPr>
          <w:lang w:val="fr-FR"/>
        </w:rPr>
        <w:t>La figure ci-dess</w:t>
      </w:r>
      <w:r w:rsidR="00440B34">
        <w:rPr>
          <w:lang w:val="fr-FR"/>
        </w:rPr>
        <w:t>o</w:t>
      </w:r>
      <w:r w:rsidRPr="00BD15C9">
        <w:rPr>
          <w:lang w:val="fr-FR"/>
        </w:rPr>
        <w:t xml:space="preserve">us illustre les cinq valeurs SU le plus souvent mentionnées dans les enregistrements. </w:t>
      </w:r>
    </w:p>
    <w:p w14:paraId="174481A4" w14:textId="03339013" w:rsidR="00C3110F" w:rsidRDefault="00F92C1E" w:rsidP="00CF0AA4">
      <w:pPr>
        <w:jc w:val="both"/>
        <w:rPr>
          <w:lang w:val="fr-FR"/>
        </w:rPr>
      </w:pPr>
      <w:r>
        <w:rPr>
          <w:lang w:val="fr-FR"/>
        </w:rPr>
        <w:t xml:space="preserve">Pour </w:t>
      </w:r>
      <w:r w:rsidR="00AE0991">
        <w:rPr>
          <w:lang w:val="fr-FR"/>
        </w:rPr>
        <w:t>20</w:t>
      </w:r>
      <w:r w:rsidR="001B493A">
        <w:rPr>
          <w:lang w:val="fr-FR"/>
        </w:rPr>
        <w:t>20</w:t>
      </w:r>
      <w:r>
        <w:rPr>
          <w:lang w:val="fr-FR"/>
        </w:rPr>
        <w:t>, substances et mélanges ensemble :</w:t>
      </w:r>
    </w:p>
    <w:p w14:paraId="5FDE1281" w14:textId="6C2AD09D" w:rsidR="007248C3" w:rsidRDefault="008F2CB7" w:rsidP="00B176EF">
      <w:pPr>
        <w:jc w:val="center"/>
      </w:pPr>
      <w:r>
        <w:rPr>
          <w:noProof/>
          <w:lang w:val="fr-FR"/>
        </w:rPr>
        <w:drawing>
          <wp:inline distT="0" distB="0" distL="0" distR="0" wp14:anchorId="47B8594B" wp14:editId="1B7A4E5D">
            <wp:extent cx="5486400" cy="3200400"/>
            <wp:effectExtent l="0" t="0" r="0" b="0"/>
            <wp:docPr id="21" name="Graphique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D82C10D" w14:textId="0D1DB7F9" w:rsidR="00F92C1E" w:rsidRPr="00B76985" w:rsidRDefault="007248C3" w:rsidP="00384923">
      <w:pPr>
        <w:pStyle w:val="Lgende"/>
        <w:jc w:val="center"/>
        <w:rPr>
          <w:lang w:val="fr-BE"/>
        </w:rPr>
      </w:pPr>
      <w:r w:rsidRPr="00B76985">
        <w:rPr>
          <w:lang w:val="fr-BE"/>
        </w:rPr>
        <w:t xml:space="preserve">Figure </w:t>
      </w:r>
      <w:r>
        <w:fldChar w:fldCharType="begin"/>
      </w:r>
      <w:r w:rsidRPr="00B76985">
        <w:rPr>
          <w:lang w:val="fr-BE"/>
        </w:rPr>
        <w:instrText xml:space="preserve"> SEQ Figure \* ARABIC </w:instrText>
      </w:r>
      <w:r>
        <w:fldChar w:fldCharType="separate"/>
      </w:r>
      <w:r w:rsidR="00B176EF">
        <w:rPr>
          <w:noProof/>
          <w:lang w:val="fr-BE"/>
        </w:rPr>
        <w:t>13</w:t>
      </w:r>
      <w:r>
        <w:fldChar w:fldCharType="end"/>
      </w:r>
      <w:r w:rsidRPr="00B76985">
        <w:rPr>
          <w:lang w:val="fr-BE"/>
        </w:rPr>
        <w:t xml:space="preserve"> : nombre d'enregistrements par catégorie d'utilisation (substances et mélanges</w:t>
      </w:r>
      <w:r w:rsidR="00AE0991">
        <w:rPr>
          <w:lang w:val="fr-BE"/>
        </w:rPr>
        <w:t>) en 20</w:t>
      </w:r>
      <w:r w:rsidR="00A10AD9">
        <w:rPr>
          <w:lang w:val="fr-BE"/>
        </w:rPr>
        <w:t>20</w:t>
      </w:r>
    </w:p>
    <w:p w14:paraId="33B7A19B" w14:textId="2049E600" w:rsidR="00F92C1E" w:rsidRPr="00BD15C9" w:rsidRDefault="007248C3" w:rsidP="00CF0AA4">
      <w:pPr>
        <w:jc w:val="both"/>
        <w:rPr>
          <w:lang w:val="fr-FR"/>
        </w:rPr>
      </w:pPr>
      <w:r>
        <w:rPr>
          <w:lang w:val="fr-FR"/>
        </w:rPr>
        <w:t xml:space="preserve">Le Top </w:t>
      </w:r>
      <w:r w:rsidR="0060196C">
        <w:rPr>
          <w:lang w:val="fr-FR"/>
        </w:rPr>
        <w:t>5</w:t>
      </w:r>
      <w:r>
        <w:rPr>
          <w:lang w:val="fr-FR"/>
        </w:rPr>
        <w:t xml:space="preserve"> reste le</w:t>
      </w:r>
      <w:r w:rsidR="00F92C1E">
        <w:rPr>
          <w:lang w:val="fr-FR"/>
        </w:rPr>
        <w:t xml:space="preserve"> même que </w:t>
      </w:r>
      <w:r>
        <w:rPr>
          <w:lang w:val="fr-FR"/>
        </w:rPr>
        <w:t xml:space="preserve">pour l’année de commerce </w:t>
      </w:r>
      <w:r w:rsidR="00AE0991">
        <w:rPr>
          <w:lang w:val="fr-FR"/>
        </w:rPr>
        <w:t>201</w:t>
      </w:r>
      <w:r w:rsidR="00DD4894">
        <w:rPr>
          <w:lang w:val="fr-FR"/>
        </w:rPr>
        <w:t>9</w:t>
      </w:r>
      <w:r w:rsidR="0014608F">
        <w:rPr>
          <w:lang w:val="fr-FR"/>
        </w:rPr>
        <w:t xml:space="preserve"> à l’exception d</w:t>
      </w:r>
      <w:r w:rsidR="00DD4894">
        <w:rPr>
          <w:lang w:val="fr-FR"/>
        </w:rPr>
        <w:t>u code</w:t>
      </w:r>
      <w:r w:rsidR="0014608F">
        <w:rPr>
          <w:lang w:val="fr-FR"/>
        </w:rPr>
        <w:t xml:space="preserve"> SU07</w:t>
      </w:r>
      <w:r w:rsidR="008F2CB7">
        <w:rPr>
          <w:lang w:val="fr-FR"/>
        </w:rPr>
        <w:t xml:space="preserve"> (qui était ex aequo avec SU16 et SU19 avec 19 enregistrements) et SU11 (28 enregistrements)</w:t>
      </w:r>
      <w:r w:rsidR="0014608F">
        <w:rPr>
          <w:lang w:val="fr-FR"/>
        </w:rPr>
        <w:t xml:space="preserve"> </w:t>
      </w:r>
      <w:r w:rsidR="00DD4894">
        <w:rPr>
          <w:lang w:val="fr-FR"/>
        </w:rPr>
        <w:t>qui dispara</w:t>
      </w:r>
      <w:r w:rsidR="008F2CB7">
        <w:rPr>
          <w:lang w:val="fr-FR"/>
        </w:rPr>
        <w:t>issent</w:t>
      </w:r>
      <w:r w:rsidR="00AE0991" w:rsidRPr="0014608F">
        <w:rPr>
          <w:lang w:val="fr-FR"/>
        </w:rPr>
        <w:t>.</w:t>
      </w:r>
    </w:p>
    <w:p w14:paraId="64F52BAE" w14:textId="34CF559E" w:rsidR="00601D1C" w:rsidRDefault="00601D1C" w:rsidP="00B76985">
      <w:pPr>
        <w:pStyle w:val="Titre2"/>
      </w:pPr>
      <w:bookmarkStart w:id="65" w:name="_Toc76034178"/>
      <w:r>
        <w:lastRenderedPageBreak/>
        <w:t>Catégories de processus (PROC)</w:t>
      </w:r>
      <w:bookmarkEnd w:id="65"/>
    </w:p>
    <w:p w14:paraId="1AADCD49" w14:textId="02D9C0CC" w:rsidR="001B672F" w:rsidRPr="00BD15C9" w:rsidRDefault="001B672F" w:rsidP="00B434D9">
      <w:pPr>
        <w:jc w:val="both"/>
        <w:rPr>
          <w:lang w:val="fr-FR"/>
        </w:rPr>
      </w:pPr>
      <w:r w:rsidRPr="00914A91">
        <w:rPr>
          <w:lang w:val="fr-FR"/>
        </w:rPr>
        <w:t>Les catégories de processus définissent les types de processus du point de vue professionnel et font une distinction en fonction du potentiel d'exposition des travailleurs dans le cadre de l'exécution des processus.</w:t>
      </w:r>
    </w:p>
    <w:p w14:paraId="00E81492" w14:textId="6FAE73D0" w:rsidR="00C3110F" w:rsidRDefault="00E26F63" w:rsidP="00CF0AA4">
      <w:pPr>
        <w:jc w:val="both"/>
        <w:rPr>
          <w:lang w:val="fr-FR"/>
        </w:rPr>
      </w:pPr>
      <w:r w:rsidRPr="00BD15C9">
        <w:rPr>
          <w:lang w:val="fr-FR"/>
        </w:rPr>
        <w:t xml:space="preserve">Le tableau ci-dessous énumère les valeurs de la catégorie de processus, telles que mentionnées dans les enregistrements et triées en fonction du code de cette catégorie. </w:t>
      </w:r>
    </w:p>
    <w:p w14:paraId="09DAECB7" w14:textId="4016EAD5" w:rsidR="00F92C1E" w:rsidRDefault="00F92C1E" w:rsidP="00CF0AA4">
      <w:pPr>
        <w:jc w:val="both"/>
        <w:rPr>
          <w:lang w:val="fr-FR"/>
        </w:rPr>
      </w:pPr>
      <w:r>
        <w:rPr>
          <w:lang w:val="fr-FR"/>
        </w:rPr>
        <w:t xml:space="preserve">Pour </w:t>
      </w:r>
      <w:r w:rsidR="0014608F">
        <w:rPr>
          <w:lang w:val="fr-FR"/>
        </w:rPr>
        <w:t>20</w:t>
      </w:r>
      <w:r w:rsidR="00590745">
        <w:rPr>
          <w:lang w:val="fr-FR"/>
        </w:rPr>
        <w:t>20</w:t>
      </w:r>
      <w:r>
        <w:rPr>
          <w:lang w:val="fr-FR"/>
        </w:rPr>
        <w:t xml:space="preserve">, substances et mélanges : </w:t>
      </w:r>
    </w:p>
    <w:tbl>
      <w:tblPr>
        <w:tblStyle w:val="Grilledutableau"/>
        <w:tblW w:w="0" w:type="auto"/>
        <w:tblLook w:val="04A0" w:firstRow="1" w:lastRow="0" w:firstColumn="1" w:lastColumn="0" w:noHBand="0" w:noVBand="1"/>
      </w:tblPr>
      <w:tblGrid>
        <w:gridCol w:w="9350"/>
      </w:tblGrid>
      <w:tr w:rsidR="00384923" w:rsidRPr="007F1FE2" w14:paraId="4F30B786" w14:textId="77777777" w:rsidTr="009F6CC9">
        <w:trPr>
          <w:trHeight w:val="300"/>
          <w:tblHeader/>
        </w:trPr>
        <w:tc>
          <w:tcPr>
            <w:tcW w:w="9350" w:type="dxa"/>
            <w:tcBorders>
              <w:top w:val="single" w:sz="4" w:space="0" w:color="auto"/>
              <w:left w:val="single" w:sz="4" w:space="0" w:color="auto"/>
              <w:bottom w:val="single" w:sz="4" w:space="0" w:color="auto"/>
              <w:right w:val="single" w:sz="4" w:space="0" w:color="auto"/>
            </w:tcBorders>
            <w:noWrap/>
            <w:hideMark/>
          </w:tcPr>
          <w:p w14:paraId="0295FDA8" w14:textId="4C2839B5" w:rsidR="00C43F7B" w:rsidRPr="00384923" w:rsidRDefault="00C43F7B" w:rsidP="00C43F7B">
            <w:pPr>
              <w:jc w:val="both"/>
              <w:rPr>
                <w:rFonts w:ascii="inherit" w:hAnsi="inherit"/>
                <w:lang w:val="fr-BE"/>
              </w:rPr>
            </w:pPr>
            <w:r w:rsidRPr="00384923">
              <w:rPr>
                <w:b/>
                <w:i/>
                <w:lang w:val="fr-FR"/>
              </w:rPr>
              <w:t>Tableau: valeurs de la cat</w:t>
            </w:r>
            <w:r w:rsidRPr="00384923">
              <w:rPr>
                <w:rFonts w:hint="eastAsia"/>
                <w:b/>
                <w:i/>
                <w:lang w:val="fr-FR"/>
              </w:rPr>
              <w:t>é</w:t>
            </w:r>
            <w:r w:rsidRPr="00384923">
              <w:rPr>
                <w:b/>
                <w:i/>
                <w:lang w:val="fr-FR"/>
              </w:rPr>
              <w:t>gorie de processus (PROC) indiqu</w:t>
            </w:r>
            <w:r w:rsidRPr="00384923">
              <w:rPr>
                <w:rFonts w:hint="eastAsia"/>
                <w:b/>
                <w:i/>
                <w:lang w:val="fr-FR"/>
              </w:rPr>
              <w:t>é</w:t>
            </w:r>
            <w:r w:rsidRPr="00384923">
              <w:rPr>
                <w:b/>
                <w:i/>
                <w:lang w:val="fr-FR"/>
              </w:rPr>
              <w:t xml:space="preserve">e dans les enregistrements, pour </w:t>
            </w:r>
            <w:r w:rsidR="00FE7DB5" w:rsidRPr="00384923">
              <w:rPr>
                <w:b/>
                <w:i/>
                <w:lang w:val="fr-FR"/>
              </w:rPr>
              <w:t>20</w:t>
            </w:r>
            <w:r w:rsidR="00A10AD9">
              <w:rPr>
                <w:b/>
                <w:i/>
                <w:lang w:val="fr-FR"/>
              </w:rPr>
              <w:t>20</w:t>
            </w:r>
            <w:r w:rsidRPr="00384923">
              <w:rPr>
                <w:b/>
                <w:i/>
                <w:lang w:val="fr-FR"/>
              </w:rPr>
              <w:t>, substances et m</w:t>
            </w:r>
            <w:r w:rsidRPr="00384923">
              <w:rPr>
                <w:rFonts w:hint="eastAsia"/>
                <w:b/>
                <w:i/>
                <w:lang w:val="fr-FR"/>
              </w:rPr>
              <w:t>é</w:t>
            </w:r>
            <w:r w:rsidRPr="00384923">
              <w:rPr>
                <w:b/>
                <w:i/>
                <w:lang w:val="fr-FR"/>
              </w:rPr>
              <w:t>langes</w:t>
            </w:r>
          </w:p>
        </w:tc>
      </w:tr>
      <w:tr w:rsidR="00384923" w:rsidRPr="00384923" w14:paraId="07E28F31" w14:textId="77777777" w:rsidTr="009F6CC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1AFD70F1" w14:textId="47B640DF" w:rsidR="009F6CC9" w:rsidRPr="00384923" w:rsidRDefault="009F6CC9" w:rsidP="009F6CC9">
            <w:pPr>
              <w:jc w:val="both"/>
            </w:pPr>
            <w:r w:rsidRPr="00384923">
              <w:rPr>
                <w:rFonts w:asciiTheme="majorHAnsi" w:hAnsiTheme="majorHAnsi" w:cs="Arial"/>
                <w:lang w:val="fr-FR"/>
              </w:rPr>
              <w:t>PROC0 Autres</w:t>
            </w:r>
          </w:p>
        </w:tc>
      </w:tr>
      <w:tr w:rsidR="00384923" w:rsidRPr="007F1FE2" w14:paraId="112333B5" w14:textId="77777777" w:rsidTr="009F6CC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199C02C6" w14:textId="7643DBA8" w:rsidR="009F6CC9" w:rsidRPr="00384923" w:rsidRDefault="009F6CC9" w:rsidP="009F6CC9">
            <w:pPr>
              <w:jc w:val="both"/>
              <w:rPr>
                <w:lang w:val="fr-BE"/>
              </w:rPr>
            </w:pPr>
            <w:r w:rsidRPr="00384923">
              <w:rPr>
                <w:rFonts w:asciiTheme="majorHAnsi" w:hAnsiTheme="majorHAnsi" w:cs="Arial"/>
                <w:lang w:val="fr-FR"/>
              </w:rPr>
              <w:t>PROC1 Utilisation dans des processus fermés, exposition improbable</w:t>
            </w:r>
          </w:p>
        </w:tc>
      </w:tr>
      <w:tr w:rsidR="00384923" w:rsidRPr="007F1FE2" w14:paraId="63487727" w14:textId="77777777" w:rsidTr="009F6CC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0E836F10" w14:textId="60D4530F" w:rsidR="009F6CC9" w:rsidRPr="00384923" w:rsidRDefault="009F6CC9" w:rsidP="009F6CC9">
            <w:pPr>
              <w:jc w:val="both"/>
              <w:rPr>
                <w:lang w:val="fr-BE"/>
              </w:rPr>
            </w:pPr>
            <w:r w:rsidRPr="00384923">
              <w:rPr>
                <w:rFonts w:asciiTheme="majorHAnsi" w:hAnsiTheme="majorHAnsi" w:cs="Arial"/>
                <w:lang w:val="fr-FR"/>
              </w:rPr>
              <w:t>PROC2 Utilisation dans des processus fermés continus avec exposition momentanée maîtrisée</w:t>
            </w:r>
          </w:p>
        </w:tc>
      </w:tr>
      <w:tr w:rsidR="00384923" w:rsidRPr="007F1FE2" w14:paraId="74BC2F1E" w14:textId="77777777" w:rsidTr="009F6CC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6E0FF1CD" w14:textId="6E40B5CE" w:rsidR="00914A91" w:rsidRPr="00384923" w:rsidRDefault="00914A91" w:rsidP="00914A91">
            <w:pPr>
              <w:jc w:val="both"/>
              <w:rPr>
                <w:lang w:val="fr-BE"/>
              </w:rPr>
            </w:pPr>
            <w:r w:rsidRPr="00384923">
              <w:rPr>
                <w:rFonts w:asciiTheme="majorHAnsi" w:hAnsiTheme="majorHAnsi" w:cs="Arial"/>
                <w:lang w:val="fr-FR"/>
              </w:rPr>
              <w:t>PROC3 Utilisation dans des processus fermés par lots (synthèse ou formulation)</w:t>
            </w:r>
          </w:p>
        </w:tc>
      </w:tr>
      <w:tr w:rsidR="00384923" w:rsidRPr="007F1FE2" w14:paraId="3166396F" w14:textId="77777777" w:rsidTr="009F6CC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72689698" w14:textId="46E9CCCD" w:rsidR="00914A91" w:rsidRPr="00384923" w:rsidRDefault="00914A91" w:rsidP="00914A91">
            <w:pPr>
              <w:jc w:val="both"/>
              <w:rPr>
                <w:lang w:val="fr-BE"/>
              </w:rPr>
            </w:pPr>
            <w:r w:rsidRPr="00384923">
              <w:rPr>
                <w:rFonts w:asciiTheme="majorHAnsi" w:hAnsiTheme="majorHAnsi" w:cs="Arial"/>
                <w:lang w:val="fr-FR"/>
              </w:rPr>
              <w:t>PROC4 Utilisation dans des processus par lots et d’autres processus (synthèse) pouvant présenter des possibilités d’exposition.</w:t>
            </w:r>
          </w:p>
        </w:tc>
      </w:tr>
      <w:tr w:rsidR="00384923" w:rsidRPr="007F1FE2" w14:paraId="1BF67C0A" w14:textId="77777777" w:rsidTr="009F6CC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39B626AD" w14:textId="6DBD90A1" w:rsidR="00914A91" w:rsidRPr="00384923" w:rsidRDefault="00914A91" w:rsidP="00914A91">
            <w:pPr>
              <w:jc w:val="both"/>
              <w:rPr>
                <w:lang w:val="fr-BE"/>
              </w:rPr>
            </w:pPr>
            <w:r w:rsidRPr="00384923">
              <w:rPr>
                <w:rFonts w:asciiTheme="majorHAnsi" w:hAnsiTheme="majorHAnsi" w:cs="Arial"/>
                <w:lang w:val="fr-FR"/>
              </w:rPr>
              <w:t>PROC5 Mélange dans des processus par lots pour la formulation de préparations et d’articles (contacts multiples et/ou importants)</w:t>
            </w:r>
          </w:p>
        </w:tc>
      </w:tr>
      <w:tr w:rsidR="00384923" w:rsidRPr="00384923" w14:paraId="7D072508" w14:textId="77777777" w:rsidTr="009F6CC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5A014028" w14:textId="06CC5096" w:rsidR="00914A91" w:rsidRPr="00384923" w:rsidRDefault="00914A91" w:rsidP="00914A91">
            <w:pPr>
              <w:jc w:val="both"/>
            </w:pPr>
            <w:r w:rsidRPr="00384923">
              <w:rPr>
                <w:rFonts w:asciiTheme="majorHAnsi" w:hAnsiTheme="majorHAnsi" w:cs="Arial"/>
                <w:lang w:val="fr-FR"/>
              </w:rPr>
              <w:t>PROC6 Opérations de calandrage.</w:t>
            </w:r>
          </w:p>
        </w:tc>
      </w:tr>
      <w:tr w:rsidR="00384923" w:rsidRPr="007F1FE2" w14:paraId="13C1BA10" w14:textId="77777777" w:rsidTr="009F6CC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16249055" w14:textId="0EA07392" w:rsidR="00914A91" w:rsidRPr="00384923" w:rsidRDefault="00914A91" w:rsidP="00914A91">
            <w:pPr>
              <w:jc w:val="both"/>
              <w:rPr>
                <w:lang w:val="fr-BE"/>
              </w:rPr>
            </w:pPr>
            <w:r w:rsidRPr="00384923">
              <w:rPr>
                <w:rFonts w:asciiTheme="majorHAnsi" w:hAnsiTheme="majorHAnsi" w:cs="Arial"/>
                <w:lang w:val="fr-FR"/>
              </w:rPr>
              <w:t>PROC7 Pulvérisation dans des installations industrielles</w:t>
            </w:r>
          </w:p>
        </w:tc>
      </w:tr>
      <w:tr w:rsidR="00384923" w:rsidRPr="007F1FE2" w14:paraId="7FC20481" w14:textId="77777777" w:rsidTr="009F6CC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0A0BBF99" w14:textId="399AE865" w:rsidR="00914A91" w:rsidRPr="00384923" w:rsidRDefault="00914A91" w:rsidP="00914A91">
            <w:pPr>
              <w:jc w:val="both"/>
              <w:rPr>
                <w:lang w:val="fr-BE"/>
              </w:rPr>
            </w:pPr>
            <w:r w:rsidRPr="00384923">
              <w:rPr>
                <w:rFonts w:asciiTheme="majorHAnsi" w:hAnsiTheme="majorHAnsi" w:cs="Arial"/>
                <w:lang w:val="fr-FR"/>
              </w:rPr>
              <w:t>PROC8a Transfert de substance ou de préparation (chargement/déchargement) à partir de récipients ou de grands conteneurs, ou vers ces derniers, dans des installations non spécialisées.</w:t>
            </w:r>
          </w:p>
        </w:tc>
      </w:tr>
      <w:tr w:rsidR="00384923" w:rsidRPr="007F1FE2" w14:paraId="4A004AFF" w14:textId="77777777" w:rsidTr="009F6CC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5133C458" w14:textId="415903B9" w:rsidR="00914A91" w:rsidRPr="00384923" w:rsidRDefault="00914A91" w:rsidP="00914A91">
            <w:pPr>
              <w:jc w:val="both"/>
              <w:rPr>
                <w:lang w:val="fr-BE"/>
              </w:rPr>
            </w:pPr>
            <w:r w:rsidRPr="00384923">
              <w:rPr>
                <w:rFonts w:asciiTheme="majorHAnsi" w:hAnsiTheme="majorHAnsi" w:cs="Arial"/>
                <w:lang w:val="fr-FR"/>
              </w:rPr>
              <w:t>PROC8b Transfert de substance ou de préparation (chargement/déchargement) à partir de récipients ou de grands conteneurs, ou vers ces derniers, dans des installations spécialisées.</w:t>
            </w:r>
          </w:p>
        </w:tc>
      </w:tr>
      <w:tr w:rsidR="00384923" w:rsidRPr="007F1FE2" w14:paraId="1680B429" w14:textId="77777777" w:rsidTr="009F6CC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0849E91D" w14:textId="63E6331B" w:rsidR="00914A91" w:rsidRPr="00384923" w:rsidRDefault="00914A91" w:rsidP="00914A91">
            <w:pPr>
              <w:jc w:val="both"/>
              <w:rPr>
                <w:lang w:val="fr-BE"/>
              </w:rPr>
            </w:pPr>
            <w:r w:rsidRPr="00384923">
              <w:rPr>
                <w:rFonts w:asciiTheme="majorHAnsi" w:hAnsiTheme="majorHAnsi" w:cs="Arial"/>
                <w:lang w:val="fr-FR"/>
              </w:rPr>
              <w:t>PROC9 Transfert de substance ou préparation dans de petits conteneurs (chaîne de remplissage spécialisée, y compris pesage)</w:t>
            </w:r>
          </w:p>
        </w:tc>
      </w:tr>
      <w:tr w:rsidR="00384923" w:rsidRPr="007F1FE2" w14:paraId="3B591EA3" w14:textId="77777777" w:rsidTr="009F6CC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628C4C54" w14:textId="62F0EADF" w:rsidR="00914A91" w:rsidRPr="00384923" w:rsidRDefault="00914A91" w:rsidP="00914A91">
            <w:pPr>
              <w:jc w:val="both"/>
              <w:rPr>
                <w:lang w:val="fr-BE"/>
              </w:rPr>
            </w:pPr>
            <w:r w:rsidRPr="00384923">
              <w:rPr>
                <w:rFonts w:asciiTheme="majorHAnsi" w:hAnsiTheme="majorHAnsi" w:cs="Arial"/>
                <w:lang w:val="fr-FR"/>
              </w:rPr>
              <w:t>PROC10 Application au rouleau ou au pinceau</w:t>
            </w:r>
          </w:p>
        </w:tc>
      </w:tr>
      <w:tr w:rsidR="00384923" w:rsidRPr="007F1FE2" w14:paraId="46E05CA5" w14:textId="77777777" w:rsidTr="009F6CC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64F9312C" w14:textId="13B591C7" w:rsidR="00C43F7B" w:rsidRPr="00384923" w:rsidRDefault="00C43F7B">
            <w:pPr>
              <w:jc w:val="both"/>
              <w:rPr>
                <w:lang w:val="fr-BE"/>
              </w:rPr>
            </w:pPr>
            <w:r w:rsidRPr="00384923">
              <w:rPr>
                <w:lang w:val="fr-BE"/>
              </w:rPr>
              <w:t xml:space="preserve">PROC11 </w:t>
            </w:r>
            <w:r w:rsidR="00914A91" w:rsidRPr="00384923">
              <w:rPr>
                <w:lang w:val="fr-BE"/>
              </w:rPr>
              <w:t>Pulvérisation en dehors d’installations industrielles</w:t>
            </w:r>
          </w:p>
        </w:tc>
      </w:tr>
      <w:tr w:rsidR="00384923" w:rsidRPr="007F1FE2" w14:paraId="7A2D4806" w14:textId="77777777" w:rsidTr="009F6CC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284F02DB" w14:textId="698F9F43" w:rsidR="00914A91" w:rsidRPr="00384923" w:rsidRDefault="00914A91" w:rsidP="00914A91">
            <w:pPr>
              <w:jc w:val="both"/>
              <w:rPr>
                <w:lang w:val="fr-BE"/>
              </w:rPr>
            </w:pPr>
            <w:r w:rsidRPr="00384923">
              <w:rPr>
                <w:rFonts w:asciiTheme="majorHAnsi" w:hAnsiTheme="majorHAnsi" w:cs="Arial"/>
                <w:lang w:val="fr-FR"/>
              </w:rPr>
              <w:t>PROC12 Utilisation d’agents de soufflage dans la fabrication de mousse</w:t>
            </w:r>
          </w:p>
        </w:tc>
      </w:tr>
      <w:tr w:rsidR="00384923" w:rsidRPr="007F1FE2" w14:paraId="109D52F9" w14:textId="77777777" w:rsidTr="009F6CC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3630FE6C" w14:textId="6745F4A2" w:rsidR="00914A91" w:rsidRPr="00384923" w:rsidRDefault="00914A91" w:rsidP="00914A91">
            <w:pPr>
              <w:jc w:val="both"/>
              <w:rPr>
                <w:lang w:val="fr-BE"/>
              </w:rPr>
            </w:pPr>
            <w:r w:rsidRPr="00384923">
              <w:rPr>
                <w:rFonts w:asciiTheme="majorHAnsi" w:hAnsiTheme="majorHAnsi" w:cs="Arial"/>
                <w:lang w:val="fr-FR"/>
              </w:rPr>
              <w:t>PROC13 Traitement d’articles par trempage et versage</w:t>
            </w:r>
          </w:p>
        </w:tc>
      </w:tr>
      <w:tr w:rsidR="00384923" w:rsidRPr="007F1FE2" w14:paraId="49332C1B" w14:textId="77777777" w:rsidTr="009F6CC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7E84D6D9" w14:textId="462BD5A8" w:rsidR="00914A91" w:rsidRPr="00384923" w:rsidRDefault="00914A91" w:rsidP="00914A91">
            <w:pPr>
              <w:jc w:val="both"/>
              <w:rPr>
                <w:lang w:val="fr-BE"/>
              </w:rPr>
            </w:pPr>
            <w:r w:rsidRPr="00384923">
              <w:rPr>
                <w:rFonts w:asciiTheme="majorHAnsi" w:hAnsiTheme="majorHAnsi" w:cs="Arial"/>
                <w:lang w:val="fr-FR"/>
              </w:rPr>
              <w:t>PROC14 Production de préparations ou d’articles par pastillage, compression, extrusion, granulation</w:t>
            </w:r>
          </w:p>
        </w:tc>
      </w:tr>
      <w:tr w:rsidR="00384923" w:rsidRPr="007F1FE2" w14:paraId="08212146" w14:textId="77777777" w:rsidTr="009F6CC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4B2FE997" w14:textId="7BD00738" w:rsidR="00914A91" w:rsidRPr="00384923" w:rsidRDefault="00914A91" w:rsidP="00914A91">
            <w:pPr>
              <w:jc w:val="both"/>
              <w:rPr>
                <w:lang w:val="fr-BE"/>
              </w:rPr>
            </w:pPr>
            <w:r w:rsidRPr="00384923">
              <w:rPr>
                <w:rFonts w:asciiTheme="majorHAnsi" w:hAnsiTheme="majorHAnsi" w:cs="Arial"/>
                <w:lang w:val="fr-FR"/>
              </w:rPr>
              <w:t>PROC15 Utilisation en tant que réactif de laboratoire</w:t>
            </w:r>
          </w:p>
        </w:tc>
      </w:tr>
      <w:tr w:rsidR="00384923" w:rsidRPr="007F1FE2" w14:paraId="57D18956" w14:textId="77777777" w:rsidTr="009F6CC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7A061E9E" w14:textId="76963C77" w:rsidR="00914A91" w:rsidRPr="00384923" w:rsidRDefault="00914A91" w:rsidP="00914A91">
            <w:pPr>
              <w:jc w:val="both"/>
              <w:rPr>
                <w:lang w:val="fr-BE"/>
              </w:rPr>
            </w:pPr>
            <w:r w:rsidRPr="00384923">
              <w:rPr>
                <w:rFonts w:asciiTheme="majorHAnsi" w:hAnsiTheme="majorHAnsi" w:cs="Arial"/>
                <w:lang w:val="fr-FR"/>
              </w:rPr>
              <w:t>PROC19 Mélange manuel entraînant un contact intime avec la peau; seuls des EPI sont disponibles</w:t>
            </w:r>
          </w:p>
        </w:tc>
      </w:tr>
      <w:tr w:rsidR="00384923" w:rsidRPr="007F1FE2" w14:paraId="21973783" w14:textId="77777777" w:rsidTr="009F6CC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1C8E7E7D" w14:textId="7B668FCD" w:rsidR="00C43F7B" w:rsidRPr="00384923" w:rsidRDefault="00C43F7B">
            <w:pPr>
              <w:jc w:val="both"/>
              <w:rPr>
                <w:lang w:val="fr-BE"/>
              </w:rPr>
            </w:pPr>
            <w:r w:rsidRPr="00384923">
              <w:rPr>
                <w:lang w:val="fr-BE"/>
              </w:rPr>
              <w:t xml:space="preserve">PROC21 </w:t>
            </w:r>
            <w:r w:rsidR="00914A91" w:rsidRPr="00384923">
              <w:rPr>
                <w:lang w:val="fr-BE"/>
              </w:rPr>
              <w:t>Manipulation à faible énergie et maniement de substances liées à/dans des matériaux ou articles</w:t>
            </w:r>
          </w:p>
        </w:tc>
      </w:tr>
      <w:tr w:rsidR="00384923" w:rsidRPr="007F1FE2" w14:paraId="4F962447" w14:textId="77777777" w:rsidTr="009F6CC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4139559C" w14:textId="5E7E60B5" w:rsidR="00C43F7B" w:rsidRPr="00384923" w:rsidRDefault="00C43F7B">
            <w:pPr>
              <w:jc w:val="both"/>
              <w:rPr>
                <w:lang w:val="fr-BE"/>
              </w:rPr>
            </w:pPr>
            <w:r w:rsidRPr="00384923">
              <w:rPr>
                <w:lang w:val="fr-BE"/>
              </w:rPr>
              <w:t xml:space="preserve">PROC22 </w:t>
            </w:r>
            <w:r w:rsidR="00914A91" w:rsidRPr="00384923">
              <w:rPr>
                <w:lang w:val="fr-BE"/>
              </w:rPr>
              <w:t>Fabrication et traitement de minéraux et/ou de métaux à une très haute température</w:t>
            </w:r>
          </w:p>
        </w:tc>
      </w:tr>
      <w:tr w:rsidR="00384923" w:rsidRPr="007F1FE2" w14:paraId="20EB42F0" w14:textId="77777777" w:rsidTr="009F6CC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4DFA9321" w14:textId="6EABA94F" w:rsidR="00C43F7B" w:rsidRPr="00384923" w:rsidRDefault="00C43F7B">
            <w:pPr>
              <w:jc w:val="both"/>
              <w:rPr>
                <w:lang w:val="fr-BE"/>
              </w:rPr>
            </w:pPr>
            <w:r w:rsidRPr="00384923">
              <w:rPr>
                <w:lang w:val="fr-BE"/>
              </w:rPr>
              <w:t xml:space="preserve">PROC23 </w:t>
            </w:r>
            <w:r w:rsidR="00914A91" w:rsidRPr="00384923">
              <w:rPr>
                <w:lang w:val="fr-BE"/>
              </w:rPr>
              <w:t>Opérations de traitement et de transfert ouvertes à très haute température</w:t>
            </w:r>
          </w:p>
        </w:tc>
      </w:tr>
      <w:tr w:rsidR="00384923" w:rsidRPr="007F1FE2" w14:paraId="0054E7D3" w14:textId="77777777" w:rsidTr="009F6CC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7C73C4E1" w14:textId="7E22B281" w:rsidR="00C43F7B" w:rsidRPr="00384923" w:rsidRDefault="00C43F7B">
            <w:pPr>
              <w:jc w:val="both"/>
              <w:rPr>
                <w:lang w:val="fr-BE"/>
              </w:rPr>
            </w:pPr>
            <w:r w:rsidRPr="00384923">
              <w:rPr>
                <w:lang w:val="fr-BE"/>
              </w:rPr>
              <w:t xml:space="preserve">PROC24 </w:t>
            </w:r>
            <w:r w:rsidR="00914A91" w:rsidRPr="00384923">
              <w:rPr>
                <w:lang w:val="fr-BE"/>
              </w:rPr>
              <w:t>Traitement de haute énergie (mécanique) de substances liées à/dans des matériaux et/articles</w:t>
            </w:r>
          </w:p>
        </w:tc>
      </w:tr>
      <w:tr w:rsidR="0014608F" w:rsidRPr="007F1FE2" w14:paraId="0E71DB2D" w14:textId="77777777" w:rsidTr="009F6CC9">
        <w:trPr>
          <w:trHeight w:val="300"/>
        </w:trPr>
        <w:tc>
          <w:tcPr>
            <w:tcW w:w="9350" w:type="dxa"/>
            <w:tcBorders>
              <w:top w:val="single" w:sz="4" w:space="0" w:color="auto"/>
              <w:left w:val="single" w:sz="4" w:space="0" w:color="auto"/>
              <w:bottom w:val="single" w:sz="4" w:space="0" w:color="auto"/>
              <w:right w:val="single" w:sz="4" w:space="0" w:color="auto"/>
            </w:tcBorders>
            <w:noWrap/>
          </w:tcPr>
          <w:p w14:paraId="10685AD8" w14:textId="4051B4C9" w:rsidR="0014608F" w:rsidRPr="00384923" w:rsidRDefault="0014608F">
            <w:pPr>
              <w:jc w:val="both"/>
              <w:rPr>
                <w:lang w:val="fr-BE"/>
              </w:rPr>
            </w:pPr>
            <w:r w:rsidRPr="00FE7DB5">
              <w:rPr>
                <w:lang w:val="fr-BE"/>
              </w:rPr>
              <w:t>PROC25 </w:t>
            </w:r>
            <w:r w:rsidR="00FE7DB5" w:rsidRPr="00FE7DB5">
              <w:rPr>
                <w:lang w:val="fr-BE"/>
              </w:rPr>
              <w:t>Autres opérations de</w:t>
            </w:r>
            <w:r w:rsidR="00FE7DB5">
              <w:rPr>
                <w:lang w:val="fr-BE"/>
              </w:rPr>
              <w:t xml:space="preserve"> </w:t>
            </w:r>
            <w:r w:rsidR="00FE7DB5" w:rsidRPr="00FE7DB5">
              <w:rPr>
                <w:lang w:val="fr-BE"/>
              </w:rPr>
              <w:t>travail à chaud avec des</w:t>
            </w:r>
            <w:r w:rsidR="00FE7DB5">
              <w:rPr>
                <w:lang w:val="fr-BE"/>
              </w:rPr>
              <w:t xml:space="preserve"> </w:t>
            </w:r>
            <w:r w:rsidR="00FE7DB5" w:rsidRPr="00FE7DB5">
              <w:rPr>
                <w:lang w:val="fr-BE"/>
              </w:rPr>
              <w:t>métaux</w:t>
            </w:r>
          </w:p>
        </w:tc>
      </w:tr>
      <w:tr w:rsidR="00384923" w:rsidRPr="007F1FE2" w14:paraId="5760FA1C" w14:textId="77777777" w:rsidTr="009F6CC9">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544E3556" w14:textId="6606DF3B" w:rsidR="00C43F7B" w:rsidRPr="00384923" w:rsidRDefault="00C43F7B">
            <w:pPr>
              <w:jc w:val="both"/>
              <w:rPr>
                <w:lang w:val="fr-BE"/>
              </w:rPr>
            </w:pPr>
            <w:r w:rsidRPr="00384923">
              <w:rPr>
                <w:lang w:val="fr-BE"/>
              </w:rPr>
              <w:t xml:space="preserve">PROC26 </w:t>
            </w:r>
            <w:r w:rsidR="00914A91" w:rsidRPr="00384923">
              <w:rPr>
                <w:lang w:val="fr-BE"/>
              </w:rPr>
              <w:t>Manipulation de substances solides inorganiques à température ambiante</w:t>
            </w:r>
          </w:p>
        </w:tc>
      </w:tr>
    </w:tbl>
    <w:p w14:paraId="15B75985" w14:textId="77777777" w:rsidR="00C43F7B" w:rsidRPr="00B76985" w:rsidRDefault="00C43F7B" w:rsidP="00CF0AA4">
      <w:pPr>
        <w:jc w:val="both"/>
        <w:rPr>
          <w:lang w:val="fr-BE"/>
        </w:rPr>
      </w:pPr>
    </w:p>
    <w:p w14:paraId="6269E879" w14:textId="77777777" w:rsidR="00AA16E1" w:rsidRPr="00BD15C9" w:rsidRDefault="00AA16E1" w:rsidP="00AA16E1">
      <w:pPr>
        <w:jc w:val="both"/>
        <w:rPr>
          <w:lang w:val="fr-FR"/>
        </w:rPr>
      </w:pPr>
      <w:r w:rsidRPr="00BD15C9">
        <w:rPr>
          <w:lang w:val="fr-FR"/>
        </w:rPr>
        <w:t xml:space="preserve">La figure ci-dessous illustre les cinq valeurs PROC le plus souvent mentionnées dans les enregistrements. </w:t>
      </w:r>
    </w:p>
    <w:p w14:paraId="1EDB26B1" w14:textId="76C602CF" w:rsidR="00FE19DE" w:rsidRPr="00BD15C9" w:rsidRDefault="00FE19DE" w:rsidP="003436B0">
      <w:pPr>
        <w:ind w:left="-1134"/>
        <w:jc w:val="both"/>
        <w:rPr>
          <w:lang w:val="fr-FR"/>
        </w:rPr>
      </w:pPr>
    </w:p>
    <w:p w14:paraId="47A3272A" w14:textId="3E3AA634" w:rsidR="000C35DF" w:rsidRDefault="00C43F7B" w:rsidP="00CF0AA4">
      <w:pPr>
        <w:jc w:val="both"/>
        <w:rPr>
          <w:lang w:val="fr-FR"/>
        </w:rPr>
      </w:pPr>
      <w:r>
        <w:rPr>
          <w:lang w:val="fr-FR"/>
        </w:rPr>
        <w:t xml:space="preserve">Pour </w:t>
      </w:r>
      <w:r w:rsidR="00FE7DB5">
        <w:rPr>
          <w:lang w:val="fr-FR"/>
        </w:rPr>
        <w:t>20</w:t>
      </w:r>
      <w:r w:rsidR="00D35A03">
        <w:rPr>
          <w:lang w:val="fr-FR"/>
        </w:rPr>
        <w:t>20</w:t>
      </w:r>
      <w:r>
        <w:rPr>
          <w:lang w:val="fr-FR"/>
        </w:rPr>
        <w:t>, substances et mélanges :</w:t>
      </w:r>
    </w:p>
    <w:p w14:paraId="4BD7DC14" w14:textId="353508BE" w:rsidR="002B3A7D" w:rsidRDefault="00FE7DB5" w:rsidP="00BA37F3">
      <w:pPr>
        <w:jc w:val="both"/>
      </w:pPr>
      <w:r>
        <w:rPr>
          <w:noProof/>
          <w:lang w:val="fr-FR"/>
        </w:rPr>
        <w:drawing>
          <wp:inline distT="0" distB="0" distL="0" distR="0" wp14:anchorId="443A3CA0" wp14:editId="1110E673">
            <wp:extent cx="6687879" cy="3200400"/>
            <wp:effectExtent l="0" t="0" r="17780" b="0"/>
            <wp:docPr id="38" name="Graphique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6571E8A" w14:textId="7CCC8EB5" w:rsidR="00C43F7B" w:rsidRDefault="002B3A7D" w:rsidP="00384923">
      <w:pPr>
        <w:pStyle w:val="Lgende"/>
        <w:jc w:val="center"/>
        <w:rPr>
          <w:lang w:val="fr-FR"/>
        </w:rPr>
      </w:pPr>
      <w:r w:rsidRPr="00B76985">
        <w:rPr>
          <w:lang w:val="fr-BE"/>
        </w:rPr>
        <w:t xml:space="preserve">Figure </w:t>
      </w:r>
      <w:r>
        <w:fldChar w:fldCharType="begin"/>
      </w:r>
      <w:r w:rsidRPr="00B76985">
        <w:rPr>
          <w:lang w:val="fr-BE"/>
        </w:rPr>
        <w:instrText xml:space="preserve"> SEQ Figure \* ARABIC </w:instrText>
      </w:r>
      <w:r>
        <w:fldChar w:fldCharType="separate"/>
      </w:r>
      <w:r w:rsidR="00B176EF">
        <w:rPr>
          <w:noProof/>
          <w:lang w:val="fr-BE"/>
        </w:rPr>
        <w:t>14</w:t>
      </w:r>
      <w:r>
        <w:fldChar w:fldCharType="end"/>
      </w:r>
      <w:r w:rsidRPr="00B76985">
        <w:rPr>
          <w:lang w:val="fr-BE"/>
        </w:rPr>
        <w:t>: nombre d'enregistrements par catégorie de processus</w:t>
      </w:r>
      <w:r w:rsidR="00FE7DB5">
        <w:rPr>
          <w:lang w:val="fr-BE"/>
        </w:rPr>
        <w:t xml:space="preserve"> en </w:t>
      </w:r>
      <w:r w:rsidR="00484A46">
        <w:rPr>
          <w:lang w:val="fr-BE"/>
        </w:rPr>
        <w:t>2020</w:t>
      </w:r>
    </w:p>
    <w:p w14:paraId="42FE82B7" w14:textId="23AA02BC" w:rsidR="00C43F7B" w:rsidRPr="00FE4500" w:rsidRDefault="00D35A03" w:rsidP="00CF0AA4">
      <w:pPr>
        <w:jc w:val="both"/>
        <w:rPr>
          <w:lang w:val="fr-FR"/>
        </w:rPr>
      </w:pPr>
      <w:r>
        <w:rPr>
          <w:lang w:val="fr-FR"/>
        </w:rPr>
        <w:t xml:space="preserve">Le top 5 des </w:t>
      </w:r>
      <w:proofErr w:type="spellStart"/>
      <w:r>
        <w:rPr>
          <w:lang w:val="fr-FR"/>
        </w:rPr>
        <w:t>PROCs</w:t>
      </w:r>
      <w:proofErr w:type="spellEnd"/>
      <w:r>
        <w:rPr>
          <w:lang w:val="fr-FR"/>
        </w:rPr>
        <w:t xml:space="preserve"> </w:t>
      </w:r>
      <w:r w:rsidR="00090EB2">
        <w:rPr>
          <w:lang w:val="fr-FR"/>
        </w:rPr>
        <w:t>reste</w:t>
      </w:r>
      <w:r>
        <w:rPr>
          <w:lang w:val="fr-FR"/>
        </w:rPr>
        <w:t xml:space="preserve"> identique à 2019</w:t>
      </w:r>
      <w:r w:rsidR="00090EB2">
        <w:rPr>
          <w:lang w:val="fr-FR"/>
        </w:rPr>
        <w:t>, si ce n’est que le PROC8a prend la troisième position au lieu de la cinquième, le PROC4 recule d’une place et le PROC3 termine ce classement.</w:t>
      </w:r>
    </w:p>
    <w:p w14:paraId="35BD505B" w14:textId="7227BF65" w:rsidR="00601D1C" w:rsidRPr="00B76985" w:rsidRDefault="00601D1C" w:rsidP="00B76985">
      <w:pPr>
        <w:rPr>
          <w:lang w:val="fr-BE"/>
        </w:rPr>
      </w:pPr>
    </w:p>
    <w:p w14:paraId="1767EAE9" w14:textId="6E5FA8D7" w:rsidR="00601D1C" w:rsidRDefault="00601D1C" w:rsidP="00B76985">
      <w:pPr>
        <w:pStyle w:val="Titre2"/>
      </w:pPr>
      <w:bookmarkStart w:id="66" w:name="_Toc76034179"/>
      <w:r>
        <w:t>Catégorie de produits chimiques (PC)</w:t>
      </w:r>
      <w:bookmarkEnd w:id="66"/>
    </w:p>
    <w:p w14:paraId="2D43A955" w14:textId="155C77AD" w:rsidR="00AA16E1" w:rsidRPr="00BD15C9" w:rsidRDefault="005B125F" w:rsidP="00CC71A2">
      <w:pPr>
        <w:jc w:val="both"/>
        <w:rPr>
          <w:lang w:val="fr-FR"/>
        </w:rPr>
      </w:pPr>
      <w:r w:rsidRPr="00BD15C9">
        <w:rPr>
          <w:lang w:val="fr-FR"/>
        </w:rPr>
        <w:t xml:space="preserve">La catégorie de produits chimiques décrit les types de produits tels qu'ils seront utilisés par les utilisateurs (finaux). </w:t>
      </w:r>
    </w:p>
    <w:p w14:paraId="73936B08" w14:textId="129DEEDF" w:rsidR="00BB62A5" w:rsidRDefault="005B125F" w:rsidP="00DC08AF">
      <w:pPr>
        <w:jc w:val="both"/>
        <w:rPr>
          <w:lang w:val="fr-FR"/>
        </w:rPr>
      </w:pPr>
      <w:r w:rsidRPr="00BD15C9">
        <w:rPr>
          <w:lang w:val="fr-FR"/>
        </w:rPr>
        <w:t xml:space="preserve">Le tableau ci-dessous énumère les valeurs de la catégorie de produits chimiques telles que mentionnées dans les enregistrements et triées en fonction du code de cette catégorie. </w:t>
      </w:r>
    </w:p>
    <w:p w14:paraId="0F3DBF40" w14:textId="01678678" w:rsidR="00C43F7B" w:rsidRDefault="00C43F7B" w:rsidP="00DC08AF">
      <w:pPr>
        <w:jc w:val="both"/>
        <w:rPr>
          <w:lang w:val="fr-FR"/>
        </w:rPr>
      </w:pPr>
      <w:r>
        <w:rPr>
          <w:lang w:val="fr-FR"/>
        </w:rPr>
        <w:t xml:space="preserve">Pour </w:t>
      </w:r>
      <w:r w:rsidR="00484A46">
        <w:rPr>
          <w:lang w:val="fr-FR"/>
        </w:rPr>
        <w:t>2020</w:t>
      </w:r>
      <w:r>
        <w:rPr>
          <w:lang w:val="fr-FR"/>
        </w:rPr>
        <w:t>, substances et mélanges ensemble :</w:t>
      </w:r>
    </w:p>
    <w:tbl>
      <w:tblPr>
        <w:tblStyle w:val="Grilledutableau"/>
        <w:tblW w:w="0" w:type="auto"/>
        <w:tblLook w:val="04A0" w:firstRow="1" w:lastRow="0" w:firstColumn="1" w:lastColumn="0" w:noHBand="0" w:noVBand="1"/>
      </w:tblPr>
      <w:tblGrid>
        <w:gridCol w:w="9350"/>
      </w:tblGrid>
      <w:tr w:rsidR="00384923" w:rsidRPr="007F1FE2" w14:paraId="4D55C6A2" w14:textId="77777777" w:rsidTr="007C3294">
        <w:trPr>
          <w:trHeight w:val="300"/>
          <w:tblHeader/>
        </w:trPr>
        <w:tc>
          <w:tcPr>
            <w:tcW w:w="9350" w:type="dxa"/>
            <w:tcBorders>
              <w:top w:val="single" w:sz="4" w:space="0" w:color="auto"/>
              <w:left w:val="single" w:sz="4" w:space="0" w:color="auto"/>
              <w:bottom w:val="single" w:sz="4" w:space="0" w:color="auto"/>
              <w:right w:val="single" w:sz="4" w:space="0" w:color="auto"/>
            </w:tcBorders>
            <w:noWrap/>
            <w:hideMark/>
          </w:tcPr>
          <w:p w14:paraId="228B1949" w14:textId="0320A757" w:rsidR="00C43F7B" w:rsidRPr="00384923" w:rsidRDefault="00C43F7B">
            <w:pPr>
              <w:jc w:val="both"/>
              <w:rPr>
                <w:b/>
                <w:i/>
                <w:lang w:val="fr-FR"/>
              </w:rPr>
            </w:pPr>
            <w:r w:rsidRPr="00384923">
              <w:rPr>
                <w:b/>
                <w:i/>
                <w:lang w:val="fr-FR"/>
              </w:rPr>
              <w:t>Tableau: valeurs pour la catégorie de produits chimiques (PC) indiquées dans les enregistrements, pour 20</w:t>
            </w:r>
            <w:r w:rsidR="00484A46">
              <w:rPr>
                <w:b/>
                <w:i/>
                <w:lang w:val="fr-FR"/>
              </w:rPr>
              <w:t>20</w:t>
            </w:r>
            <w:r w:rsidRPr="00384923">
              <w:rPr>
                <w:b/>
                <w:i/>
                <w:lang w:val="fr-FR"/>
              </w:rPr>
              <w:t>, substances et mélanges</w:t>
            </w:r>
          </w:p>
        </w:tc>
      </w:tr>
      <w:tr w:rsidR="00384923" w:rsidRPr="00384923" w14:paraId="3F075831"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6EB208C5" w14:textId="76A29B91" w:rsidR="007C3294" w:rsidRPr="00384923" w:rsidRDefault="007C3294" w:rsidP="007C3294">
            <w:pPr>
              <w:jc w:val="both"/>
            </w:pPr>
            <w:r w:rsidRPr="00384923">
              <w:rPr>
                <w:rFonts w:asciiTheme="majorHAnsi" w:hAnsiTheme="majorHAnsi" w:cs="Arial"/>
                <w:lang w:val="fr-FR"/>
              </w:rPr>
              <w:t>PC0 Autres</w:t>
            </w:r>
          </w:p>
        </w:tc>
      </w:tr>
      <w:tr w:rsidR="00384923" w:rsidRPr="00384923" w14:paraId="7E7AECE8"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17CF1590" w14:textId="71B54B75" w:rsidR="007C3294" w:rsidRPr="00384923" w:rsidRDefault="007C3294" w:rsidP="007C3294">
            <w:pPr>
              <w:jc w:val="both"/>
            </w:pPr>
            <w:r w:rsidRPr="00384923">
              <w:rPr>
                <w:rFonts w:asciiTheme="majorHAnsi" w:hAnsiTheme="majorHAnsi" w:cs="Arial"/>
                <w:lang w:val="fr-FR"/>
              </w:rPr>
              <w:t>PC1 Adhésifs, produits d’étanchéité</w:t>
            </w:r>
          </w:p>
        </w:tc>
      </w:tr>
      <w:tr w:rsidR="00FE77D1" w:rsidRPr="00384923" w14:paraId="6B67C7DE"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tcPr>
          <w:p w14:paraId="4E1DE1AF" w14:textId="13A1C92A" w:rsidR="00FE77D1" w:rsidRPr="00384923" w:rsidRDefault="00D51E7F" w:rsidP="007C3294">
            <w:pPr>
              <w:jc w:val="both"/>
              <w:rPr>
                <w:rFonts w:asciiTheme="majorHAnsi" w:hAnsiTheme="majorHAnsi" w:cs="Arial"/>
                <w:lang w:val="fr-FR"/>
              </w:rPr>
            </w:pPr>
            <w:r>
              <w:rPr>
                <w:rFonts w:asciiTheme="majorHAnsi" w:hAnsiTheme="majorHAnsi" w:cs="Arial"/>
                <w:lang w:val="fr-FR"/>
              </w:rPr>
              <w:t>PC1.1</w:t>
            </w:r>
            <w:r w:rsidR="0030305D">
              <w:rPr>
                <w:rFonts w:asciiTheme="majorHAnsi" w:hAnsiTheme="majorHAnsi" w:cs="Arial"/>
                <w:lang w:val="fr-FR"/>
              </w:rPr>
              <w:t xml:space="preserve"> </w:t>
            </w:r>
            <w:r w:rsidR="0030305D" w:rsidRPr="0030305D">
              <w:rPr>
                <w:rFonts w:asciiTheme="majorHAnsi" w:hAnsiTheme="majorHAnsi" w:cs="Arial"/>
                <w:lang w:val="fr-FR"/>
              </w:rPr>
              <w:t>Colles pour loisirs</w:t>
            </w:r>
          </w:p>
        </w:tc>
      </w:tr>
      <w:tr w:rsidR="00FE77D1" w:rsidRPr="007F1FE2" w14:paraId="5169668E"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tcPr>
          <w:p w14:paraId="44F04A91" w14:textId="08B9642C" w:rsidR="00FE77D1" w:rsidRPr="00DF0E87" w:rsidRDefault="00D51E7F" w:rsidP="007C3294">
            <w:pPr>
              <w:jc w:val="both"/>
              <w:rPr>
                <w:rFonts w:asciiTheme="majorHAnsi" w:hAnsiTheme="majorHAnsi" w:cs="Arial"/>
                <w:lang w:val="fr-BE"/>
              </w:rPr>
            </w:pPr>
            <w:r>
              <w:rPr>
                <w:rFonts w:asciiTheme="majorHAnsi" w:hAnsiTheme="majorHAnsi" w:cs="Arial"/>
                <w:lang w:val="fr-FR"/>
              </w:rPr>
              <w:t>PC1.2</w:t>
            </w:r>
            <w:r w:rsidR="0030305D">
              <w:rPr>
                <w:rFonts w:asciiTheme="majorHAnsi" w:hAnsiTheme="majorHAnsi" w:cs="Arial"/>
                <w:lang w:val="fr-FR"/>
              </w:rPr>
              <w:t xml:space="preserve"> </w:t>
            </w:r>
            <w:r w:rsidR="0030305D" w:rsidRPr="0030305D">
              <w:rPr>
                <w:rFonts w:asciiTheme="majorHAnsi" w:hAnsiTheme="majorHAnsi" w:cs="Arial"/>
                <w:lang w:val="fr-FR"/>
              </w:rPr>
              <w:t>Colles pour bricolage (moquette, carrelage, parquet en bois)</w:t>
            </w:r>
          </w:p>
        </w:tc>
      </w:tr>
      <w:tr w:rsidR="00FE77D1" w:rsidRPr="00384923" w14:paraId="62CF91C6"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tcPr>
          <w:p w14:paraId="69079442" w14:textId="489C8ECD" w:rsidR="00FE77D1" w:rsidRPr="00384923" w:rsidRDefault="00D51E7F" w:rsidP="007C3294">
            <w:pPr>
              <w:jc w:val="both"/>
              <w:rPr>
                <w:rFonts w:asciiTheme="majorHAnsi" w:hAnsiTheme="majorHAnsi" w:cs="Arial"/>
                <w:lang w:val="fr-FR"/>
              </w:rPr>
            </w:pPr>
            <w:r>
              <w:rPr>
                <w:rFonts w:asciiTheme="majorHAnsi" w:hAnsiTheme="majorHAnsi" w:cs="Arial"/>
                <w:lang w:val="fr-FR"/>
              </w:rPr>
              <w:t>PC1.3</w:t>
            </w:r>
            <w:r w:rsidR="0030305D">
              <w:rPr>
                <w:rFonts w:asciiTheme="majorHAnsi" w:hAnsiTheme="majorHAnsi" w:cs="Arial"/>
                <w:lang w:val="fr-FR"/>
              </w:rPr>
              <w:t xml:space="preserve"> Colle en spray</w:t>
            </w:r>
          </w:p>
        </w:tc>
      </w:tr>
      <w:tr w:rsidR="00384923" w:rsidRPr="00384923" w14:paraId="3409358A"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4CDF77F1" w14:textId="0EF5E13C" w:rsidR="007C3294" w:rsidRPr="00384923" w:rsidRDefault="007C3294" w:rsidP="007C3294">
            <w:pPr>
              <w:jc w:val="both"/>
            </w:pPr>
            <w:r w:rsidRPr="00384923">
              <w:rPr>
                <w:rFonts w:asciiTheme="majorHAnsi" w:hAnsiTheme="majorHAnsi" w:cs="Arial"/>
                <w:lang w:val="fr-FR"/>
              </w:rPr>
              <w:t>PC1.4 Produits d'étanchéité</w:t>
            </w:r>
          </w:p>
        </w:tc>
      </w:tr>
      <w:tr w:rsidR="00384923" w:rsidRPr="00384923" w14:paraId="1F6A50CD"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6057B291" w14:textId="4D8EFA71" w:rsidR="007C3294" w:rsidRPr="00384923" w:rsidRDefault="007C3294" w:rsidP="007C3294">
            <w:pPr>
              <w:jc w:val="both"/>
            </w:pPr>
            <w:r w:rsidRPr="00384923">
              <w:rPr>
                <w:rFonts w:asciiTheme="majorHAnsi" w:hAnsiTheme="majorHAnsi" w:cs="Arial"/>
                <w:lang w:val="fr-FR"/>
              </w:rPr>
              <w:t>PC2 Adsorbants</w:t>
            </w:r>
          </w:p>
        </w:tc>
      </w:tr>
      <w:tr w:rsidR="00FE77D1" w:rsidRPr="007F1FE2" w14:paraId="602470F8"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tcPr>
          <w:p w14:paraId="7A1A5B10" w14:textId="1EC40390" w:rsidR="00FE77D1" w:rsidRPr="003B5AC1" w:rsidRDefault="00FE77D1" w:rsidP="007C3294">
            <w:pPr>
              <w:jc w:val="both"/>
              <w:rPr>
                <w:rFonts w:asciiTheme="majorHAnsi" w:hAnsiTheme="majorHAnsi" w:cs="Arial"/>
                <w:lang w:val="fr-BE"/>
              </w:rPr>
            </w:pPr>
            <w:r>
              <w:rPr>
                <w:rFonts w:asciiTheme="majorHAnsi" w:hAnsiTheme="majorHAnsi" w:cs="Arial"/>
                <w:lang w:val="fr-FR"/>
              </w:rPr>
              <w:lastRenderedPageBreak/>
              <w:t>PC3</w:t>
            </w:r>
            <w:r w:rsidR="0070518D">
              <w:rPr>
                <w:rFonts w:asciiTheme="majorHAnsi" w:hAnsiTheme="majorHAnsi" w:cs="Arial"/>
                <w:lang w:val="fr-FR"/>
              </w:rPr>
              <w:t xml:space="preserve"> </w:t>
            </w:r>
            <w:r w:rsidR="0070518D" w:rsidRPr="003B5AC1">
              <w:rPr>
                <w:rFonts w:asciiTheme="majorHAnsi" w:hAnsiTheme="majorHAnsi" w:cs="Arial"/>
                <w:lang w:val="fr-FR"/>
              </w:rPr>
              <w:t>Produits d’assainissement de l’air</w:t>
            </w:r>
          </w:p>
        </w:tc>
      </w:tr>
      <w:tr w:rsidR="00FE77D1" w:rsidRPr="007F1FE2" w14:paraId="265470CF"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tcPr>
          <w:p w14:paraId="7CD584CC" w14:textId="60A3DC87" w:rsidR="00FE77D1" w:rsidRPr="00384923" w:rsidRDefault="00FE77D1" w:rsidP="007C3294">
            <w:pPr>
              <w:jc w:val="both"/>
              <w:rPr>
                <w:rFonts w:asciiTheme="majorHAnsi" w:hAnsiTheme="majorHAnsi" w:cs="Arial"/>
                <w:lang w:val="fr-FR"/>
              </w:rPr>
            </w:pPr>
            <w:r>
              <w:rPr>
                <w:rFonts w:asciiTheme="majorHAnsi" w:hAnsiTheme="majorHAnsi" w:cs="Arial"/>
                <w:lang w:val="fr-FR"/>
              </w:rPr>
              <w:t>PC3.2</w:t>
            </w:r>
            <w:r w:rsidR="0030305D">
              <w:rPr>
                <w:rFonts w:asciiTheme="majorHAnsi" w:hAnsiTheme="majorHAnsi" w:cs="Arial"/>
                <w:lang w:val="fr-FR"/>
              </w:rPr>
              <w:t xml:space="preserve"> </w:t>
            </w:r>
            <w:r w:rsidR="0030305D" w:rsidRPr="0030305D">
              <w:rPr>
                <w:rFonts w:asciiTheme="majorHAnsi" w:hAnsiTheme="majorHAnsi" w:cs="Arial"/>
                <w:lang w:val="fr-FR"/>
              </w:rPr>
              <w:t>Assainissement de l'air, action continue (solide et liquide)</w:t>
            </w:r>
          </w:p>
        </w:tc>
      </w:tr>
      <w:tr w:rsidR="00FE77D1" w:rsidRPr="007F1FE2" w14:paraId="29C0BA0E"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tcPr>
          <w:p w14:paraId="03A9F24A" w14:textId="35BE86BD" w:rsidR="00FE77D1" w:rsidRPr="00C46825" w:rsidRDefault="00FE77D1" w:rsidP="007C3294">
            <w:pPr>
              <w:jc w:val="both"/>
              <w:rPr>
                <w:rFonts w:asciiTheme="majorHAnsi" w:hAnsiTheme="majorHAnsi" w:cs="Arial"/>
                <w:lang w:val="fr-FR"/>
              </w:rPr>
            </w:pPr>
            <w:r>
              <w:rPr>
                <w:rFonts w:asciiTheme="majorHAnsi" w:hAnsiTheme="majorHAnsi" w:cs="Arial"/>
                <w:lang w:val="fr-FR"/>
              </w:rPr>
              <w:t>PC7</w:t>
            </w:r>
            <w:r w:rsidR="0070518D">
              <w:rPr>
                <w:rFonts w:asciiTheme="majorHAnsi" w:hAnsiTheme="majorHAnsi" w:cs="Arial"/>
                <w:lang w:val="fr-FR"/>
              </w:rPr>
              <w:t xml:space="preserve"> </w:t>
            </w:r>
            <w:r w:rsidR="0070518D" w:rsidRPr="003B5AC1">
              <w:rPr>
                <w:rFonts w:asciiTheme="majorHAnsi" w:hAnsiTheme="majorHAnsi" w:cs="Arial"/>
                <w:lang w:val="fr-FR"/>
              </w:rPr>
              <w:t>Métaux et alliages de base</w:t>
            </w:r>
          </w:p>
        </w:tc>
      </w:tr>
      <w:tr w:rsidR="00FE77D1" w:rsidRPr="007F1FE2" w14:paraId="7220F0FC"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tcPr>
          <w:p w14:paraId="5E07F3CD" w14:textId="09AE5845" w:rsidR="00FE77D1" w:rsidRPr="00384923" w:rsidRDefault="00FE77D1" w:rsidP="007C3294">
            <w:pPr>
              <w:jc w:val="both"/>
              <w:rPr>
                <w:rFonts w:asciiTheme="majorHAnsi" w:hAnsiTheme="majorHAnsi" w:cs="Arial"/>
                <w:lang w:val="fr-FR"/>
              </w:rPr>
            </w:pPr>
            <w:r>
              <w:rPr>
                <w:rFonts w:asciiTheme="majorHAnsi" w:hAnsiTheme="majorHAnsi" w:cs="Arial"/>
                <w:lang w:val="fr-FR"/>
              </w:rPr>
              <w:t>PC8</w:t>
            </w:r>
            <w:r w:rsidR="0070518D">
              <w:rPr>
                <w:rFonts w:asciiTheme="majorHAnsi" w:hAnsiTheme="majorHAnsi" w:cs="Arial"/>
                <w:lang w:val="fr-FR"/>
              </w:rPr>
              <w:t xml:space="preserve"> </w:t>
            </w:r>
            <w:r w:rsidR="0070518D" w:rsidRPr="003B5AC1">
              <w:rPr>
                <w:rFonts w:asciiTheme="majorHAnsi" w:hAnsiTheme="majorHAnsi" w:cs="Arial"/>
                <w:lang w:val="fr-FR"/>
              </w:rPr>
              <w:t>Produits biocides</w:t>
            </w:r>
            <w:r w:rsidR="0030305D">
              <w:rPr>
                <w:rFonts w:asciiTheme="majorHAnsi" w:hAnsiTheme="majorHAnsi" w:cs="Arial"/>
                <w:lang w:val="fr-FR"/>
              </w:rPr>
              <w:t xml:space="preserve"> </w:t>
            </w:r>
            <w:r w:rsidR="0030305D" w:rsidRPr="0030305D">
              <w:rPr>
                <w:rFonts w:asciiTheme="majorHAnsi" w:hAnsiTheme="majorHAnsi" w:cs="Arial"/>
                <w:lang w:val="fr-FR"/>
              </w:rPr>
              <w:t>(p. ex. désinfectants, insecticides)</w:t>
            </w:r>
          </w:p>
        </w:tc>
      </w:tr>
      <w:tr w:rsidR="00384923" w:rsidRPr="007F1FE2" w14:paraId="440003D6"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4CAA8012" w14:textId="3F356BEC" w:rsidR="0020578E" w:rsidRPr="00384923" w:rsidRDefault="0020578E" w:rsidP="0020578E">
            <w:pPr>
              <w:jc w:val="both"/>
              <w:rPr>
                <w:lang w:val="fr-BE"/>
              </w:rPr>
            </w:pPr>
            <w:r w:rsidRPr="00384923">
              <w:rPr>
                <w:rFonts w:asciiTheme="majorHAnsi" w:hAnsiTheme="majorHAnsi" w:cs="Arial"/>
                <w:lang w:val="fr-FR"/>
              </w:rPr>
              <w:t>PC9a Revêtements et peintures, solvants, diluants</w:t>
            </w:r>
          </w:p>
        </w:tc>
      </w:tr>
      <w:tr w:rsidR="00384923" w:rsidRPr="007F1FE2" w14:paraId="4905BA80"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4FA005A7" w14:textId="06F7F727" w:rsidR="0020578E" w:rsidRPr="00384923" w:rsidRDefault="0020578E" w:rsidP="0020578E">
            <w:pPr>
              <w:jc w:val="both"/>
              <w:rPr>
                <w:lang w:val="fr-BE"/>
              </w:rPr>
            </w:pPr>
            <w:r w:rsidRPr="00384923">
              <w:rPr>
                <w:rFonts w:asciiTheme="majorHAnsi" w:hAnsiTheme="majorHAnsi" w:cs="Arial"/>
                <w:lang w:val="fr-FR"/>
              </w:rPr>
              <w:t>PC9a.1 Peinture murale aqueuse au latex</w:t>
            </w:r>
          </w:p>
        </w:tc>
      </w:tr>
      <w:tr w:rsidR="00384923" w:rsidRPr="007F1FE2" w14:paraId="0A5988D4"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7BD08A60" w14:textId="027391EE" w:rsidR="0020578E" w:rsidRPr="00384923" w:rsidRDefault="0020578E" w:rsidP="0020578E">
            <w:pPr>
              <w:jc w:val="both"/>
              <w:rPr>
                <w:lang w:val="fr-BE"/>
              </w:rPr>
            </w:pPr>
            <w:r w:rsidRPr="00384923">
              <w:rPr>
                <w:rFonts w:asciiTheme="majorHAnsi" w:hAnsiTheme="majorHAnsi" w:cs="Arial"/>
                <w:lang w:val="fr-FR"/>
              </w:rPr>
              <w:t>PC9a.2 Peinture à base d'eau riche en solvant et très solide</w:t>
            </w:r>
          </w:p>
        </w:tc>
      </w:tr>
      <w:tr w:rsidR="00FE77D1" w:rsidRPr="007F1FE2" w14:paraId="34C64E59"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tcPr>
          <w:p w14:paraId="2694C7EB" w14:textId="0E0A4833" w:rsidR="00FE77D1" w:rsidRPr="00384923" w:rsidRDefault="00FE77D1" w:rsidP="0020578E">
            <w:pPr>
              <w:jc w:val="both"/>
              <w:rPr>
                <w:rFonts w:asciiTheme="majorHAnsi" w:hAnsiTheme="majorHAnsi" w:cs="Arial"/>
                <w:lang w:val="fr-FR"/>
              </w:rPr>
            </w:pPr>
            <w:r>
              <w:rPr>
                <w:rFonts w:asciiTheme="majorHAnsi" w:hAnsiTheme="majorHAnsi" w:cs="Arial"/>
                <w:lang w:val="fr-FR"/>
              </w:rPr>
              <w:t>PC9a.3</w:t>
            </w:r>
            <w:r w:rsidR="0030305D">
              <w:rPr>
                <w:rFonts w:asciiTheme="majorHAnsi" w:hAnsiTheme="majorHAnsi" w:cs="Arial"/>
                <w:lang w:val="fr-FR"/>
              </w:rPr>
              <w:t xml:space="preserve"> </w:t>
            </w:r>
            <w:r w:rsidR="0030305D" w:rsidRPr="0030305D">
              <w:rPr>
                <w:rFonts w:asciiTheme="majorHAnsi" w:hAnsiTheme="majorHAnsi" w:cs="Arial"/>
                <w:lang w:val="fr-FR"/>
              </w:rPr>
              <w:t>Bouteille de spray aérosol</w:t>
            </w:r>
          </w:p>
        </w:tc>
      </w:tr>
      <w:tr w:rsidR="00384923" w:rsidRPr="007F1FE2" w14:paraId="450D5BFB"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27E2DB8C" w14:textId="750953B5" w:rsidR="0020578E" w:rsidRPr="00384923" w:rsidRDefault="0020578E" w:rsidP="0020578E">
            <w:pPr>
              <w:jc w:val="both"/>
              <w:rPr>
                <w:lang w:val="fr-BE"/>
              </w:rPr>
            </w:pPr>
            <w:r w:rsidRPr="00384923">
              <w:rPr>
                <w:rFonts w:asciiTheme="majorHAnsi" w:hAnsiTheme="majorHAnsi" w:cs="Arial"/>
                <w:lang w:val="fr-FR"/>
              </w:rPr>
              <w:t>PC9b Charges, mastics, enduits, pâte à modeler</w:t>
            </w:r>
          </w:p>
        </w:tc>
      </w:tr>
      <w:tr w:rsidR="00384923" w:rsidRPr="00384923" w14:paraId="732B60AD"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2C8E8905" w14:textId="10F5DEDD" w:rsidR="0020578E" w:rsidRPr="00384923" w:rsidRDefault="0020578E" w:rsidP="0020578E">
            <w:pPr>
              <w:jc w:val="both"/>
            </w:pPr>
            <w:r w:rsidRPr="00384923">
              <w:rPr>
                <w:rFonts w:asciiTheme="majorHAnsi" w:hAnsiTheme="majorHAnsi" w:cs="Arial"/>
                <w:lang w:val="fr-FR"/>
              </w:rPr>
              <w:t>PC9b.1 Charges et mastics</w:t>
            </w:r>
          </w:p>
        </w:tc>
      </w:tr>
      <w:tr w:rsidR="00FE77D1" w:rsidRPr="00384923" w14:paraId="3A76FF76"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tcPr>
          <w:p w14:paraId="412B7010" w14:textId="62EE3794" w:rsidR="00FE77D1" w:rsidRPr="00384923" w:rsidRDefault="00FE77D1" w:rsidP="0020578E">
            <w:pPr>
              <w:jc w:val="both"/>
              <w:rPr>
                <w:rFonts w:asciiTheme="majorHAnsi" w:hAnsiTheme="majorHAnsi" w:cs="Arial"/>
                <w:lang w:val="fr-FR"/>
              </w:rPr>
            </w:pPr>
            <w:r>
              <w:rPr>
                <w:rFonts w:asciiTheme="majorHAnsi" w:hAnsiTheme="majorHAnsi" w:cs="Arial"/>
                <w:lang w:val="fr-FR"/>
              </w:rPr>
              <w:t>PC9b.2</w:t>
            </w:r>
            <w:r w:rsidR="0030305D">
              <w:rPr>
                <w:rFonts w:asciiTheme="majorHAnsi" w:hAnsiTheme="majorHAnsi" w:cs="Arial"/>
                <w:lang w:val="fr-FR"/>
              </w:rPr>
              <w:t xml:space="preserve"> </w:t>
            </w:r>
            <w:r w:rsidR="0030305D" w:rsidRPr="0030305D">
              <w:rPr>
                <w:rFonts w:asciiTheme="majorHAnsi" w:hAnsiTheme="majorHAnsi" w:cs="Arial"/>
                <w:lang w:val="fr-FR"/>
              </w:rPr>
              <w:t>Plâtres et enduits</w:t>
            </w:r>
          </w:p>
        </w:tc>
      </w:tr>
      <w:tr w:rsidR="00FE77D1" w:rsidRPr="00384923" w14:paraId="738BEFCB"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tcPr>
          <w:p w14:paraId="6F1E2C07" w14:textId="49BF54AF" w:rsidR="00FE77D1" w:rsidRPr="00384923" w:rsidRDefault="00FE77D1" w:rsidP="0020578E">
            <w:pPr>
              <w:jc w:val="both"/>
              <w:rPr>
                <w:rFonts w:asciiTheme="majorHAnsi" w:hAnsiTheme="majorHAnsi" w:cs="Arial"/>
                <w:lang w:val="fr-FR"/>
              </w:rPr>
            </w:pPr>
            <w:r>
              <w:rPr>
                <w:rFonts w:asciiTheme="majorHAnsi" w:hAnsiTheme="majorHAnsi" w:cs="Arial"/>
                <w:lang w:val="fr-FR"/>
              </w:rPr>
              <w:t>PC9b.3</w:t>
            </w:r>
            <w:r w:rsidR="0030305D">
              <w:rPr>
                <w:rFonts w:asciiTheme="majorHAnsi" w:hAnsiTheme="majorHAnsi" w:cs="Arial"/>
                <w:lang w:val="fr-FR"/>
              </w:rPr>
              <w:t xml:space="preserve"> </w:t>
            </w:r>
            <w:r w:rsidR="0030305D" w:rsidRPr="0030305D">
              <w:rPr>
                <w:rFonts w:asciiTheme="majorHAnsi" w:hAnsiTheme="majorHAnsi" w:cs="Arial"/>
                <w:lang w:val="fr-FR"/>
              </w:rPr>
              <w:t>Pâte à modeler</w:t>
            </w:r>
          </w:p>
        </w:tc>
      </w:tr>
      <w:tr w:rsidR="00384923" w:rsidRPr="00384923" w14:paraId="508911E7"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6228C136" w14:textId="4B012501" w:rsidR="00C43F7B" w:rsidRPr="00384923" w:rsidRDefault="0020578E">
            <w:pPr>
              <w:jc w:val="both"/>
            </w:pPr>
            <w:r w:rsidRPr="00384923">
              <w:rPr>
                <w:rFonts w:asciiTheme="majorHAnsi" w:hAnsiTheme="majorHAnsi" w:cs="Arial"/>
                <w:lang w:val="fr-FR"/>
              </w:rPr>
              <w:t>PC9c Peintures au doigt</w:t>
            </w:r>
          </w:p>
        </w:tc>
      </w:tr>
      <w:tr w:rsidR="00FE77D1" w:rsidRPr="00384923" w14:paraId="388D7DC8"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tcPr>
          <w:p w14:paraId="0AB0B7F2" w14:textId="7296B291" w:rsidR="00FE77D1" w:rsidRPr="00384923" w:rsidRDefault="00FE77D1">
            <w:pPr>
              <w:jc w:val="both"/>
              <w:rPr>
                <w:rFonts w:asciiTheme="majorHAnsi" w:hAnsiTheme="majorHAnsi" w:cs="Arial"/>
                <w:lang w:val="fr-FR"/>
              </w:rPr>
            </w:pPr>
            <w:r>
              <w:rPr>
                <w:rFonts w:asciiTheme="majorHAnsi" w:hAnsiTheme="majorHAnsi" w:cs="Arial"/>
                <w:lang w:val="fr-FR"/>
              </w:rPr>
              <w:t>PC12</w:t>
            </w:r>
            <w:r w:rsidR="0070518D">
              <w:rPr>
                <w:rFonts w:asciiTheme="majorHAnsi" w:hAnsiTheme="majorHAnsi" w:cs="Arial"/>
                <w:lang w:val="fr-FR"/>
              </w:rPr>
              <w:t xml:space="preserve"> Engrais</w:t>
            </w:r>
          </w:p>
        </w:tc>
      </w:tr>
      <w:tr w:rsidR="00384923" w:rsidRPr="007F1FE2" w14:paraId="240F4EB6"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3580AA3A" w14:textId="55AC9556" w:rsidR="0020578E" w:rsidRPr="00384923" w:rsidRDefault="0020578E" w:rsidP="0020578E">
            <w:pPr>
              <w:jc w:val="both"/>
              <w:rPr>
                <w:lang w:val="fr-BE"/>
              </w:rPr>
            </w:pPr>
            <w:r w:rsidRPr="00384923">
              <w:rPr>
                <w:rFonts w:asciiTheme="majorHAnsi" w:hAnsiTheme="majorHAnsi" w:cs="Arial"/>
                <w:lang w:val="fr-FR"/>
              </w:rPr>
              <w:t>PC14 Produits de traitement de surface des métaux, y compris produits pour galvanisation et galvanoplastie</w:t>
            </w:r>
          </w:p>
        </w:tc>
      </w:tr>
      <w:tr w:rsidR="00384923" w:rsidRPr="007F1FE2" w14:paraId="3710E231"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7A4B5536" w14:textId="1DC60B24" w:rsidR="0020578E" w:rsidRPr="00384923" w:rsidRDefault="0020578E" w:rsidP="0020578E">
            <w:pPr>
              <w:jc w:val="both"/>
              <w:rPr>
                <w:lang w:val="fr-BE"/>
              </w:rPr>
            </w:pPr>
            <w:r w:rsidRPr="00384923">
              <w:rPr>
                <w:rFonts w:asciiTheme="majorHAnsi" w:hAnsiTheme="majorHAnsi" w:cs="Arial"/>
                <w:lang w:val="fr-FR"/>
              </w:rPr>
              <w:t>PC15 Produits de traitement de surfaces non métalliques</w:t>
            </w:r>
          </w:p>
        </w:tc>
      </w:tr>
      <w:tr w:rsidR="00384923" w:rsidRPr="00384923" w14:paraId="417AE8A6"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1DC24918" w14:textId="6EA87450" w:rsidR="0020578E" w:rsidRPr="00384923" w:rsidRDefault="0020578E" w:rsidP="0020578E">
            <w:pPr>
              <w:jc w:val="both"/>
            </w:pPr>
            <w:r w:rsidRPr="00384923">
              <w:rPr>
                <w:rFonts w:asciiTheme="majorHAnsi" w:hAnsiTheme="majorHAnsi" w:cs="Arial"/>
                <w:lang w:val="fr-FR"/>
              </w:rPr>
              <w:t>PC18 Encres et toners</w:t>
            </w:r>
          </w:p>
        </w:tc>
      </w:tr>
      <w:tr w:rsidR="00384923" w:rsidRPr="00384923" w14:paraId="4E1A2EE9"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233BF45C" w14:textId="717E0374" w:rsidR="0020578E" w:rsidRPr="00384923" w:rsidRDefault="0020578E" w:rsidP="0020578E">
            <w:pPr>
              <w:jc w:val="both"/>
            </w:pPr>
            <w:r w:rsidRPr="00384923">
              <w:rPr>
                <w:rFonts w:asciiTheme="majorHAnsi" w:hAnsiTheme="majorHAnsi" w:cs="Arial"/>
                <w:lang w:val="fr-FR"/>
              </w:rPr>
              <w:t>PC19 Intermédiaire</w:t>
            </w:r>
          </w:p>
        </w:tc>
      </w:tr>
      <w:tr w:rsidR="00384923" w:rsidRPr="007F1FE2" w14:paraId="09AB8904"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5D86710B" w14:textId="3DFFDB01" w:rsidR="0020578E" w:rsidRPr="00384923" w:rsidRDefault="0020578E" w:rsidP="0020578E">
            <w:pPr>
              <w:jc w:val="both"/>
              <w:rPr>
                <w:lang w:val="fr-BE"/>
              </w:rPr>
            </w:pPr>
            <w:r w:rsidRPr="00384923">
              <w:rPr>
                <w:rFonts w:asciiTheme="majorHAnsi" w:hAnsiTheme="majorHAnsi" w:cs="Arial"/>
                <w:lang w:val="fr-FR"/>
              </w:rPr>
              <w:t>PC20 Produits tels que régulateurs de pH, floculants, précipitants, agents de neutralisation</w:t>
            </w:r>
          </w:p>
        </w:tc>
      </w:tr>
      <w:tr w:rsidR="00384923" w:rsidRPr="007F1FE2" w14:paraId="5E230679"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14B42603" w14:textId="55F7BD32" w:rsidR="0020578E" w:rsidRPr="00384923" w:rsidRDefault="0020578E" w:rsidP="0020578E">
            <w:pPr>
              <w:jc w:val="both"/>
              <w:rPr>
                <w:lang w:val="fr-BE"/>
              </w:rPr>
            </w:pPr>
            <w:r w:rsidRPr="00384923">
              <w:rPr>
                <w:rFonts w:asciiTheme="majorHAnsi" w:hAnsiTheme="majorHAnsi" w:cs="Arial"/>
                <w:lang w:val="fr-FR"/>
              </w:rPr>
              <w:t>PC21 Substances chimiques de laboratoire</w:t>
            </w:r>
          </w:p>
        </w:tc>
      </w:tr>
      <w:tr w:rsidR="00384923" w:rsidRPr="007F1FE2" w14:paraId="4EC17B97"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00BC3171" w14:textId="296F3C49" w:rsidR="0020578E" w:rsidRPr="00384923" w:rsidRDefault="0020578E" w:rsidP="0020578E">
            <w:pPr>
              <w:jc w:val="both"/>
              <w:rPr>
                <w:lang w:val="fr-BE"/>
              </w:rPr>
            </w:pPr>
            <w:r w:rsidRPr="00384923">
              <w:rPr>
                <w:rFonts w:asciiTheme="majorHAnsi" w:hAnsiTheme="majorHAnsi" w:cs="Arial"/>
                <w:lang w:val="fr-FR"/>
              </w:rPr>
              <w:t>PC23 Produits pour tannage, teinture, imprégnation de finition et soin du cuir</w:t>
            </w:r>
          </w:p>
        </w:tc>
      </w:tr>
      <w:tr w:rsidR="00384923" w:rsidRPr="007F1FE2" w14:paraId="2E0D6CBB"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6FAF2AE4" w14:textId="64467125" w:rsidR="0020578E" w:rsidRPr="00384923" w:rsidRDefault="0020578E" w:rsidP="0020578E">
            <w:pPr>
              <w:jc w:val="both"/>
              <w:rPr>
                <w:lang w:val="fr-BE"/>
              </w:rPr>
            </w:pPr>
            <w:r w:rsidRPr="00384923">
              <w:rPr>
                <w:rFonts w:asciiTheme="majorHAnsi" w:hAnsiTheme="majorHAnsi" w:cs="Arial"/>
                <w:lang w:val="fr-FR"/>
              </w:rPr>
              <w:t>PC24 Lubrifiants, graisses et agents de décoffrage</w:t>
            </w:r>
          </w:p>
        </w:tc>
      </w:tr>
      <w:tr w:rsidR="00FE77D1" w:rsidRPr="0014608F" w14:paraId="64E4C263"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tcPr>
          <w:p w14:paraId="16F8E137" w14:textId="3FEAEEFE" w:rsidR="00FE77D1" w:rsidRPr="00384923" w:rsidRDefault="00FE77D1" w:rsidP="0020578E">
            <w:pPr>
              <w:jc w:val="both"/>
              <w:rPr>
                <w:rFonts w:asciiTheme="majorHAnsi" w:hAnsiTheme="majorHAnsi" w:cs="Arial"/>
                <w:lang w:val="fr-FR"/>
              </w:rPr>
            </w:pPr>
            <w:r>
              <w:rPr>
                <w:rFonts w:asciiTheme="majorHAnsi" w:hAnsiTheme="majorHAnsi" w:cs="Arial"/>
                <w:lang w:val="fr-FR"/>
              </w:rPr>
              <w:t>PC24.1</w:t>
            </w:r>
            <w:r w:rsidR="0030305D">
              <w:rPr>
                <w:rFonts w:asciiTheme="majorHAnsi" w:hAnsiTheme="majorHAnsi" w:cs="Arial"/>
                <w:lang w:val="fr-FR"/>
              </w:rPr>
              <w:t xml:space="preserve"> Liquides</w:t>
            </w:r>
          </w:p>
        </w:tc>
      </w:tr>
      <w:tr w:rsidR="00384923" w:rsidRPr="00384923" w14:paraId="2FBF4877"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54111E2B" w14:textId="3D11C5AF" w:rsidR="0020578E" w:rsidRPr="00384923" w:rsidRDefault="0020578E" w:rsidP="0020578E">
            <w:pPr>
              <w:jc w:val="both"/>
            </w:pPr>
            <w:r w:rsidRPr="00384923">
              <w:rPr>
                <w:rFonts w:asciiTheme="majorHAnsi" w:hAnsiTheme="majorHAnsi" w:cs="Arial"/>
                <w:lang w:val="fr-FR"/>
              </w:rPr>
              <w:t>PC24.2 Colles adhésives</w:t>
            </w:r>
          </w:p>
        </w:tc>
      </w:tr>
      <w:tr w:rsidR="00FE77D1" w:rsidRPr="007F1FE2" w14:paraId="5F867243"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tcPr>
          <w:p w14:paraId="7742FA3A" w14:textId="2ACE44E8" w:rsidR="00FE77D1" w:rsidRPr="00C46825" w:rsidRDefault="00FE77D1" w:rsidP="0020578E">
            <w:pPr>
              <w:jc w:val="both"/>
              <w:rPr>
                <w:rFonts w:asciiTheme="majorHAnsi" w:hAnsiTheme="majorHAnsi" w:cs="Arial"/>
                <w:lang w:val="fr-FR"/>
              </w:rPr>
            </w:pPr>
            <w:r>
              <w:rPr>
                <w:rFonts w:asciiTheme="majorHAnsi" w:hAnsiTheme="majorHAnsi" w:cs="Arial"/>
                <w:lang w:val="fr-FR"/>
              </w:rPr>
              <w:t>PC25</w:t>
            </w:r>
            <w:r w:rsidR="0070518D">
              <w:rPr>
                <w:rFonts w:asciiTheme="majorHAnsi" w:hAnsiTheme="majorHAnsi" w:cs="Arial"/>
                <w:lang w:val="fr-FR"/>
              </w:rPr>
              <w:t xml:space="preserve"> </w:t>
            </w:r>
            <w:r w:rsidR="0070518D" w:rsidRPr="003B5AC1">
              <w:rPr>
                <w:rFonts w:asciiTheme="majorHAnsi" w:hAnsiTheme="majorHAnsi" w:cs="Arial"/>
                <w:lang w:val="fr-FR"/>
              </w:rPr>
              <w:t>Fluides pour le travail des métaux</w:t>
            </w:r>
          </w:p>
        </w:tc>
      </w:tr>
      <w:tr w:rsidR="00384923" w:rsidRPr="007F1FE2" w14:paraId="6DF17CF4"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584BC5D6" w14:textId="2BB446A8" w:rsidR="0020578E" w:rsidRPr="003B5AC1" w:rsidRDefault="0020578E" w:rsidP="0020578E">
            <w:pPr>
              <w:jc w:val="both"/>
              <w:rPr>
                <w:rFonts w:asciiTheme="majorHAnsi" w:hAnsiTheme="majorHAnsi" w:cs="Arial"/>
                <w:lang w:val="fr-FR"/>
              </w:rPr>
            </w:pPr>
            <w:r w:rsidRPr="00384923">
              <w:rPr>
                <w:rFonts w:asciiTheme="majorHAnsi" w:hAnsiTheme="majorHAnsi" w:cs="Arial"/>
                <w:lang w:val="fr-FR"/>
              </w:rPr>
              <w:t>PC26 Colorants pour papier et carton, produits de finition et d’imprégnation, y compris agents de blanchiment et autres adjuvants de fabrication</w:t>
            </w:r>
          </w:p>
        </w:tc>
      </w:tr>
      <w:tr w:rsidR="00384923" w:rsidRPr="00384923" w14:paraId="74F47063"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64539127" w14:textId="3D49B5A3" w:rsidR="0020578E" w:rsidRPr="003B5AC1" w:rsidRDefault="0020578E" w:rsidP="0020578E">
            <w:pPr>
              <w:jc w:val="both"/>
              <w:rPr>
                <w:rFonts w:asciiTheme="majorHAnsi" w:hAnsiTheme="majorHAnsi" w:cs="Arial"/>
                <w:lang w:val="fr-FR"/>
              </w:rPr>
            </w:pPr>
            <w:r w:rsidRPr="00384923">
              <w:rPr>
                <w:rFonts w:asciiTheme="majorHAnsi" w:hAnsiTheme="majorHAnsi" w:cs="Arial"/>
                <w:lang w:val="fr-FR"/>
              </w:rPr>
              <w:t>PC27 Produits phytopharmaceutiques</w:t>
            </w:r>
          </w:p>
        </w:tc>
      </w:tr>
      <w:tr w:rsidR="00FE77D1" w:rsidRPr="00384923" w14:paraId="79165F77"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tcPr>
          <w:p w14:paraId="16A5FE38" w14:textId="4182469A" w:rsidR="00FE77D1" w:rsidRPr="00384923" w:rsidRDefault="00FE77D1" w:rsidP="0020578E">
            <w:pPr>
              <w:jc w:val="both"/>
              <w:rPr>
                <w:rFonts w:asciiTheme="majorHAnsi" w:hAnsiTheme="majorHAnsi" w:cs="Arial"/>
                <w:lang w:val="fr-FR"/>
              </w:rPr>
            </w:pPr>
            <w:r>
              <w:rPr>
                <w:rFonts w:asciiTheme="majorHAnsi" w:hAnsiTheme="majorHAnsi" w:cs="Arial"/>
                <w:lang w:val="fr-FR"/>
              </w:rPr>
              <w:t>PC28</w:t>
            </w:r>
            <w:r w:rsidR="0070518D">
              <w:rPr>
                <w:rFonts w:asciiTheme="majorHAnsi" w:hAnsiTheme="majorHAnsi" w:cs="Arial"/>
                <w:lang w:val="fr-FR"/>
              </w:rPr>
              <w:t xml:space="preserve"> </w:t>
            </w:r>
            <w:r w:rsidR="0070518D" w:rsidRPr="003B5AC1">
              <w:rPr>
                <w:rFonts w:asciiTheme="majorHAnsi" w:hAnsiTheme="majorHAnsi" w:cs="Arial"/>
                <w:lang w:val="fr-FR"/>
              </w:rPr>
              <w:t>Parfums, produits parfumés</w:t>
            </w:r>
          </w:p>
        </w:tc>
      </w:tr>
      <w:tr w:rsidR="00FE77D1" w:rsidRPr="00384923" w14:paraId="7C981679"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tcPr>
          <w:p w14:paraId="22965719" w14:textId="1A8E0DDB" w:rsidR="00FE77D1" w:rsidRPr="00384923" w:rsidRDefault="00FE77D1" w:rsidP="0020578E">
            <w:pPr>
              <w:jc w:val="both"/>
              <w:rPr>
                <w:rFonts w:asciiTheme="majorHAnsi" w:hAnsiTheme="majorHAnsi" w:cs="Arial"/>
                <w:lang w:val="fr-FR"/>
              </w:rPr>
            </w:pPr>
            <w:r>
              <w:rPr>
                <w:rFonts w:asciiTheme="majorHAnsi" w:hAnsiTheme="majorHAnsi" w:cs="Arial"/>
                <w:lang w:val="fr-FR"/>
              </w:rPr>
              <w:t>PC29</w:t>
            </w:r>
            <w:r w:rsidR="0070518D">
              <w:rPr>
                <w:rFonts w:asciiTheme="majorHAnsi" w:hAnsiTheme="majorHAnsi" w:cs="Arial"/>
                <w:lang w:val="fr-FR"/>
              </w:rPr>
              <w:t xml:space="preserve"> </w:t>
            </w:r>
            <w:r w:rsidR="0070518D" w:rsidRPr="003B5AC1">
              <w:rPr>
                <w:rFonts w:asciiTheme="majorHAnsi" w:hAnsiTheme="majorHAnsi" w:cs="Arial"/>
                <w:lang w:val="fr-FR"/>
              </w:rPr>
              <w:t>Produits pharmaceutiques</w:t>
            </w:r>
          </w:p>
        </w:tc>
      </w:tr>
      <w:tr w:rsidR="00384923" w:rsidRPr="00384923" w14:paraId="7025963A"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60888365" w14:textId="662E74A5" w:rsidR="0020578E" w:rsidRPr="00384923" w:rsidRDefault="0020578E" w:rsidP="0020578E">
            <w:pPr>
              <w:jc w:val="both"/>
            </w:pPr>
            <w:r w:rsidRPr="00384923">
              <w:rPr>
                <w:rFonts w:asciiTheme="majorHAnsi" w:hAnsiTheme="majorHAnsi" w:cs="Arial"/>
                <w:lang w:val="fr-FR"/>
              </w:rPr>
              <w:t>PC30 Produits photochimiques</w:t>
            </w:r>
          </w:p>
        </w:tc>
      </w:tr>
      <w:tr w:rsidR="00384923" w:rsidRPr="007F1FE2" w14:paraId="5D9FAEDE"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6D01156C" w14:textId="1FC2CE2E" w:rsidR="0020578E" w:rsidRPr="00384923" w:rsidRDefault="0020578E" w:rsidP="0020578E">
            <w:pPr>
              <w:jc w:val="both"/>
              <w:rPr>
                <w:lang w:val="fr-BE"/>
              </w:rPr>
            </w:pPr>
            <w:r w:rsidRPr="00384923">
              <w:rPr>
                <w:rFonts w:asciiTheme="majorHAnsi" w:hAnsiTheme="majorHAnsi" w:cs="Arial"/>
                <w:lang w:val="fr-FR"/>
              </w:rPr>
              <w:t>PC31 Produits lustrant et mélanges de cires</w:t>
            </w:r>
          </w:p>
        </w:tc>
      </w:tr>
      <w:tr w:rsidR="00FE77D1" w:rsidRPr="007F1FE2" w14:paraId="3BFDAF87"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tcPr>
          <w:p w14:paraId="69214269" w14:textId="7307CEB0" w:rsidR="00FE77D1" w:rsidRPr="00384923" w:rsidRDefault="00FE77D1" w:rsidP="0020578E">
            <w:pPr>
              <w:jc w:val="both"/>
              <w:rPr>
                <w:rFonts w:asciiTheme="majorHAnsi" w:hAnsiTheme="majorHAnsi" w:cs="Arial"/>
                <w:lang w:val="fr-FR"/>
              </w:rPr>
            </w:pPr>
            <w:r>
              <w:rPr>
                <w:rFonts w:asciiTheme="majorHAnsi" w:hAnsiTheme="majorHAnsi" w:cs="Arial"/>
                <w:lang w:val="fr-FR"/>
              </w:rPr>
              <w:t>PC31.1</w:t>
            </w:r>
            <w:r w:rsidR="0030305D">
              <w:rPr>
                <w:rFonts w:asciiTheme="majorHAnsi" w:hAnsiTheme="majorHAnsi" w:cs="Arial"/>
                <w:lang w:val="fr-FR"/>
              </w:rPr>
              <w:t xml:space="preserve"> </w:t>
            </w:r>
            <w:r w:rsidR="0030305D" w:rsidRPr="0030305D">
              <w:rPr>
                <w:rFonts w:asciiTheme="majorHAnsi" w:hAnsiTheme="majorHAnsi" w:cs="Arial"/>
                <w:lang w:val="fr-FR"/>
              </w:rPr>
              <w:t xml:space="preserve">Produits </w:t>
            </w:r>
            <w:proofErr w:type="spellStart"/>
            <w:r w:rsidR="0030305D" w:rsidRPr="0030305D">
              <w:rPr>
                <w:rFonts w:asciiTheme="majorHAnsi" w:hAnsiTheme="majorHAnsi" w:cs="Arial"/>
                <w:lang w:val="fr-FR"/>
              </w:rPr>
              <w:t>lustrants</w:t>
            </w:r>
            <w:proofErr w:type="spellEnd"/>
            <w:r w:rsidR="0030305D" w:rsidRPr="0030305D">
              <w:rPr>
                <w:rFonts w:asciiTheme="majorHAnsi" w:hAnsiTheme="majorHAnsi" w:cs="Arial"/>
                <w:lang w:val="fr-FR"/>
              </w:rPr>
              <w:t>, cire / cirage (sol, meubles chaussures)</w:t>
            </w:r>
          </w:p>
        </w:tc>
      </w:tr>
      <w:tr w:rsidR="00FE77D1" w:rsidRPr="007F1FE2" w14:paraId="47B686DF"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tcPr>
          <w:p w14:paraId="3D60DACC" w14:textId="1908D4A8" w:rsidR="00FE77D1" w:rsidRDefault="00FE77D1" w:rsidP="0020578E">
            <w:pPr>
              <w:jc w:val="both"/>
              <w:rPr>
                <w:rFonts w:asciiTheme="majorHAnsi" w:hAnsiTheme="majorHAnsi" w:cs="Arial"/>
                <w:lang w:val="fr-FR"/>
              </w:rPr>
            </w:pPr>
            <w:r>
              <w:rPr>
                <w:rFonts w:asciiTheme="majorHAnsi" w:hAnsiTheme="majorHAnsi" w:cs="Arial"/>
                <w:lang w:val="fr-FR"/>
              </w:rPr>
              <w:t>PC31.2</w:t>
            </w:r>
            <w:r w:rsidR="0030305D">
              <w:rPr>
                <w:rFonts w:asciiTheme="majorHAnsi" w:hAnsiTheme="majorHAnsi" w:cs="Arial"/>
                <w:lang w:val="fr-FR"/>
              </w:rPr>
              <w:t xml:space="preserve"> </w:t>
            </w:r>
            <w:r w:rsidR="0030305D" w:rsidRPr="0030305D">
              <w:rPr>
                <w:rFonts w:asciiTheme="majorHAnsi" w:hAnsiTheme="majorHAnsi" w:cs="Arial"/>
                <w:lang w:val="fr-FR"/>
              </w:rPr>
              <w:t xml:space="preserve">Produits </w:t>
            </w:r>
            <w:proofErr w:type="spellStart"/>
            <w:r w:rsidR="0030305D" w:rsidRPr="0030305D">
              <w:rPr>
                <w:rFonts w:asciiTheme="majorHAnsi" w:hAnsiTheme="majorHAnsi" w:cs="Arial"/>
                <w:lang w:val="fr-FR"/>
              </w:rPr>
              <w:t>lustrants</w:t>
            </w:r>
            <w:proofErr w:type="spellEnd"/>
            <w:r w:rsidR="0030305D" w:rsidRPr="0030305D">
              <w:rPr>
                <w:rFonts w:asciiTheme="majorHAnsi" w:hAnsiTheme="majorHAnsi" w:cs="Arial"/>
                <w:lang w:val="fr-FR"/>
              </w:rPr>
              <w:t>, pulvérisateurs (meubles, chaussures)</w:t>
            </w:r>
          </w:p>
        </w:tc>
      </w:tr>
      <w:tr w:rsidR="00384923" w:rsidRPr="007F1FE2" w14:paraId="0D8B75AB"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5204645F" w14:textId="361F6808" w:rsidR="0020578E" w:rsidRPr="00384923" w:rsidRDefault="0020578E" w:rsidP="0020578E">
            <w:pPr>
              <w:jc w:val="both"/>
              <w:rPr>
                <w:lang w:val="fr-BE"/>
              </w:rPr>
            </w:pPr>
            <w:r w:rsidRPr="00384923">
              <w:rPr>
                <w:rFonts w:asciiTheme="majorHAnsi" w:hAnsiTheme="majorHAnsi" w:cs="Arial"/>
                <w:lang w:val="fr-FR"/>
              </w:rPr>
              <w:t>PC32 Préparations et composés à base de polymères</w:t>
            </w:r>
          </w:p>
        </w:tc>
      </w:tr>
      <w:tr w:rsidR="00384923" w:rsidRPr="00384923" w14:paraId="0C7DF508"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3A2DDCD7" w14:textId="4896D66D" w:rsidR="0020578E" w:rsidRPr="00384923" w:rsidRDefault="0020578E" w:rsidP="0020578E">
            <w:pPr>
              <w:jc w:val="both"/>
            </w:pPr>
            <w:r w:rsidRPr="00384923">
              <w:rPr>
                <w:rFonts w:asciiTheme="majorHAnsi" w:hAnsiTheme="majorHAnsi" w:cs="Arial"/>
                <w:lang w:val="fr-FR"/>
              </w:rPr>
              <w:t>PC33 Semi-conducteurs</w:t>
            </w:r>
          </w:p>
        </w:tc>
      </w:tr>
      <w:tr w:rsidR="00384923" w:rsidRPr="007F1FE2" w14:paraId="180F60E5"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572DEDF9" w14:textId="1BEAFFA3" w:rsidR="0020578E" w:rsidRPr="00384923" w:rsidRDefault="0020578E" w:rsidP="0020578E">
            <w:pPr>
              <w:jc w:val="both"/>
              <w:rPr>
                <w:lang w:val="fr-BE"/>
              </w:rPr>
            </w:pPr>
            <w:r w:rsidRPr="00384923">
              <w:rPr>
                <w:rFonts w:asciiTheme="majorHAnsi" w:hAnsiTheme="majorHAnsi" w:cs="Arial"/>
                <w:lang w:val="fr-FR"/>
              </w:rPr>
              <w:t>PC34 Colorants pour textiles, produits de finition et d'imprégnation y compris agents de blanchiment et autres adjuvants de fabrication</w:t>
            </w:r>
          </w:p>
        </w:tc>
      </w:tr>
      <w:tr w:rsidR="00384923" w:rsidRPr="007F1FE2" w14:paraId="56D8E25B"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2104F933" w14:textId="25ECA62E" w:rsidR="0020578E" w:rsidRPr="00384923" w:rsidRDefault="0020578E" w:rsidP="0020578E">
            <w:pPr>
              <w:jc w:val="both"/>
              <w:rPr>
                <w:lang w:val="fr-BE"/>
              </w:rPr>
            </w:pPr>
            <w:r w:rsidRPr="00384923">
              <w:rPr>
                <w:rFonts w:asciiTheme="majorHAnsi" w:hAnsiTheme="majorHAnsi" w:cs="Arial"/>
                <w:lang w:val="fr-FR"/>
              </w:rPr>
              <w:t>PC35 Produits de lavage et de nettoyage (y compris produits à base de solvants)</w:t>
            </w:r>
          </w:p>
        </w:tc>
      </w:tr>
      <w:tr w:rsidR="00FE77D1" w:rsidRPr="007F1FE2" w14:paraId="5F41AAFE"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tcPr>
          <w:p w14:paraId="48EA4ABA" w14:textId="12BE42C6" w:rsidR="00FE77D1" w:rsidRPr="00384923" w:rsidRDefault="00FE77D1" w:rsidP="0020578E">
            <w:pPr>
              <w:jc w:val="both"/>
              <w:rPr>
                <w:rFonts w:asciiTheme="majorHAnsi" w:hAnsiTheme="majorHAnsi" w:cs="Arial"/>
                <w:lang w:val="fr-FR"/>
              </w:rPr>
            </w:pPr>
            <w:r>
              <w:rPr>
                <w:rFonts w:asciiTheme="majorHAnsi" w:hAnsiTheme="majorHAnsi" w:cs="Arial"/>
                <w:lang w:val="fr-FR"/>
              </w:rPr>
              <w:lastRenderedPageBreak/>
              <w:t>PC35.2</w:t>
            </w:r>
            <w:r w:rsidR="0030305D">
              <w:rPr>
                <w:rFonts w:asciiTheme="majorHAnsi" w:hAnsiTheme="majorHAnsi" w:cs="Arial"/>
                <w:lang w:val="fr-FR"/>
              </w:rPr>
              <w:t xml:space="preserve"> </w:t>
            </w:r>
            <w:r w:rsidR="0030305D" w:rsidRPr="0030305D">
              <w:rPr>
                <w:rFonts w:asciiTheme="majorHAnsi" w:hAnsiTheme="majorHAnsi" w:cs="Arial"/>
                <w:lang w:val="fr-FR"/>
              </w:rPr>
              <w:t>Produits nettoyants, liquides (tous types de produits nettoyants, produits sanitaires, produits nettoyants pour sols, vitres, moquettes, métaux)</w:t>
            </w:r>
          </w:p>
        </w:tc>
      </w:tr>
      <w:tr w:rsidR="00FE77D1" w:rsidRPr="0014608F" w14:paraId="605B71FC"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tcPr>
          <w:p w14:paraId="03D01251" w14:textId="229EBCB9" w:rsidR="00FE77D1" w:rsidRDefault="00FE77D1" w:rsidP="0020578E">
            <w:pPr>
              <w:jc w:val="both"/>
              <w:rPr>
                <w:rFonts w:asciiTheme="majorHAnsi" w:hAnsiTheme="majorHAnsi" w:cs="Arial"/>
                <w:lang w:val="fr-FR"/>
              </w:rPr>
            </w:pPr>
            <w:r>
              <w:rPr>
                <w:rFonts w:asciiTheme="majorHAnsi" w:hAnsiTheme="majorHAnsi" w:cs="Arial"/>
                <w:lang w:val="fr-FR"/>
              </w:rPr>
              <w:t>PC36</w:t>
            </w:r>
            <w:r w:rsidR="0070518D">
              <w:rPr>
                <w:rFonts w:asciiTheme="majorHAnsi" w:hAnsiTheme="majorHAnsi" w:cs="Arial"/>
                <w:lang w:val="fr-FR"/>
              </w:rPr>
              <w:t xml:space="preserve"> </w:t>
            </w:r>
            <w:r w:rsidR="0070518D" w:rsidRPr="003B5AC1">
              <w:rPr>
                <w:rFonts w:asciiTheme="majorHAnsi" w:hAnsiTheme="majorHAnsi" w:cs="Arial"/>
                <w:lang w:val="fr-FR"/>
              </w:rPr>
              <w:t>Adoucissants d’eau</w:t>
            </w:r>
          </w:p>
        </w:tc>
      </w:tr>
      <w:tr w:rsidR="00384923" w:rsidRPr="007F1FE2" w14:paraId="528A227F"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5970AC2D" w14:textId="55A84517" w:rsidR="00C43F7B" w:rsidRPr="003B5AC1" w:rsidRDefault="0020578E">
            <w:pPr>
              <w:jc w:val="both"/>
              <w:rPr>
                <w:rFonts w:asciiTheme="majorHAnsi" w:hAnsiTheme="majorHAnsi" w:cs="Arial"/>
                <w:lang w:val="fr-FR"/>
              </w:rPr>
            </w:pPr>
            <w:r w:rsidRPr="00384923">
              <w:rPr>
                <w:rFonts w:asciiTheme="majorHAnsi" w:hAnsiTheme="majorHAnsi" w:cs="Arial"/>
                <w:lang w:val="fr-FR"/>
              </w:rPr>
              <w:t>PC37 Produits chimiques de traitement de l’eau</w:t>
            </w:r>
          </w:p>
        </w:tc>
      </w:tr>
      <w:tr w:rsidR="00FE77D1" w:rsidRPr="007F1FE2" w14:paraId="40CC6BD3"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tcPr>
          <w:p w14:paraId="5DF95205" w14:textId="3B840651" w:rsidR="00FE77D1" w:rsidRPr="00C46825" w:rsidRDefault="00FE77D1">
            <w:pPr>
              <w:jc w:val="both"/>
              <w:rPr>
                <w:rFonts w:asciiTheme="majorHAnsi" w:hAnsiTheme="majorHAnsi" w:cs="Arial"/>
                <w:lang w:val="fr-FR"/>
              </w:rPr>
            </w:pPr>
            <w:r>
              <w:rPr>
                <w:rFonts w:asciiTheme="majorHAnsi" w:hAnsiTheme="majorHAnsi" w:cs="Arial"/>
                <w:lang w:val="fr-FR"/>
              </w:rPr>
              <w:t>PC38</w:t>
            </w:r>
            <w:r w:rsidR="0070518D">
              <w:rPr>
                <w:rFonts w:asciiTheme="majorHAnsi" w:hAnsiTheme="majorHAnsi" w:cs="Arial"/>
                <w:lang w:val="fr-FR"/>
              </w:rPr>
              <w:t xml:space="preserve"> </w:t>
            </w:r>
            <w:r w:rsidR="0070518D" w:rsidRPr="003B5AC1">
              <w:rPr>
                <w:rFonts w:asciiTheme="majorHAnsi" w:hAnsiTheme="majorHAnsi" w:cs="Arial"/>
                <w:lang w:val="fr-FR"/>
              </w:rPr>
              <w:t>Produits pour soudage et brasage, produits de flux</w:t>
            </w:r>
          </w:p>
        </w:tc>
      </w:tr>
      <w:tr w:rsidR="00384923" w:rsidRPr="007F1FE2" w14:paraId="5B7ED7AD"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185A4E69" w14:textId="609E6EC6" w:rsidR="00C43F7B" w:rsidRPr="003B5AC1" w:rsidRDefault="0020578E">
            <w:pPr>
              <w:jc w:val="both"/>
              <w:rPr>
                <w:rFonts w:asciiTheme="majorHAnsi" w:hAnsiTheme="majorHAnsi" w:cs="Arial"/>
                <w:lang w:val="fr-FR"/>
              </w:rPr>
            </w:pPr>
            <w:r w:rsidRPr="00384923">
              <w:rPr>
                <w:rFonts w:asciiTheme="majorHAnsi" w:hAnsiTheme="majorHAnsi" w:cs="Arial"/>
                <w:lang w:val="fr-FR"/>
              </w:rPr>
              <w:t>PC39 Cosmétiques, produits de soins personnels</w:t>
            </w:r>
          </w:p>
        </w:tc>
      </w:tr>
      <w:tr w:rsidR="00FE77D1" w:rsidRPr="0014608F" w14:paraId="7C63818A" w14:textId="77777777" w:rsidTr="007C3294">
        <w:trPr>
          <w:trHeight w:val="300"/>
        </w:trPr>
        <w:tc>
          <w:tcPr>
            <w:tcW w:w="9350" w:type="dxa"/>
            <w:tcBorders>
              <w:top w:val="single" w:sz="4" w:space="0" w:color="auto"/>
              <w:left w:val="single" w:sz="4" w:space="0" w:color="auto"/>
              <w:bottom w:val="single" w:sz="4" w:space="0" w:color="auto"/>
              <w:right w:val="single" w:sz="4" w:space="0" w:color="auto"/>
            </w:tcBorders>
            <w:noWrap/>
          </w:tcPr>
          <w:p w14:paraId="2577B4E5" w14:textId="2CC701EA" w:rsidR="00FE77D1" w:rsidRPr="00384923" w:rsidRDefault="00FE77D1">
            <w:pPr>
              <w:jc w:val="both"/>
              <w:rPr>
                <w:rFonts w:asciiTheme="majorHAnsi" w:hAnsiTheme="majorHAnsi" w:cs="Arial"/>
                <w:lang w:val="fr-FR"/>
              </w:rPr>
            </w:pPr>
            <w:r>
              <w:rPr>
                <w:rFonts w:asciiTheme="majorHAnsi" w:hAnsiTheme="majorHAnsi" w:cs="Arial"/>
                <w:lang w:val="fr-FR"/>
              </w:rPr>
              <w:t>PC40</w:t>
            </w:r>
            <w:r w:rsidR="0070518D">
              <w:rPr>
                <w:rFonts w:asciiTheme="majorHAnsi" w:hAnsiTheme="majorHAnsi" w:cs="Arial"/>
                <w:lang w:val="fr-FR"/>
              </w:rPr>
              <w:t xml:space="preserve"> </w:t>
            </w:r>
            <w:r w:rsidR="0070518D" w:rsidRPr="003B5AC1">
              <w:rPr>
                <w:rFonts w:asciiTheme="majorHAnsi" w:hAnsiTheme="majorHAnsi" w:cs="Arial"/>
                <w:lang w:val="fr-FR"/>
              </w:rPr>
              <w:t>Agents d'extraction</w:t>
            </w:r>
          </w:p>
        </w:tc>
      </w:tr>
    </w:tbl>
    <w:p w14:paraId="0A09564C" w14:textId="77777777" w:rsidR="00C43F7B" w:rsidRPr="00BD15C9" w:rsidRDefault="00C43F7B" w:rsidP="00DC08AF">
      <w:pPr>
        <w:jc w:val="both"/>
        <w:rPr>
          <w:lang w:val="fr-FR"/>
        </w:rPr>
      </w:pPr>
    </w:p>
    <w:p w14:paraId="797E1A46" w14:textId="77777777" w:rsidR="00DC08AF" w:rsidRPr="00BD15C9" w:rsidRDefault="00DC08AF" w:rsidP="00DC08AF">
      <w:pPr>
        <w:jc w:val="both"/>
        <w:rPr>
          <w:lang w:val="fr-FR"/>
        </w:rPr>
      </w:pPr>
      <w:r w:rsidRPr="00BD15C9">
        <w:rPr>
          <w:lang w:val="fr-FR"/>
        </w:rPr>
        <w:t xml:space="preserve">La figure ci-dessous illustre les cinq valeurs PC le plus souvent mentionnées dans les enregistrements. </w:t>
      </w:r>
    </w:p>
    <w:p w14:paraId="59224562" w14:textId="6BDD2D09" w:rsidR="000C35DF" w:rsidRDefault="00601D1C" w:rsidP="00CC71A2">
      <w:pPr>
        <w:rPr>
          <w:lang w:val="fr-FR"/>
        </w:rPr>
      </w:pPr>
      <w:r>
        <w:rPr>
          <w:lang w:val="fr-FR"/>
        </w:rPr>
        <w:t>Pour 20</w:t>
      </w:r>
      <w:r w:rsidR="00DF51F1">
        <w:rPr>
          <w:lang w:val="fr-FR"/>
        </w:rPr>
        <w:t>20</w:t>
      </w:r>
      <w:r>
        <w:rPr>
          <w:lang w:val="fr-FR"/>
        </w:rPr>
        <w:t>, substances et mélanges :</w:t>
      </w:r>
    </w:p>
    <w:p w14:paraId="2D83E43A" w14:textId="3BC153D5" w:rsidR="002B3A7D" w:rsidRDefault="00FE77D1" w:rsidP="003B5AC1">
      <w:r>
        <w:rPr>
          <w:noProof/>
          <w:lang w:val="fr-FR"/>
        </w:rPr>
        <w:drawing>
          <wp:inline distT="0" distB="0" distL="0" distR="0" wp14:anchorId="7AA7489B" wp14:editId="62A98A4D">
            <wp:extent cx="6496493" cy="3179135"/>
            <wp:effectExtent l="0" t="0" r="0" b="2540"/>
            <wp:docPr id="39" name="Graphique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1F2B37B0" w14:textId="0BEBD59A" w:rsidR="00601D1C" w:rsidRPr="00BD15C9" w:rsidRDefault="002B3A7D" w:rsidP="00384923">
      <w:pPr>
        <w:pStyle w:val="Lgende"/>
        <w:jc w:val="center"/>
        <w:rPr>
          <w:lang w:val="fr-FR"/>
        </w:rPr>
      </w:pPr>
      <w:r w:rsidRPr="00B76985">
        <w:rPr>
          <w:lang w:val="fr-BE"/>
        </w:rPr>
        <w:t xml:space="preserve">Figure </w:t>
      </w:r>
      <w:r>
        <w:fldChar w:fldCharType="begin"/>
      </w:r>
      <w:r w:rsidRPr="00B76985">
        <w:rPr>
          <w:lang w:val="fr-BE"/>
        </w:rPr>
        <w:instrText xml:space="preserve"> SEQ Figure \* ARABIC </w:instrText>
      </w:r>
      <w:r>
        <w:fldChar w:fldCharType="separate"/>
      </w:r>
      <w:r w:rsidR="00B176EF">
        <w:rPr>
          <w:noProof/>
          <w:lang w:val="fr-BE"/>
        </w:rPr>
        <w:t>15</w:t>
      </w:r>
      <w:r>
        <w:fldChar w:fldCharType="end"/>
      </w:r>
      <w:r w:rsidRPr="00B76985">
        <w:rPr>
          <w:lang w:val="fr-BE"/>
        </w:rPr>
        <w:t>: nombre d'enregistrements par catégorie de produits chimiques</w:t>
      </w:r>
    </w:p>
    <w:p w14:paraId="629A43A8" w14:textId="47A1DBDC" w:rsidR="00601D1C" w:rsidRDefault="00FE77D1" w:rsidP="00384923">
      <w:pPr>
        <w:jc w:val="both"/>
        <w:rPr>
          <w:lang w:val="fr-BE"/>
        </w:rPr>
      </w:pPr>
      <w:r>
        <w:rPr>
          <w:lang w:val="fr-BE"/>
        </w:rPr>
        <w:t xml:space="preserve">Par rapport à </w:t>
      </w:r>
      <w:r w:rsidR="003846BB">
        <w:rPr>
          <w:lang w:val="fr-BE"/>
        </w:rPr>
        <w:t>2019</w:t>
      </w:r>
      <w:r>
        <w:rPr>
          <w:lang w:val="fr-BE"/>
        </w:rPr>
        <w:t xml:space="preserve">, </w:t>
      </w:r>
      <w:r w:rsidR="003846BB">
        <w:rPr>
          <w:lang w:val="fr-BE"/>
        </w:rPr>
        <w:t>le PC18 disparaît du classement et le PC9b y prend la troisième position. PC0 passe de la première à la deuxième place. PC1 passe de la quatrième à la première place du classement. PC9a recule de la deuxième à la quatrième place et PC32 de la troisième à la dernière place.</w:t>
      </w:r>
    </w:p>
    <w:p w14:paraId="6AB7414C" w14:textId="08CAAEA2" w:rsidR="00601D1C" w:rsidRPr="00601D1C" w:rsidRDefault="00601D1C" w:rsidP="00B76985">
      <w:pPr>
        <w:pStyle w:val="Titre2"/>
      </w:pPr>
      <w:bookmarkStart w:id="67" w:name="_Toc76034180"/>
      <w:r>
        <w:t>Catégorie de rejet dans l’environnement (ERC)</w:t>
      </w:r>
      <w:bookmarkEnd w:id="67"/>
    </w:p>
    <w:p w14:paraId="585E7C31" w14:textId="77777777" w:rsidR="0029446E" w:rsidRPr="00BD15C9" w:rsidRDefault="00946A16" w:rsidP="00C54F7D">
      <w:pPr>
        <w:jc w:val="both"/>
        <w:rPr>
          <w:lang w:val="fr-FR"/>
        </w:rPr>
      </w:pPr>
      <w:r w:rsidRPr="00BD15C9">
        <w:rPr>
          <w:lang w:val="fr-FR"/>
        </w:rPr>
        <w:t>Les catégories de rejet dans l'environnement donnent une idée des caractéristiques d'une utilisation donnée du point de vue de l'environnement.</w:t>
      </w:r>
    </w:p>
    <w:p w14:paraId="4203C567" w14:textId="2E09BBC8" w:rsidR="00C54F7D" w:rsidRDefault="00946A16" w:rsidP="00C54F7D">
      <w:pPr>
        <w:jc w:val="both"/>
        <w:rPr>
          <w:lang w:val="fr-FR"/>
        </w:rPr>
      </w:pPr>
      <w:r w:rsidRPr="00BD15C9">
        <w:rPr>
          <w:lang w:val="fr-FR"/>
        </w:rPr>
        <w:t xml:space="preserve">Le tableau ci-dessous énumère les valeurs de la catégorie de rejet dans l'environnement, telles que mentionnées dans les enregistrements et triées en fonction du code de cette catégorie. </w:t>
      </w:r>
    </w:p>
    <w:p w14:paraId="624D2527" w14:textId="1F15A80F" w:rsidR="00601D1C" w:rsidRDefault="00601D1C" w:rsidP="00C54F7D">
      <w:pPr>
        <w:jc w:val="both"/>
        <w:rPr>
          <w:lang w:val="fr-FR"/>
        </w:rPr>
      </w:pPr>
      <w:r>
        <w:rPr>
          <w:lang w:val="fr-FR"/>
        </w:rPr>
        <w:t xml:space="preserve">Pour </w:t>
      </w:r>
      <w:r w:rsidR="00484A46">
        <w:rPr>
          <w:lang w:val="fr-FR"/>
        </w:rPr>
        <w:t>2020</w:t>
      </w:r>
      <w:r>
        <w:rPr>
          <w:lang w:val="fr-FR"/>
        </w:rPr>
        <w:t>, substances et mélanges ensemble :</w:t>
      </w:r>
    </w:p>
    <w:tbl>
      <w:tblPr>
        <w:tblStyle w:val="Grilledutableau"/>
        <w:tblW w:w="0" w:type="auto"/>
        <w:tblLook w:val="04A0" w:firstRow="1" w:lastRow="0" w:firstColumn="1" w:lastColumn="0" w:noHBand="0" w:noVBand="1"/>
      </w:tblPr>
      <w:tblGrid>
        <w:gridCol w:w="9350"/>
      </w:tblGrid>
      <w:tr w:rsidR="00384923" w:rsidRPr="007F1FE2" w14:paraId="2BC64A91" w14:textId="77777777" w:rsidTr="0020578E">
        <w:trPr>
          <w:trHeight w:val="300"/>
          <w:tblHeader/>
        </w:trPr>
        <w:tc>
          <w:tcPr>
            <w:tcW w:w="9350" w:type="dxa"/>
            <w:tcBorders>
              <w:top w:val="single" w:sz="4" w:space="0" w:color="auto"/>
              <w:left w:val="single" w:sz="4" w:space="0" w:color="auto"/>
              <w:bottom w:val="single" w:sz="4" w:space="0" w:color="auto"/>
              <w:right w:val="single" w:sz="4" w:space="0" w:color="auto"/>
            </w:tcBorders>
            <w:noWrap/>
            <w:hideMark/>
          </w:tcPr>
          <w:p w14:paraId="331E483E" w14:textId="478D25A2" w:rsidR="00601D1C" w:rsidRPr="00384923" w:rsidRDefault="00601D1C" w:rsidP="00601D1C">
            <w:pPr>
              <w:jc w:val="both"/>
              <w:rPr>
                <w:rFonts w:ascii="inherit" w:hAnsi="inherit"/>
                <w:lang w:val="fr-BE"/>
              </w:rPr>
            </w:pPr>
            <w:r w:rsidRPr="00384923">
              <w:rPr>
                <w:b/>
                <w:i/>
                <w:lang w:val="fr-FR"/>
              </w:rPr>
              <w:lastRenderedPageBreak/>
              <w:t>Tableau: Valeurs pour la cat</w:t>
            </w:r>
            <w:r w:rsidRPr="00384923">
              <w:rPr>
                <w:rFonts w:hint="eastAsia"/>
                <w:b/>
                <w:i/>
                <w:lang w:val="fr-FR"/>
              </w:rPr>
              <w:t>é</w:t>
            </w:r>
            <w:r w:rsidRPr="00384923">
              <w:rPr>
                <w:b/>
                <w:i/>
                <w:lang w:val="fr-FR"/>
              </w:rPr>
              <w:t>gorie d'</w:t>
            </w:r>
            <w:r w:rsidRPr="00384923">
              <w:rPr>
                <w:rFonts w:hint="eastAsia"/>
                <w:b/>
                <w:i/>
                <w:lang w:val="fr-FR"/>
              </w:rPr>
              <w:t>é</w:t>
            </w:r>
            <w:r w:rsidRPr="00384923">
              <w:rPr>
                <w:b/>
                <w:i/>
                <w:lang w:val="fr-FR"/>
              </w:rPr>
              <w:t>missions dans l'environnement (ERC) indiqu</w:t>
            </w:r>
            <w:r w:rsidRPr="00384923">
              <w:rPr>
                <w:rFonts w:hint="eastAsia"/>
                <w:b/>
                <w:i/>
                <w:lang w:val="fr-FR"/>
              </w:rPr>
              <w:t>é</w:t>
            </w:r>
            <w:r w:rsidRPr="00384923">
              <w:rPr>
                <w:b/>
                <w:i/>
                <w:lang w:val="fr-FR"/>
              </w:rPr>
              <w:t xml:space="preserve">e dans les enregistrements, pour </w:t>
            </w:r>
            <w:r w:rsidR="00DC5C95" w:rsidRPr="00384923">
              <w:rPr>
                <w:b/>
                <w:i/>
                <w:lang w:val="fr-FR"/>
              </w:rPr>
              <w:t>201</w:t>
            </w:r>
            <w:r w:rsidR="00DC5C95">
              <w:rPr>
                <w:b/>
                <w:i/>
                <w:lang w:val="fr-FR"/>
              </w:rPr>
              <w:t>9</w:t>
            </w:r>
            <w:r w:rsidRPr="00384923">
              <w:rPr>
                <w:b/>
                <w:i/>
                <w:lang w:val="fr-FR"/>
              </w:rPr>
              <w:t>, substances et m</w:t>
            </w:r>
            <w:r w:rsidRPr="00384923">
              <w:rPr>
                <w:rFonts w:hint="eastAsia"/>
                <w:b/>
                <w:i/>
                <w:lang w:val="fr-FR"/>
              </w:rPr>
              <w:t>é</w:t>
            </w:r>
            <w:r w:rsidRPr="00384923">
              <w:rPr>
                <w:b/>
                <w:i/>
                <w:lang w:val="fr-FR"/>
              </w:rPr>
              <w:t>langes</w:t>
            </w:r>
          </w:p>
        </w:tc>
      </w:tr>
      <w:tr w:rsidR="00384923" w:rsidRPr="00384923" w14:paraId="0EB03D85" w14:textId="77777777" w:rsidTr="0020578E">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7127608F" w14:textId="1CDD0F9C" w:rsidR="0020578E" w:rsidRPr="00384923" w:rsidRDefault="00E811F0" w:rsidP="0020578E">
            <w:pPr>
              <w:jc w:val="both"/>
            </w:pPr>
            <w:r>
              <w:rPr>
                <w:rFonts w:asciiTheme="majorHAnsi" w:hAnsiTheme="majorHAnsi" w:cs="Arial"/>
                <w:lang w:val="fr-FR"/>
              </w:rPr>
              <w:t>ERC 0 Autres</w:t>
            </w:r>
          </w:p>
        </w:tc>
      </w:tr>
      <w:tr w:rsidR="00E811F0" w:rsidRPr="00E811F0" w14:paraId="7AE966FE" w14:textId="77777777" w:rsidTr="0020578E">
        <w:trPr>
          <w:trHeight w:val="300"/>
        </w:trPr>
        <w:tc>
          <w:tcPr>
            <w:tcW w:w="9350" w:type="dxa"/>
            <w:tcBorders>
              <w:top w:val="single" w:sz="4" w:space="0" w:color="auto"/>
              <w:left w:val="single" w:sz="4" w:space="0" w:color="auto"/>
              <w:bottom w:val="single" w:sz="4" w:space="0" w:color="auto"/>
              <w:right w:val="single" w:sz="4" w:space="0" w:color="auto"/>
            </w:tcBorders>
            <w:noWrap/>
          </w:tcPr>
          <w:p w14:paraId="330C536E" w14:textId="60385E29" w:rsidR="00E811F0" w:rsidRPr="00C14E36" w:rsidRDefault="00E811F0" w:rsidP="0020578E">
            <w:pPr>
              <w:jc w:val="both"/>
              <w:rPr>
                <w:rFonts w:ascii="AngsanaUPC" w:hAnsi="AngsanaUPC" w:cs="AngsanaUPC"/>
                <w:lang w:val="fr-FR"/>
              </w:rPr>
            </w:pPr>
            <w:r w:rsidRPr="00384923">
              <w:rPr>
                <w:rFonts w:asciiTheme="majorHAnsi" w:hAnsiTheme="majorHAnsi" w:cs="Arial"/>
                <w:lang w:val="fr-FR"/>
              </w:rPr>
              <w:t>ERC1 Fabrication de substances</w:t>
            </w:r>
          </w:p>
        </w:tc>
      </w:tr>
      <w:tr w:rsidR="00384923" w:rsidRPr="00384923" w14:paraId="7900C0A3" w14:textId="77777777" w:rsidTr="0020578E">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1A34DCA1" w14:textId="7761DA6D" w:rsidR="0020578E" w:rsidRPr="00384923" w:rsidRDefault="0020578E" w:rsidP="0020578E">
            <w:pPr>
              <w:jc w:val="both"/>
            </w:pPr>
            <w:r w:rsidRPr="00384923">
              <w:rPr>
                <w:rFonts w:asciiTheme="majorHAnsi" w:hAnsiTheme="majorHAnsi" w:cs="Arial"/>
                <w:lang w:val="fr-FR"/>
              </w:rPr>
              <w:t>ERC2 Formulation de préparations</w:t>
            </w:r>
          </w:p>
        </w:tc>
      </w:tr>
      <w:tr w:rsidR="00384923" w:rsidRPr="007F1FE2" w14:paraId="51E759E6" w14:textId="77777777" w:rsidTr="0020578E">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2CEB173D" w14:textId="6FAD6FD7" w:rsidR="0020578E" w:rsidRPr="00384923" w:rsidRDefault="0020578E" w:rsidP="0020578E">
            <w:pPr>
              <w:jc w:val="both"/>
              <w:rPr>
                <w:lang w:val="fr-BE"/>
              </w:rPr>
            </w:pPr>
            <w:r w:rsidRPr="00384923">
              <w:rPr>
                <w:rFonts w:asciiTheme="majorHAnsi" w:hAnsiTheme="majorHAnsi" w:cs="Arial"/>
                <w:lang w:val="fr-FR"/>
              </w:rPr>
              <w:t>ERC3 Formulations dans les matériaux</w:t>
            </w:r>
          </w:p>
        </w:tc>
      </w:tr>
      <w:tr w:rsidR="00384923" w:rsidRPr="007F1FE2" w14:paraId="037B6491" w14:textId="77777777" w:rsidTr="0020578E">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3370A51F" w14:textId="0874CE37" w:rsidR="0020578E" w:rsidRPr="00384923" w:rsidRDefault="0020578E" w:rsidP="0020578E">
            <w:pPr>
              <w:jc w:val="both"/>
              <w:rPr>
                <w:lang w:val="fr-BE"/>
              </w:rPr>
            </w:pPr>
            <w:r w:rsidRPr="00384923">
              <w:rPr>
                <w:rFonts w:asciiTheme="majorHAnsi" w:hAnsiTheme="majorHAnsi" w:cs="Arial"/>
                <w:lang w:val="fr-FR"/>
              </w:rPr>
              <w:t>ERC4 Utilisation industrielle d'adjuvants de fabrication dans des processus et des produits, qui ne deviendront pas partie intégrante des articles</w:t>
            </w:r>
          </w:p>
        </w:tc>
      </w:tr>
      <w:tr w:rsidR="00384923" w:rsidRPr="007F1FE2" w14:paraId="028D1021" w14:textId="77777777" w:rsidTr="0020578E">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2FCDBB09" w14:textId="1E405135" w:rsidR="0020578E" w:rsidRPr="00384923" w:rsidRDefault="0020578E" w:rsidP="0020578E">
            <w:pPr>
              <w:jc w:val="both"/>
              <w:rPr>
                <w:lang w:val="fr-BE"/>
              </w:rPr>
            </w:pPr>
            <w:r w:rsidRPr="00384923">
              <w:rPr>
                <w:rFonts w:asciiTheme="majorHAnsi" w:hAnsiTheme="majorHAnsi" w:cs="Arial"/>
                <w:lang w:val="fr-FR"/>
              </w:rPr>
              <w:t>ERC5 Utilisation industrielle entraînant l'inclusion sur ou dans une matrice</w:t>
            </w:r>
          </w:p>
        </w:tc>
      </w:tr>
      <w:tr w:rsidR="00384923" w:rsidRPr="007F1FE2" w14:paraId="25B3BB1A" w14:textId="77777777" w:rsidTr="0020578E">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78B07CE1" w14:textId="2D2D6608" w:rsidR="0020578E" w:rsidRPr="00384923" w:rsidRDefault="0020578E" w:rsidP="0020578E">
            <w:pPr>
              <w:jc w:val="both"/>
              <w:rPr>
                <w:lang w:val="fr-BE"/>
              </w:rPr>
            </w:pPr>
            <w:r w:rsidRPr="00384923">
              <w:rPr>
                <w:rFonts w:asciiTheme="majorHAnsi" w:hAnsiTheme="majorHAnsi" w:cs="Arial"/>
                <w:lang w:val="fr-FR"/>
              </w:rPr>
              <w:t>ERC6a Utilisation industrielle ayant pour résultat la fabrication d'une autre substance (utilisation d'intermédiaires)</w:t>
            </w:r>
          </w:p>
        </w:tc>
      </w:tr>
      <w:tr w:rsidR="00E811F0" w:rsidRPr="007F1FE2" w14:paraId="70DD6838" w14:textId="77777777" w:rsidTr="0020578E">
        <w:trPr>
          <w:trHeight w:val="300"/>
        </w:trPr>
        <w:tc>
          <w:tcPr>
            <w:tcW w:w="9350" w:type="dxa"/>
            <w:tcBorders>
              <w:top w:val="single" w:sz="4" w:space="0" w:color="auto"/>
              <w:left w:val="single" w:sz="4" w:space="0" w:color="auto"/>
              <w:bottom w:val="single" w:sz="4" w:space="0" w:color="auto"/>
              <w:right w:val="single" w:sz="4" w:space="0" w:color="auto"/>
            </w:tcBorders>
            <w:noWrap/>
          </w:tcPr>
          <w:p w14:paraId="37451903" w14:textId="5E3C3B97" w:rsidR="00E811F0" w:rsidRPr="00C14E36" w:rsidRDefault="00E811F0">
            <w:pPr>
              <w:jc w:val="both"/>
              <w:rPr>
                <w:rFonts w:asciiTheme="majorHAnsi" w:hAnsiTheme="majorHAnsi" w:cs="Arial"/>
                <w:lang w:val="fr-BE"/>
              </w:rPr>
            </w:pPr>
            <w:r w:rsidRPr="00C14E36">
              <w:rPr>
                <w:rFonts w:asciiTheme="majorHAnsi" w:hAnsiTheme="majorHAnsi" w:cs="Arial"/>
                <w:lang w:val="fr-BE"/>
              </w:rPr>
              <w:t>ERC6c Utilisation industrielle de monom</w:t>
            </w:r>
            <w:r>
              <w:rPr>
                <w:rFonts w:asciiTheme="majorHAnsi" w:hAnsiTheme="majorHAnsi" w:cs="Arial"/>
                <w:lang w:val="fr-BE"/>
              </w:rPr>
              <w:t>ère</w:t>
            </w:r>
            <w:r w:rsidRPr="00C14E36">
              <w:rPr>
                <w:rFonts w:asciiTheme="majorHAnsi" w:hAnsiTheme="majorHAnsi" w:cs="Arial"/>
                <w:lang w:val="fr-BE"/>
              </w:rPr>
              <w:t>s dans le</w:t>
            </w:r>
            <w:r>
              <w:rPr>
                <w:rFonts w:asciiTheme="majorHAnsi" w:hAnsiTheme="majorHAnsi" w:cs="Arial"/>
                <w:lang w:val="fr-BE"/>
              </w:rPr>
              <w:t xml:space="preserve">s processus de polymérisation </w:t>
            </w:r>
            <w:r w:rsidRPr="00C14E36">
              <w:rPr>
                <w:rFonts w:asciiTheme="majorHAnsi" w:hAnsiTheme="majorHAnsi" w:cs="Arial"/>
                <w:lang w:val="fr-BE"/>
              </w:rPr>
              <w:t xml:space="preserve"> </w:t>
            </w:r>
          </w:p>
        </w:tc>
      </w:tr>
      <w:tr w:rsidR="00384923" w:rsidRPr="007F1FE2" w14:paraId="30F3E5E7" w14:textId="77777777" w:rsidTr="0020578E">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08AB5BF8" w14:textId="03F5FAF0" w:rsidR="0020578E" w:rsidRPr="00384923" w:rsidRDefault="0020578E" w:rsidP="0020578E">
            <w:pPr>
              <w:jc w:val="both"/>
              <w:rPr>
                <w:lang w:val="fr-BE"/>
              </w:rPr>
            </w:pPr>
            <w:r w:rsidRPr="00384923">
              <w:rPr>
                <w:rFonts w:asciiTheme="majorHAnsi" w:hAnsiTheme="majorHAnsi" w:cs="Arial"/>
                <w:lang w:val="fr-FR"/>
              </w:rPr>
              <w:t>ERC6d Utilisation industrielle de régulateurs de processus pour les processus de polymérisation dans la production de résines, caoutchouc, polymères</w:t>
            </w:r>
          </w:p>
        </w:tc>
      </w:tr>
      <w:tr w:rsidR="00384923" w:rsidRPr="007F1FE2" w14:paraId="5F74453C" w14:textId="77777777" w:rsidTr="0020578E">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17C79A39" w14:textId="6FD7A208" w:rsidR="0020578E" w:rsidRPr="00384923" w:rsidRDefault="0020578E" w:rsidP="0020578E">
            <w:pPr>
              <w:jc w:val="both"/>
              <w:rPr>
                <w:lang w:val="fr-BE"/>
              </w:rPr>
            </w:pPr>
            <w:r w:rsidRPr="00384923">
              <w:rPr>
                <w:rFonts w:asciiTheme="majorHAnsi" w:hAnsiTheme="majorHAnsi" w:cs="Arial"/>
                <w:lang w:val="fr-FR"/>
              </w:rPr>
              <w:t>ERC7 Utilisation industrielle de substances en systèmes clos</w:t>
            </w:r>
          </w:p>
        </w:tc>
      </w:tr>
      <w:tr w:rsidR="00384923" w:rsidRPr="007F1FE2" w14:paraId="78FC500D" w14:textId="77777777" w:rsidTr="0020578E">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0A910869" w14:textId="6A88CA5E" w:rsidR="0020578E" w:rsidRPr="00384923" w:rsidRDefault="0020578E" w:rsidP="0020578E">
            <w:pPr>
              <w:jc w:val="both"/>
              <w:rPr>
                <w:lang w:val="fr-BE"/>
              </w:rPr>
            </w:pPr>
            <w:r w:rsidRPr="00384923">
              <w:rPr>
                <w:rFonts w:asciiTheme="majorHAnsi" w:hAnsiTheme="majorHAnsi" w:cs="Arial"/>
                <w:lang w:val="fr-FR"/>
              </w:rPr>
              <w:t>ERC8a Utilisation intérieure à grande dispersion d'adjuvants de fabrication en systèmes ouverts</w:t>
            </w:r>
          </w:p>
        </w:tc>
      </w:tr>
      <w:tr w:rsidR="00C3420A" w:rsidRPr="007F1FE2" w14:paraId="1E03DC18" w14:textId="77777777" w:rsidTr="0020578E">
        <w:trPr>
          <w:trHeight w:val="300"/>
        </w:trPr>
        <w:tc>
          <w:tcPr>
            <w:tcW w:w="9350" w:type="dxa"/>
            <w:tcBorders>
              <w:top w:val="single" w:sz="4" w:space="0" w:color="auto"/>
              <w:left w:val="single" w:sz="4" w:space="0" w:color="auto"/>
              <w:bottom w:val="single" w:sz="4" w:space="0" w:color="auto"/>
              <w:right w:val="single" w:sz="4" w:space="0" w:color="auto"/>
            </w:tcBorders>
            <w:noWrap/>
          </w:tcPr>
          <w:p w14:paraId="748B45DB" w14:textId="1C534B89" w:rsidR="00C3420A" w:rsidRPr="003B5AC1" w:rsidRDefault="00C3420A" w:rsidP="0020578E">
            <w:pPr>
              <w:jc w:val="both"/>
              <w:rPr>
                <w:rFonts w:asciiTheme="majorHAnsi" w:hAnsiTheme="majorHAnsi" w:cs="Arial"/>
                <w:lang w:val="fr-BE"/>
              </w:rPr>
            </w:pPr>
            <w:r>
              <w:rPr>
                <w:rFonts w:asciiTheme="majorHAnsi" w:hAnsiTheme="majorHAnsi" w:cs="Arial"/>
                <w:lang w:val="fr-FR"/>
              </w:rPr>
              <w:t xml:space="preserve">ERC8b </w:t>
            </w:r>
            <w:r w:rsidRPr="003B5AC1">
              <w:rPr>
                <w:lang w:val="fr-BE"/>
              </w:rPr>
              <w:t>Utilisation étendue d’un adjuvant de fabrication réactif (aucune inclusion dans ou à la surface de l’article, en intérieur)</w:t>
            </w:r>
          </w:p>
        </w:tc>
      </w:tr>
      <w:tr w:rsidR="00384923" w:rsidRPr="007F1FE2" w14:paraId="197EF4D6" w14:textId="77777777" w:rsidTr="0020578E">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0297ED80" w14:textId="4DF531F3" w:rsidR="0020578E" w:rsidRPr="00384923" w:rsidRDefault="0020578E" w:rsidP="0020578E">
            <w:pPr>
              <w:jc w:val="both"/>
              <w:rPr>
                <w:lang w:val="fr-BE"/>
              </w:rPr>
            </w:pPr>
            <w:r w:rsidRPr="00384923">
              <w:rPr>
                <w:rFonts w:asciiTheme="majorHAnsi" w:hAnsiTheme="majorHAnsi" w:cs="Arial"/>
                <w:lang w:val="fr-FR"/>
              </w:rPr>
              <w:t>ERC8c Utilisation intérieure à grande dispersion entraînant l'inclusion sur ou dans une matrice</w:t>
            </w:r>
          </w:p>
        </w:tc>
      </w:tr>
      <w:tr w:rsidR="00384923" w:rsidRPr="007F1FE2" w14:paraId="69CA5921" w14:textId="77777777" w:rsidTr="0020578E">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3683651A" w14:textId="16D65107" w:rsidR="0020578E" w:rsidRPr="00384923" w:rsidRDefault="0020578E" w:rsidP="0020578E">
            <w:pPr>
              <w:jc w:val="both"/>
              <w:rPr>
                <w:lang w:val="fr-BE"/>
              </w:rPr>
            </w:pPr>
            <w:r w:rsidRPr="00384923">
              <w:rPr>
                <w:rFonts w:asciiTheme="majorHAnsi" w:hAnsiTheme="majorHAnsi" w:cs="Arial"/>
                <w:lang w:val="fr-FR"/>
              </w:rPr>
              <w:t>ERC8d Utilisation extérieure à grande dispersion d'adjuvants de fabrication en systèmes ouverts</w:t>
            </w:r>
          </w:p>
        </w:tc>
      </w:tr>
      <w:tr w:rsidR="00384923" w:rsidRPr="007F1FE2" w14:paraId="5BFAC9B0" w14:textId="77777777" w:rsidTr="0020578E">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6F6DA25D" w14:textId="25F1EAAF" w:rsidR="0020578E" w:rsidRPr="00384923" w:rsidRDefault="0020578E" w:rsidP="0020578E">
            <w:pPr>
              <w:jc w:val="both"/>
              <w:rPr>
                <w:lang w:val="fr-BE"/>
              </w:rPr>
            </w:pPr>
            <w:r w:rsidRPr="00384923">
              <w:rPr>
                <w:rFonts w:asciiTheme="majorHAnsi" w:hAnsiTheme="majorHAnsi" w:cs="Arial"/>
                <w:lang w:val="fr-FR"/>
              </w:rPr>
              <w:t>ERC9a Utilisation intérieure à grande dispersion de substances en systèmes clos</w:t>
            </w:r>
          </w:p>
        </w:tc>
      </w:tr>
      <w:tr w:rsidR="00384923" w:rsidRPr="007F1FE2" w14:paraId="7E40F3F9" w14:textId="77777777" w:rsidTr="0020578E">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487CFE9F" w14:textId="068DBD54" w:rsidR="0023041C" w:rsidRPr="00384923" w:rsidRDefault="0023041C" w:rsidP="0023041C">
            <w:pPr>
              <w:jc w:val="both"/>
              <w:rPr>
                <w:lang w:val="fr-BE"/>
              </w:rPr>
            </w:pPr>
            <w:r w:rsidRPr="00384923">
              <w:rPr>
                <w:rFonts w:asciiTheme="majorHAnsi" w:hAnsiTheme="majorHAnsi" w:cs="Arial"/>
                <w:lang w:val="fr-FR"/>
              </w:rPr>
              <w:t>ERC10a Utilisation extérieure à grande dispersion d'articles de longue durée et de matériaux à faible rejet</w:t>
            </w:r>
          </w:p>
        </w:tc>
      </w:tr>
      <w:tr w:rsidR="00384923" w:rsidRPr="007F1FE2" w14:paraId="53F29451" w14:textId="77777777" w:rsidTr="0020578E">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1CDC8BF9" w14:textId="7EF9E3BD" w:rsidR="0023041C" w:rsidRPr="00384923" w:rsidRDefault="0023041C" w:rsidP="0023041C">
            <w:pPr>
              <w:jc w:val="both"/>
              <w:rPr>
                <w:lang w:val="fr-BE"/>
              </w:rPr>
            </w:pPr>
            <w:r w:rsidRPr="00384923">
              <w:rPr>
                <w:rFonts w:asciiTheme="majorHAnsi" w:hAnsiTheme="majorHAnsi" w:cs="Arial"/>
                <w:lang w:val="fr-FR"/>
              </w:rPr>
              <w:t>ERC10b Utilisation extérieure à grande dispersion d'articles de longue durée et de matériaux à rejet élevé ou intentionnel (y compris traitement abrasif)</w:t>
            </w:r>
          </w:p>
        </w:tc>
      </w:tr>
      <w:tr w:rsidR="00384923" w:rsidRPr="007F1FE2" w14:paraId="1508C42A" w14:textId="77777777" w:rsidTr="0020578E">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1C30BE7F" w14:textId="55EAF60A" w:rsidR="0023041C" w:rsidRPr="00384923" w:rsidRDefault="0023041C" w:rsidP="0023041C">
            <w:pPr>
              <w:jc w:val="both"/>
              <w:rPr>
                <w:lang w:val="fr-BE"/>
              </w:rPr>
            </w:pPr>
            <w:r w:rsidRPr="00384923">
              <w:rPr>
                <w:rFonts w:asciiTheme="majorHAnsi" w:hAnsiTheme="majorHAnsi" w:cs="Arial"/>
                <w:lang w:val="fr-FR"/>
              </w:rPr>
              <w:t>ERC11a Utilisation intérieure à grande dispersion d'articles de longue durée et de matériaux à faible rejet</w:t>
            </w:r>
          </w:p>
        </w:tc>
      </w:tr>
    </w:tbl>
    <w:p w14:paraId="7E369307" w14:textId="77777777" w:rsidR="00601D1C" w:rsidRPr="00B76985" w:rsidRDefault="00601D1C" w:rsidP="00C54F7D">
      <w:pPr>
        <w:jc w:val="both"/>
        <w:rPr>
          <w:lang w:val="fr-BE"/>
        </w:rPr>
      </w:pPr>
    </w:p>
    <w:p w14:paraId="40CA99F1" w14:textId="0BAF3DAD" w:rsidR="0044022B" w:rsidRPr="00BD15C9" w:rsidRDefault="00BB62A5" w:rsidP="00384923">
      <w:pPr>
        <w:jc w:val="both"/>
        <w:rPr>
          <w:lang w:val="fr-FR"/>
        </w:rPr>
      </w:pPr>
      <w:r w:rsidRPr="00BD15C9">
        <w:rPr>
          <w:lang w:val="fr-FR"/>
        </w:rPr>
        <w:t xml:space="preserve">La figure ci-dessous illustre les cinq valeurs ERC le plus souvent mentionnées dans les enregistrements. </w:t>
      </w:r>
    </w:p>
    <w:p w14:paraId="37807D1B" w14:textId="67AC8413" w:rsidR="00C52A65" w:rsidRDefault="00601D1C" w:rsidP="00C54F7D">
      <w:pPr>
        <w:rPr>
          <w:lang w:val="fr-FR"/>
        </w:rPr>
      </w:pPr>
      <w:r>
        <w:rPr>
          <w:lang w:val="fr-FR"/>
        </w:rPr>
        <w:t xml:space="preserve">Pour </w:t>
      </w:r>
      <w:r w:rsidR="00C3420A">
        <w:rPr>
          <w:lang w:val="fr-FR"/>
        </w:rPr>
        <w:t>20</w:t>
      </w:r>
      <w:r w:rsidR="00E811F0">
        <w:rPr>
          <w:lang w:val="fr-FR"/>
        </w:rPr>
        <w:t>20</w:t>
      </w:r>
      <w:r>
        <w:rPr>
          <w:lang w:val="fr-FR"/>
        </w:rPr>
        <w:t>, substances et mélanges :</w:t>
      </w:r>
    </w:p>
    <w:p w14:paraId="39F22DD6" w14:textId="044FE750" w:rsidR="00E021F2" w:rsidRDefault="00E021F2" w:rsidP="00C54F7D">
      <w:pPr>
        <w:rPr>
          <w:lang w:val="fr-FR"/>
        </w:rPr>
      </w:pPr>
      <w:r>
        <w:rPr>
          <w:noProof/>
          <w:lang w:val="fr-FR"/>
        </w:rPr>
        <w:lastRenderedPageBreak/>
        <w:drawing>
          <wp:inline distT="0" distB="0" distL="0" distR="0" wp14:anchorId="08698D3B" wp14:editId="3EB9FB39">
            <wp:extent cx="5486400" cy="3200400"/>
            <wp:effectExtent l="0" t="0" r="0" b="0"/>
            <wp:docPr id="23" name="Graphique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79E9B16E" w14:textId="656D6BAE" w:rsidR="00601D1C" w:rsidRPr="00C23656" w:rsidRDefault="002B3A7D" w:rsidP="00B176EF">
      <w:pPr>
        <w:pStyle w:val="Lgende"/>
        <w:jc w:val="center"/>
        <w:rPr>
          <w:noProof/>
          <w:lang w:val="fr-BE"/>
        </w:rPr>
      </w:pPr>
      <w:r w:rsidRPr="00B176EF">
        <w:rPr>
          <w:noProof/>
          <w:lang w:val="fr-BE"/>
        </w:rPr>
        <w:t xml:space="preserve">Figure </w:t>
      </w:r>
      <w:r w:rsidRPr="00B176EF">
        <w:rPr>
          <w:noProof/>
          <w:lang w:val="fr-BE"/>
        </w:rPr>
        <w:fldChar w:fldCharType="begin"/>
      </w:r>
      <w:r w:rsidRPr="00B176EF">
        <w:rPr>
          <w:noProof/>
          <w:lang w:val="fr-BE"/>
        </w:rPr>
        <w:instrText xml:space="preserve"> SEQ Figure \* ARABIC </w:instrText>
      </w:r>
      <w:r w:rsidRPr="00B176EF">
        <w:rPr>
          <w:noProof/>
          <w:lang w:val="fr-BE"/>
        </w:rPr>
        <w:fldChar w:fldCharType="separate"/>
      </w:r>
      <w:r w:rsidR="00B176EF" w:rsidRPr="00B176EF">
        <w:rPr>
          <w:noProof/>
          <w:lang w:val="fr-BE"/>
        </w:rPr>
        <w:t>16</w:t>
      </w:r>
      <w:r w:rsidRPr="00B176EF">
        <w:rPr>
          <w:noProof/>
          <w:lang w:val="fr-BE"/>
        </w:rPr>
        <w:fldChar w:fldCharType="end"/>
      </w:r>
      <w:r w:rsidRPr="00B176EF">
        <w:rPr>
          <w:noProof/>
          <w:lang w:val="fr-BE"/>
        </w:rPr>
        <w:t>: nombre d'enregistrements par catégorie de rejet dans l'environnement</w:t>
      </w:r>
    </w:p>
    <w:p w14:paraId="040BE4B7" w14:textId="607B64DE" w:rsidR="00FB49B7" w:rsidRDefault="00E64D08" w:rsidP="00FE4500">
      <w:pPr>
        <w:rPr>
          <w:lang w:val="fr-BE"/>
        </w:rPr>
      </w:pPr>
      <w:r>
        <w:rPr>
          <w:lang w:val="fr-BE"/>
        </w:rPr>
        <w:t>Par rapport à 2019, ERC2 garde la même position, et ERC3 - ERC5 ainsi que ERC1 - ERC4 ont échangé leur place.</w:t>
      </w:r>
    </w:p>
    <w:p w14:paraId="54951063" w14:textId="3FF1830F" w:rsidR="00601D1C" w:rsidRDefault="00601D1C" w:rsidP="00B76985">
      <w:pPr>
        <w:pStyle w:val="Titre2"/>
      </w:pPr>
      <w:bookmarkStart w:id="68" w:name="_Toc76034181"/>
      <w:r>
        <w:t>Catégorie d’articles (AC)</w:t>
      </w:r>
      <w:bookmarkEnd w:id="68"/>
    </w:p>
    <w:p w14:paraId="23E839B2" w14:textId="622F8884" w:rsidR="005A56D2" w:rsidRPr="00BD15C9" w:rsidRDefault="00951886" w:rsidP="00A16A66">
      <w:pPr>
        <w:jc w:val="both"/>
        <w:rPr>
          <w:lang w:val="fr-FR"/>
        </w:rPr>
      </w:pPr>
      <w:r w:rsidRPr="00BD15C9">
        <w:rPr>
          <w:lang w:val="fr-FR"/>
        </w:rPr>
        <w:t xml:space="preserve">La catégorie d'articles décrit le type d'article dans lequel la substance est intégrée ou sur lequel elle est appliquée. </w:t>
      </w:r>
    </w:p>
    <w:p w14:paraId="00FE3791" w14:textId="33D33F39" w:rsidR="00A16A66" w:rsidRDefault="00951886" w:rsidP="00A16A66">
      <w:pPr>
        <w:jc w:val="both"/>
        <w:rPr>
          <w:lang w:val="fr-FR"/>
        </w:rPr>
      </w:pPr>
      <w:r w:rsidRPr="00BD15C9">
        <w:rPr>
          <w:lang w:val="fr-FR"/>
        </w:rPr>
        <w:t xml:space="preserve">Le tableau ci-dessous énumère les valeurs de la catégorie d'articles, telles que mentionnées dans les enregistrements et triées en fonction du code de cette catégorie. </w:t>
      </w:r>
    </w:p>
    <w:p w14:paraId="2C889C26" w14:textId="74C84404" w:rsidR="00926375" w:rsidRDefault="00926375" w:rsidP="00A16A66">
      <w:pPr>
        <w:jc w:val="both"/>
        <w:rPr>
          <w:lang w:val="fr-FR"/>
        </w:rPr>
      </w:pPr>
      <w:r>
        <w:rPr>
          <w:lang w:val="fr-FR"/>
        </w:rPr>
        <w:t xml:space="preserve">Pour </w:t>
      </w:r>
      <w:r w:rsidR="00484A46">
        <w:rPr>
          <w:lang w:val="fr-FR"/>
        </w:rPr>
        <w:t>2020</w:t>
      </w:r>
      <w:r>
        <w:rPr>
          <w:lang w:val="fr-FR"/>
        </w:rPr>
        <w:t>, substances et mélanges ensemble :</w:t>
      </w:r>
    </w:p>
    <w:tbl>
      <w:tblPr>
        <w:tblStyle w:val="Grilledutableau"/>
        <w:tblW w:w="0" w:type="auto"/>
        <w:tblLook w:val="04A0" w:firstRow="1" w:lastRow="0" w:firstColumn="1" w:lastColumn="0" w:noHBand="0" w:noVBand="1"/>
      </w:tblPr>
      <w:tblGrid>
        <w:gridCol w:w="9350"/>
      </w:tblGrid>
      <w:tr w:rsidR="00384923" w:rsidRPr="007F1FE2" w14:paraId="3E7B1CE7" w14:textId="77777777" w:rsidTr="0023041C">
        <w:trPr>
          <w:trHeight w:val="300"/>
          <w:tblHeader/>
        </w:trPr>
        <w:tc>
          <w:tcPr>
            <w:tcW w:w="9350" w:type="dxa"/>
            <w:tcBorders>
              <w:top w:val="single" w:sz="4" w:space="0" w:color="auto"/>
              <w:left w:val="single" w:sz="4" w:space="0" w:color="auto"/>
              <w:bottom w:val="single" w:sz="4" w:space="0" w:color="auto"/>
              <w:right w:val="single" w:sz="4" w:space="0" w:color="auto"/>
            </w:tcBorders>
            <w:noWrap/>
            <w:hideMark/>
          </w:tcPr>
          <w:p w14:paraId="75F476B6" w14:textId="3C494BAD" w:rsidR="00926375" w:rsidRPr="00384923" w:rsidRDefault="00926375" w:rsidP="00926375">
            <w:pPr>
              <w:jc w:val="both"/>
              <w:rPr>
                <w:rFonts w:ascii="inherit" w:hAnsi="inherit"/>
                <w:lang w:val="fr-BE"/>
              </w:rPr>
            </w:pPr>
            <w:r w:rsidRPr="00384923">
              <w:rPr>
                <w:b/>
                <w:i/>
                <w:lang w:val="fr-FR"/>
              </w:rPr>
              <w:t>Tableau: valeurs pour la cat</w:t>
            </w:r>
            <w:r w:rsidRPr="00384923">
              <w:rPr>
                <w:rFonts w:hint="eastAsia"/>
                <w:b/>
                <w:i/>
                <w:lang w:val="fr-FR"/>
              </w:rPr>
              <w:t>é</w:t>
            </w:r>
            <w:r w:rsidRPr="00384923">
              <w:rPr>
                <w:b/>
                <w:i/>
                <w:lang w:val="fr-FR"/>
              </w:rPr>
              <w:t>gorie d'objets (AC) indiqu</w:t>
            </w:r>
            <w:r w:rsidRPr="00384923">
              <w:rPr>
                <w:rFonts w:hint="eastAsia"/>
                <w:b/>
                <w:i/>
                <w:lang w:val="fr-FR"/>
              </w:rPr>
              <w:t>é</w:t>
            </w:r>
            <w:r w:rsidRPr="00384923">
              <w:rPr>
                <w:b/>
                <w:i/>
                <w:lang w:val="fr-FR"/>
              </w:rPr>
              <w:t xml:space="preserve">e dans les enregistrements, pour </w:t>
            </w:r>
            <w:r w:rsidR="00DC5C95" w:rsidRPr="00384923">
              <w:rPr>
                <w:b/>
                <w:i/>
                <w:lang w:val="fr-FR"/>
              </w:rPr>
              <w:t>20</w:t>
            </w:r>
            <w:r w:rsidR="00484A46">
              <w:rPr>
                <w:b/>
                <w:i/>
                <w:lang w:val="fr-FR"/>
              </w:rPr>
              <w:t>20</w:t>
            </w:r>
            <w:r w:rsidRPr="00384923">
              <w:rPr>
                <w:b/>
                <w:i/>
                <w:lang w:val="fr-FR"/>
              </w:rPr>
              <w:t>, substances et m</w:t>
            </w:r>
            <w:r w:rsidRPr="00384923">
              <w:rPr>
                <w:rFonts w:hint="eastAsia"/>
                <w:b/>
                <w:i/>
                <w:lang w:val="fr-FR"/>
              </w:rPr>
              <w:t>é</w:t>
            </w:r>
            <w:r w:rsidRPr="00384923">
              <w:rPr>
                <w:b/>
                <w:i/>
                <w:lang w:val="fr-FR"/>
              </w:rPr>
              <w:t>langes</w:t>
            </w:r>
          </w:p>
        </w:tc>
      </w:tr>
      <w:tr w:rsidR="00384923" w:rsidRPr="00384923" w14:paraId="5C47A814" w14:textId="77777777" w:rsidTr="0023041C">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14109C44" w14:textId="2526A061" w:rsidR="0023041C" w:rsidRPr="00384923" w:rsidRDefault="0023041C" w:rsidP="0023041C">
            <w:pPr>
              <w:jc w:val="both"/>
            </w:pPr>
            <w:r w:rsidRPr="00384923">
              <w:rPr>
                <w:rFonts w:asciiTheme="majorHAnsi" w:hAnsiTheme="majorHAnsi" w:cs="Arial"/>
                <w:lang w:val="fr-FR"/>
              </w:rPr>
              <w:t xml:space="preserve">AC0 Autres  </w:t>
            </w:r>
          </w:p>
        </w:tc>
      </w:tr>
      <w:tr w:rsidR="00384923" w:rsidRPr="00384923" w14:paraId="0186AA1E" w14:textId="77777777" w:rsidTr="0023041C">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4407FD21" w14:textId="1014F6E3" w:rsidR="0023041C" w:rsidRPr="00384923" w:rsidRDefault="0023041C" w:rsidP="0023041C">
            <w:pPr>
              <w:jc w:val="both"/>
            </w:pPr>
            <w:r w:rsidRPr="00384923">
              <w:rPr>
                <w:rFonts w:asciiTheme="majorHAnsi" w:hAnsiTheme="majorHAnsi" w:cs="Arial"/>
                <w:lang w:val="fr-FR"/>
              </w:rPr>
              <w:t>AC1 Véhicules</w:t>
            </w:r>
          </w:p>
        </w:tc>
      </w:tr>
      <w:tr w:rsidR="00384923" w:rsidRPr="007F1FE2" w14:paraId="70EFE4F6" w14:textId="77777777" w:rsidTr="0023041C">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2638ED2F" w14:textId="0E4CB164" w:rsidR="0023041C" w:rsidRPr="00384923" w:rsidRDefault="0023041C" w:rsidP="0023041C">
            <w:pPr>
              <w:jc w:val="both"/>
              <w:rPr>
                <w:lang w:val="fr-BE"/>
              </w:rPr>
            </w:pPr>
            <w:r w:rsidRPr="00384923">
              <w:rPr>
                <w:rFonts w:asciiTheme="majorHAnsi" w:hAnsiTheme="majorHAnsi" w:cs="Arial"/>
                <w:lang w:val="fr-FR"/>
              </w:rPr>
              <w:t>AC2 Machines, appareils mécaniques, articles électriques/électroniques</w:t>
            </w:r>
          </w:p>
        </w:tc>
      </w:tr>
      <w:tr w:rsidR="00384923" w:rsidRPr="007F1FE2" w14:paraId="44702A45" w14:textId="77777777" w:rsidTr="0023041C">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3E2FA23F" w14:textId="6C829D21" w:rsidR="0023041C" w:rsidRPr="00384923" w:rsidRDefault="0023041C" w:rsidP="0023041C">
            <w:pPr>
              <w:jc w:val="both"/>
              <w:rPr>
                <w:lang w:val="fr-BE"/>
              </w:rPr>
            </w:pPr>
            <w:r w:rsidRPr="00384923">
              <w:rPr>
                <w:rFonts w:asciiTheme="majorHAnsi" w:hAnsiTheme="majorHAnsi" w:cs="Arial"/>
                <w:lang w:val="fr-FR"/>
              </w:rPr>
              <w:t>AC3 Piles et accumulateurs électriques</w:t>
            </w:r>
          </w:p>
        </w:tc>
      </w:tr>
      <w:tr w:rsidR="00384923" w:rsidRPr="007F1FE2" w14:paraId="461F50D2" w14:textId="77777777" w:rsidTr="0023041C">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1E127BAD" w14:textId="5AF8FB35" w:rsidR="0023041C" w:rsidRPr="00384923" w:rsidRDefault="0023041C" w:rsidP="0023041C">
            <w:pPr>
              <w:jc w:val="both"/>
              <w:rPr>
                <w:lang w:val="fr-BE"/>
              </w:rPr>
            </w:pPr>
            <w:r w:rsidRPr="00384923">
              <w:rPr>
                <w:rFonts w:asciiTheme="majorHAnsi" w:hAnsiTheme="majorHAnsi" w:cs="Arial"/>
                <w:lang w:val="fr-FR"/>
              </w:rPr>
              <w:t>AC4 Articles en pierre, plâtre, ciment, verre et céramique</w:t>
            </w:r>
          </w:p>
        </w:tc>
      </w:tr>
      <w:tr w:rsidR="00384923" w:rsidRPr="007F1FE2" w14:paraId="6D6761DA" w14:textId="77777777" w:rsidTr="0023041C">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3A6C723D" w14:textId="0B4FDF1C" w:rsidR="0023041C" w:rsidRPr="00384923" w:rsidRDefault="0023041C" w:rsidP="0023041C">
            <w:pPr>
              <w:jc w:val="both"/>
              <w:rPr>
                <w:lang w:val="fr-BE"/>
              </w:rPr>
            </w:pPr>
            <w:r w:rsidRPr="00384923">
              <w:rPr>
                <w:rFonts w:asciiTheme="majorHAnsi" w:hAnsiTheme="majorHAnsi" w:cs="Arial"/>
                <w:lang w:val="fr-FR"/>
              </w:rPr>
              <w:t>AC5 Tissus, textile et habillement</w:t>
            </w:r>
          </w:p>
        </w:tc>
      </w:tr>
      <w:tr w:rsidR="00384923" w:rsidRPr="00384923" w14:paraId="593F49D7" w14:textId="77777777" w:rsidTr="0023041C">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3221E447" w14:textId="2E0749D0" w:rsidR="0023041C" w:rsidRPr="00384923" w:rsidRDefault="0023041C" w:rsidP="0023041C">
            <w:pPr>
              <w:jc w:val="both"/>
            </w:pPr>
            <w:r w:rsidRPr="00384923">
              <w:rPr>
                <w:rFonts w:asciiTheme="majorHAnsi" w:hAnsiTheme="majorHAnsi" w:cs="Arial"/>
                <w:lang w:val="fr-FR"/>
              </w:rPr>
              <w:t>AC6 Articles en cuir</w:t>
            </w:r>
          </w:p>
        </w:tc>
      </w:tr>
      <w:tr w:rsidR="00384923" w:rsidRPr="00384923" w14:paraId="6D133A70" w14:textId="77777777" w:rsidTr="0023041C">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6C0092F9" w14:textId="0A7FF1D9" w:rsidR="00926375" w:rsidRPr="00384923" w:rsidRDefault="00926375">
            <w:pPr>
              <w:jc w:val="both"/>
            </w:pPr>
            <w:r w:rsidRPr="00384923">
              <w:rPr>
                <w:rFonts w:asciiTheme="majorHAnsi" w:hAnsiTheme="majorHAnsi" w:cs="Arial"/>
                <w:lang w:val="fr-FR"/>
              </w:rPr>
              <w:t xml:space="preserve">AC7 </w:t>
            </w:r>
            <w:r w:rsidR="0023041C" w:rsidRPr="00384923">
              <w:rPr>
                <w:rFonts w:asciiTheme="majorHAnsi" w:hAnsiTheme="majorHAnsi" w:cs="Arial"/>
                <w:lang w:val="fr-FR"/>
              </w:rPr>
              <w:t>Articles métalliques</w:t>
            </w:r>
          </w:p>
        </w:tc>
      </w:tr>
      <w:tr w:rsidR="00384923" w:rsidRPr="00384923" w14:paraId="7AC98386" w14:textId="77777777" w:rsidTr="0023041C">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15B5CEC1" w14:textId="3E8B0020" w:rsidR="0023041C" w:rsidRPr="00384923" w:rsidRDefault="0023041C" w:rsidP="0023041C">
            <w:pPr>
              <w:jc w:val="both"/>
            </w:pPr>
            <w:r w:rsidRPr="00384923">
              <w:rPr>
                <w:rFonts w:asciiTheme="majorHAnsi" w:hAnsiTheme="majorHAnsi" w:cs="Arial"/>
                <w:lang w:val="fr-FR"/>
              </w:rPr>
              <w:t>AC8 Articles en papier</w:t>
            </w:r>
          </w:p>
        </w:tc>
      </w:tr>
      <w:tr w:rsidR="00384923" w:rsidRPr="00384923" w14:paraId="47A44B18" w14:textId="77777777" w:rsidTr="0023041C">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1FC79B7A" w14:textId="46A4B4DF" w:rsidR="0023041C" w:rsidRPr="00384923" w:rsidRDefault="0023041C" w:rsidP="0023041C">
            <w:pPr>
              <w:jc w:val="both"/>
            </w:pPr>
            <w:r w:rsidRPr="00384923">
              <w:rPr>
                <w:rFonts w:asciiTheme="majorHAnsi" w:hAnsiTheme="majorHAnsi" w:cs="Arial"/>
                <w:lang w:val="fr-FR"/>
              </w:rPr>
              <w:t>AC10 Articles en caoutchouc</w:t>
            </w:r>
          </w:p>
        </w:tc>
      </w:tr>
      <w:tr w:rsidR="00384923" w:rsidRPr="00384923" w14:paraId="64598A9B" w14:textId="77777777" w:rsidTr="0023041C">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04E1C545" w14:textId="359A013F" w:rsidR="0023041C" w:rsidRPr="00384923" w:rsidRDefault="0023041C" w:rsidP="0023041C">
            <w:pPr>
              <w:jc w:val="both"/>
            </w:pPr>
            <w:r w:rsidRPr="00384923">
              <w:rPr>
                <w:rFonts w:asciiTheme="majorHAnsi" w:hAnsiTheme="majorHAnsi" w:cs="Arial"/>
                <w:lang w:val="fr-FR"/>
              </w:rPr>
              <w:t>AC11 Articles en bois</w:t>
            </w:r>
          </w:p>
        </w:tc>
      </w:tr>
      <w:tr w:rsidR="00384923" w:rsidRPr="00384923" w14:paraId="3190D0B9" w14:textId="77777777" w:rsidTr="0023041C">
        <w:trPr>
          <w:trHeight w:val="300"/>
        </w:trPr>
        <w:tc>
          <w:tcPr>
            <w:tcW w:w="9350" w:type="dxa"/>
            <w:tcBorders>
              <w:top w:val="single" w:sz="4" w:space="0" w:color="auto"/>
              <w:left w:val="single" w:sz="4" w:space="0" w:color="auto"/>
              <w:bottom w:val="single" w:sz="4" w:space="0" w:color="auto"/>
              <w:right w:val="single" w:sz="4" w:space="0" w:color="auto"/>
            </w:tcBorders>
            <w:noWrap/>
            <w:hideMark/>
          </w:tcPr>
          <w:p w14:paraId="5A275265" w14:textId="53506D01" w:rsidR="0023041C" w:rsidRPr="00384923" w:rsidRDefault="0023041C" w:rsidP="0023041C">
            <w:pPr>
              <w:jc w:val="both"/>
            </w:pPr>
            <w:r w:rsidRPr="00384923">
              <w:rPr>
                <w:rFonts w:asciiTheme="majorHAnsi" w:hAnsiTheme="majorHAnsi" w:cs="Arial"/>
                <w:lang w:val="fr-FR"/>
              </w:rPr>
              <w:lastRenderedPageBreak/>
              <w:t>AC13 Articles en plastique</w:t>
            </w:r>
          </w:p>
        </w:tc>
      </w:tr>
      <w:tr w:rsidR="00C3420A" w:rsidRPr="0014608F" w14:paraId="786B766F" w14:textId="77777777" w:rsidTr="0023041C">
        <w:trPr>
          <w:trHeight w:val="300"/>
        </w:trPr>
        <w:tc>
          <w:tcPr>
            <w:tcW w:w="9350" w:type="dxa"/>
            <w:tcBorders>
              <w:top w:val="single" w:sz="4" w:space="0" w:color="auto"/>
              <w:left w:val="single" w:sz="4" w:space="0" w:color="auto"/>
              <w:bottom w:val="single" w:sz="4" w:space="0" w:color="auto"/>
              <w:right w:val="single" w:sz="4" w:space="0" w:color="auto"/>
            </w:tcBorders>
            <w:noWrap/>
          </w:tcPr>
          <w:p w14:paraId="516A5C80" w14:textId="3B0D5E48" w:rsidR="00C3420A" w:rsidRPr="00384923" w:rsidRDefault="00C3420A" w:rsidP="0023041C">
            <w:pPr>
              <w:jc w:val="both"/>
              <w:rPr>
                <w:rFonts w:asciiTheme="majorHAnsi" w:hAnsiTheme="majorHAnsi" w:cs="Arial"/>
                <w:lang w:val="fr-FR"/>
              </w:rPr>
            </w:pPr>
            <w:r>
              <w:rPr>
                <w:rFonts w:asciiTheme="majorHAnsi" w:hAnsiTheme="majorHAnsi" w:cs="Arial"/>
                <w:lang w:val="fr-FR"/>
              </w:rPr>
              <w:t>AC34 Jouets parfumés</w:t>
            </w:r>
          </w:p>
        </w:tc>
      </w:tr>
      <w:tr w:rsidR="00C3420A" w:rsidRPr="0014608F" w14:paraId="39D9A739" w14:textId="77777777" w:rsidTr="0023041C">
        <w:trPr>
          <w:trHeight w:val="300"/>
        </w:trPr>
        <w:tc>
          <w:tcPr>
            <w:tcW w:w="9350" w:type="dxa"/>
            <w:tcBorders>
              <w:top w:val="single" w:sz="4" w:space="0" w:color="auto"/>
              <w:left w:val="single" w:sz="4" w:space="0" w:color="auto"/>
              <w:bottom w:val="single" w:sz="4" w:space="0" w:color="auto"/>
              <w:right w:val="single" w:sz="4" w:space="0" w:color="auto"/>
            </w:tcBorders>
            <w:noWrap/>
          </w:tcPr>
          <w:p w14:paraId="7E450B91" w14:textId="4CC9D750" w:rsidR="00C3420A" w:rsidRPr="00384923" w:rsidRDefault="00C3420A" w:rsidP="0023041C">
            <w:pPr>
              <w:jc w:val="both"/>
              <w:rPr>
                <w:rFonts w:asciiTheme="majorHAnsi" w:hAnsiTheme="majorHAnsi" w:cs="Arial"/>
                <w:lang w:val="fr-FR"/>
              </w:rPr>
            </w:pPr>
            <w:r>
              <w:rPr>
                <w:rFonts w:asciiTheme="majorHAnsi" w:hAnsiTheme="majorHAnsi" w:cs="Arial"/>
                <w:lang w:val="fr-FR"/>
              </w:rPr>
              <w:t>AC36 CD parfumés</w:t>
            </w:r>
          </w:p>
        </w:tc>
      </w:tr>
    </w:tbl>
    <w:p w14:paraId="10C3DE5D" w14:textId="4A2D3D48" w:rsidR="00C52A65" w:rsidRPr="00BD15C9" w:rsidRDefault="00EB3A74" w:rsidP="00384923">
      <w:pPr>
        <w:spacing w:before="240"/>
        <w:jc w:val="both"/>
        <w:rPr>
          <w:lang w:val="fr-FR"/>
        </w:rPr>
      </w:pPr>
      <w:r w:rsidRPr="00BD15C9">
        <w:rPr>
          <w:lang w:val="fr-FR"/>
        </w:rPr>
        <w:t xml:space="preserve">La figure ci-dessous illustre les cinq valeurs AC le plus souvent mentionnées dans les enregistrements. </w:t>
      </w:r>
    </w:p>
    <w:p w14:paraId="09A6D49A" w14:textId="62E9059C" w:rsidR="000C35DF" w:rsidRDefault="00926375" w:rsidP="00C52A65">
      <w:pPr>
        <w:rPr>
          <w:lang w:val="fr-FR"/>
        </w:rPr>
      </w:pPr>
      <w:r>
        <w:rPr>
          <w:lang w:val="fr-FR"/>
        </w:rPr>
        <w:t xml:space="preserve">Pour </w:t>
      </w:r>
      <w:r w:rsidR="00F266B4">
        <w:rPr>
          <w:lang w:val="fr-FR"/>
        </w:rPr>
        <w:t>20</w:t>
      </w:r>
      <w:r w:rsidR="00326A50">
        <w:rPr>
          <w:lang w:val="fr-FR"/>
        </w:rPr>
        <w:t>20</w:t>
      </w:r>
      <w:r>
        <w:rPr>
          <w:lang w:val="fr-FR"/>
        </w:rPr>
        <w:t>, substances et mélanges ensemble</w:t>
      </w:r>
      <w:r w:rsidR="00EA1A4A">
        <w:rPr>
          <w:lang w:val="fr-FR"/>
        </w:rPr>
        <w:t> :</w:t>
      </w:r>
    </w:p>
    <w:p w14:paraId="77F55416" w14:textId="07678460" w:rsidR="00B12CA8" w:rsidRDefault="00B12CA8" w:rsidP="00C52A65">
      <w:pPr>
        <w:rPr>
          <w:lang w:val="fr-FR"/>
        </w:rPr>
      </w:pPr>
      <w:r>
        <w:rPr>
          <w:noProof/>
          <w:lang w:val="fr-FR"/>
        </w:rPr>
        <w:drawing>
          <wp:inline distT="0" distB="0" distL="0" distR="0" wp14:anchorId="294E0EB3" wp14:editId="2B6E893C">
            <wp:extent cx="6491335" cy="2706986"/>
            <wp:effectExtent l="0" t="0" r="5080" b="17780"/>
            <wp:docPr id="24" name="Graphique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27030932" w14:textId="4E0D4AD3" w:rsidR="00EA1A4A" w:rsidRDefault="00144665" w:rsidP="00384923">
      <w:pPr>
        <w:pStyle w:val="Lgende"/>
        <w:jc w:val="center"/>
        <w:rPr>
          <w:lang w:val="fr-BE"/>
        </w:rPr>
      </w:pPr>
      <w:r w:rsidRPr="00B76985">
        <w:rPr>
          <w:lang w:val="fr-BE"/>
        </w:rPr>
        <w:t xml:space="preserve">Figure </w:t>
      </w:r>
      <w:r>
        <w:fldChar w:fldCharType="begin"/>
      </w:r>
      <w:r w:rsidRPr="00B76985">
        <w:rPr>
          <w:lang w:val="fr-BE"/>
        </w:rPr>
        <w:instrText xml:space="preserve"> SEQ Figure \* ARABIC </w:instrText>
      </w:r>
      <w:r>
        <w:fldChar w:fldCharType="separate"/>
      </w:r>
      <w:r w:rsidR="00B176EF">
        <w:rPr>
          <w:noProof/>
          <w:lang w:val="fr-BE"/>
        </w:rPr>
        <w:t>17</w:t>
      </w:r>
      <w:r>
        <w:fldChar w:fldCharType="end"/>
      </w:r>
      <w:r w:rsidRPr="00B76985">
        <w:rPr>
          <w:lang w:val="fr-BE"/>
        </w:rPr>
        <w:t>: nombre d'enregistrements par catégorie d'articles</w:t>
      </w:r>
    </w:p>
    <w:p w14:paraId="3A50A24E" w14:textId="6C709450" w:rsidR="0022570B" w:rsidRDefault="00B12CA8" w:rsidP="00FE4500">
      <w:pPr>
        <w:rPr>
          <w:lang w:val="fr-BE"/>
        </w:rPr>
      </w:pPr>
      <w:r>
        <w:rPr>
          <w:lang w:val="fr-BE"/>
        </w:rPr>
        <w:t>par rapport à 2019, AC4 arrive dans le classement et prend la première place, dès lors AC0, AC13 et AC1 reculent à la deuxième, à la troisième et à la quatrième positions, respectivement. AC10 disparaît de sa quatrième place. Et AC2 reste en dernière position.</w:t>
      </w:r>
    </w:p>
    <w:p w14:paraId="4D958E23" w14:textId="77777777" w:rsidR="00F266B4" w:rsidRPr="00FE4500" w:rsidRDefault="00F266B4" w:rsidP="00FE4500">
      <w:pPr>
        <w:rPr>
          <w:lang w:val="fr-BE"/>
        </w:rPr>
      </w:pPr>
    </w:p>
    <w:p w14:paraId="1ED959E4" w14:textId="2457795E" w:rsidR="00EA1A4A" w:rsidRPr="00384923" w:rsidRDefault="0057746C" w:rsidP="00B76985">
      <w:pPr>
        <w:pStyle w:val="Titre1"/>
        <w:rPr>
          <w:lang w:val="fr-FR"/>
        </w:rPr>
      </w:pPr>
      <w:bookmarkStart w:id="69" w:name="_Toc76034182"/>
      <w:r w:rsidRPr="00BD15C9">
        <w:rPr>
          <w:lang w:val="fr-FR"/>
        </w:rPr>
        <w:t>Les substances manufacturées à l'état nanoparticulaire, enregistrées dans le registre</w:t>
      </w:r>
      <w:bookmarkEnd w:id="69"/>
    </w:p>
    <w:p w14:paraId="406C0A9D" w14:textId="4F29AA8F" w:rsidR="00EA1A4A" w:rsidRPr="00EA1A4A" w:rsidRDefault="00EA1A4A" w:rsidP="00B76985">
      <w:pPr>
        <w:pStyle w:val="Titre2"/>
      </w:pPr>
      <w:bookmarkStart w:id="70" w:name="_Toc76034183"/>
      <w:r>
        <w:t>Identification chimique des substances</w:t>
      </w:r>
      <w:bookmarkEnd w:id="70"/>
    </w:p>
    <w:p w14:paraId="23B26271" w14:textId="77777777" w:rsidR="00AD46FC" w:rsidRPr="00BD15C9" w:rsidRDefault="00AD46FC" w:rsidP="00C56293">
      <w:pPr>
        <w:jc w:val="both"/>
        <w:rPr>
          <w:lang w:val="fr-FR"/>
        </w:rPr>
      </w:pPr>
      <w:r w:rsidRPr="00BD15C9">
        <w:rPr>
          <w:lang w:val="fr-FR"/>
        </w:rPr>
        <w:t xml:space="preserve">Chaque déclarant doit identifier la substance manufacturée à l'état nanoparticulaire, à l'aide </w:t>
      </w:r>
    </w:p>
    <w:p w14:paraId="0D773C88" w14:textId="77777777" w:rsidR="00AD46FC" w:rsidRPr="00BD15C9" w:rsidRDefault="00AD46FC" w:rsidP="00AD46FC">
      <w:pPr>
        <w:pStyle w:val="Paragraphedeliste"/>
        <w:numPr>
          <w:ilvl w:val="0"/>
          <w:numId w:val="32"/>
        </w:numPr>
        <w:jc w:val="both"/>
        <w:rPr>
          <w:lang w:val="fr-FR"/>
        </w:rPr>
      </w:pPr>
      <w:r w:rsidRPr="00BD15C9">
        <w:rPr>
          <w:lang w:val="fr-FR"/>
        </w:rPr>
        <w:t>de son nom chimique</w:t>
      </w:r>
    </w:p>
    <w:p w14:paraId="3259D8B7" w14:textId="77777777" w:rsidR="00AD46FC" w:rsidRPr="00BD15C9" w:rsidRDefault="00AD46FC" w:rsidP="00AD46FC">
      <w:pPr>
        <w:pStyle w:val="Paragraphedeliste"/>
        <w:numPr>
          <w:ilvl w:val="0"/>
          <w:numId w:val="32"/>
        </w:numPr>
        <w:jc w:val="both"/>
        <w:rPr>
          <w:lang w:val="fr-FR"/>
        </w:rPr>
      </w:pPr>
      <w:r w:rsidRPr="00BD15C9">
        <w:rPr>
          <w:lang w:val="fr-FR"/>
        </w:rPr>
        <w:t>de sa formule chimique</w:t>
      </w:r>
    </w:p>
    <w:p w14:paraId="3BDBBDDF" w14:textId="77777777" w:rsidR="00AD46FC" w:rsidRPr="00BD15C9" w:rsidRDefault="00AD46FC" w:rsidP="00AD46FC">
      <w:pPr>
        <w:pStyle w:val="Paragraphedeliste"/>
        <w:numPr>
          <w:ilvl w:val="0"/>
          <w:numId w:val="32"/>
        </w:numPr>
        <w:jc w:val="both"/>
        <w:rPr>
          <w:lang w:val="fr-FR"/>
        </w:rPr>
      </w:pPr>
      <w:r w:rsidRPr="00BD15C9">
        <w:rPr>
          <w:lang w:val="fr-FR"/>
        </w:rPr>
        <w:t>de son numéro CAS (si disponible)</w:t>
      </w:r>
    </w:p>
    <w:p w14:paraId="780FE23C" w14:textId="77777777" w:rsidR="00AD46FC" w:rsidRPr="00BD15C9" w:rsidRDefault="00AD46FC" w:rsidP="00AD46FC">
      <w:pPr>
        <w:pStyle w:val="Paragraphedeliste"/>
        <w:numPr>
          <w:ilvl w:val="0"/>
          <w:numId w:val="32"/>
        </w:numPr>
        <w:jc w:val="both"/>
        <w:rPr>
          <w:lang w:val="fr-FR"/>
        </w:rPr>
      </w:pPr>
      <w:r w:rsidRPr="00BD15C9">
        <w:rPr>
          <w:lang w:val="fr-FR"/>
        </w:rPr>
        <w:t>de son numéro EC (si disponible)</w:t>
      </w:r>
    </w:p>
    <w:p w14:paraId="37427093" w14:textId="45359521" w:rsidR="0079003A" w:rsidRPr="00BA37F3" w:rsidRDefault="00F4766C" w:rsidP="00C56293">
      <w:pPr>
        <w:jc w:val="both"/>
        <w:rPr>
          <w:highlight w:val="yellow"/>
          <w:lang w:val="fr-FR"/>
        </w:rPr>
      </w:pPr>
      <w:r>
        <w:rPr>
          <w:lang w:val="fr-FR"/>
        </w:rPr>
        <w:t xml:space="preserve">En 2020, 661 enregistrements sont considérés comme « comptes actifs » et 85.17 % de ces enregistrements ont mentionné </w:t>
      </w:r>
      <w:r w:rsidR="00AD46FC" w:rsidRPr="00912F0C">
        <w:rPr>
          <w:lang w:val="fr-FR"/>
        </w:rPr>
        <w:t xml:space="preserve"> </w:t>
      </w:r>
      <w:r w:rsidR="00AD46FC" w:rsidRPr="00335CEF">
        <w:rPr>
          <w:lang w:val="fr-FR"/>
        </w:rPr>
        <w:t>un numéro CAS</w:t>
      </w:r>
      <w:r w:rsidR="00335CEF" w:rsidRPr="003B5AC1">
        <w:rPr>
          <w:lang w:val="fr-FR"/>
        </w:rPr>
        <w:t xml:space="preserve"> </w:t>
      </w:r>
      <w:r w:rsidR="00AD46FC" w:rsidRPr="00335CEF">
        <w:rPr>
          <w:lang w:val="fr-FR"/>
        </w:rPr>
        <w:t xml:space="preserve">. </w:t>
      </w:r>
    </w:p>
    <w:p w14:paraId="63CB814C" w14:textId="25C0226C" w:rsidR="00A46C7B" w:rsidRPr="005D0635" w:rsidRDefault="00A46C7B" w:rsidP="00C56293">
      <w:pPr>
        <w:jc w:val="both"/>
        <w:rPr>
          <w:lang w:val="fr-FR"/>
        </w:rPr>
      </w:pPr>
      <w:r w:rsidRPr="005D0635">
        <w:rPr>
          <w:lang w:val="fr-FR"/>
        </w:rPr>
        <w:lastRenderedPageBreak/>
        <w:t xml:space="preserve">Pour </w:t>
      </w:r>
      <w:r w:rsidR="005D0635" w:rsidRPr="003B5AC1">
        <w:rPr>
          <w:lang w:val="fr-FR"/>
        </w:rPr>
        <w:t>les</w:t>
      </w:r>
      <w:r w:rsidRPr="005D0635">
        <w:rPr>
          <w:lang w:val="fr-FR"/>
        </w:rPr>
        <w:t xml:space="preserve"> enregistrements dans lesquels il n'y avait pas de numéro CAS, il a été vérifié, en première instance, si un numéro EC avait été mentionné. Quand ce n'était pas le cas, il a été vérifié s'il était possible, d'attribuer un numéro CAS ou EC à la substance sur la base de la formule chimique combinée au nom chimique. Lorsque cela ne s'est pas avéré possible, </w:t>
      </w:r>
      <w:r w:rsidR="0081145C" w:rsidRPr="005D0635">
        <w:rPr>
          <w:lang w:val="fr-FR"/>
        </w:rPr>
        <w:t>nous avons</w:t>
      </w:r>
      <w:r w:rsidRPr="005D0635">
        <w:rPr>
          <w:lang w:val="fr-FR"/>
        </w:rPr>
        <w:t xml:space="preserve"> continué à travailler sur la base du nom chimique donné dans l'enregistrement. </w:t>
      </w:r>
    </w:p>
    <w:p w14:paraId="112C3760" w14:textId="35BDE0F5" w:rsidR="00A50A35" w:rsidRPr="005D0635" w:rsidRDefault="00F61A82" w:rsidP="00A50A35">
      <w:pPr>
        <w:jc w:val="both"/>
        <w:rPr>
          <w:lang w:val="fr-FR"/>
        </w:rPr>
      </w:pPr>
      <w:r w:rsidRPr="005D0635">
        <w:rPr>
          <w:lang w:val="fr-FR"/>
        </w:rPr>
        <w:t>Le numéro CAS/EC a alors été lié au nom 'générique' de la substance via le site web de l'ECHA</w:t>
      </w:r>
      <w:r w:rsidR="005E3460" w:rsidRPr="005D0635">
        <w:rPr>
          <w:vertAlign w:val="superscript"/>
          <w:lang w:val="fr-FR"/>
        </w:rPr>
        <w:t>23</w:t>
      </w:r>
      <w:r w:rsidRPr="005D0635">
        <w:rPr>
          <w:lang w:val="fr-FR"/>
        </w:rPr>
        <w:t>. C'est ce nom générique qui a été utilisé pour la suite du r</w:t>
      </w:r>
      <w:r w:rsidR="00224050" w:rsidRPr="005D0635">
        <w:rPr>
          <w:lang w:val="fr-FR"/>
        </w:rPr>
        <w:t>e</w:t>
      </w:r>
      <w:r w:rsidRPr="005D0635">
        <w:rPr>
          <w:lang w:val="fr-FR"/>
        </w:rPr>
        <w:t xml:space="preserve">portage des substances enregistrées. </w:t>
      </w:r>
    </w:p>
    <w:p w14:paraId="68550D87" w14:textId="68480B69" w:rsidR="00A50A35" w:rsidRPr="005D0635" w:rsidRDefault="00A50A35" w:rsidP="00A50A35">
      <w:pPr>
        <w:jc w:val="both"/>
        <w:rPr>
          <w:lang w:val="fr-FR"/>
        </w:rPr>
      </w:pPr>
      <w:r w:rsidRPr="008645EB">
        <w:rPr>
          <w:lang w:val="fr-FR"/>
        </w:rPr>
        <w:t xml:space="preserve">Sur </w:t>
      </w:r>
      <w:r w:rsidR="008645EB" w:rsidRPr="000F249C">
        <w:rPr>
          <w:lang w:val="fr-FR"/>
        </w:rPr>
        <w:t>c</w:t>
      </w:r>
      <w:r w:rsidRPr="008645EB">
        <w:rPr>
          <w:lang w:val="fr-FR"/>
        </w:rPr>
        <w:t xml:space="preserve">es </w:t>
      </w:r>
      <w:r w:rsidR="008645EB" w:rsidRPr="000F249C">
        <w:rPr>
          <w:lang w:val="fr-FR"/>
        </w:rPr>
        <w:t>661</w:t>
      </w:r>
      <w:r w:rsidR="00DF0FEE" w:rsidRPr="008645EB">
        <w:rPr>
          <w:lang w:val="fr-FR"/>
        </w:rPr>
        <w:t xml:space="preserve"> </w:t>
      </w:r>
      <w:r w:rsidRPr="000F249C">
        <w:rPr>
          <w:lang w:val="fr-FR"/>
        </w:rPr>
        <w:t>enregistrements soumis</w:t>
      </w:r>
      <w:r w:rsidR="008645EB" w:rsidRPr="000F249C">
        <w:rPr>
          <w:lang w:val="fr-FR"/>
        </w:rPr>
        <w:t xml:space="preserve"> considérés comme « comptes actifs » en 2020</w:t>
      </w:r>
      <w:r w:rsidRPr="008645EB">
        <w:rPr>
          <w:lang w:val="fr-FR"/>
        </w:rPr>
        <w:t xml:space="preserve">, </w:t>
      </w:r>
      <w:r w:rsidR="005D0635" w:rsidRPr="000F249C">
        <w:rPr>
          <w:lang w:val="fr-FR"/>
        </w:rPr>
        <w:t>1</w:t>
      </w:r>
      <w:r w:rsidR="008645EB" w:rsidRPr="000F249C">
        <w:rPr>
          <w:lang w:val="fr-FR"/>
        </w:rPr>
        <w:t>21</w:t>
      </w:r>
      <w:r w:rsidR="005D0635" w:rsidRPr="008645EB">
        <w:rPr>
          <w:lang w:val="fr-FR"/>
        </w:rPr>
        <w:t xml:space="preserve"> </w:t>
      </w:r>
      <w:r w:rsidRPr="008645EB">
        <w:rPr>
          <w:lang w:val="fr-FR"/>
        </w:rPr>
        <w:t xml:space="preserve">numéros CAS ont été utilisés et au total </w:t>
      </w:r>
      <w:r w:rsidR="000F249C" w:rsidRPr="0011696F">
        <w:rPr>
          <w:lang w:val="fr-FR"/>
        </w:rPr>
        <w:t>257</w:t>
      </w:r>
      <w:r w:rsidR="005B5437" w:rsidRPr="0011696F">
        <w:rPr>
          <w:lang w:val="fr-FR"/>
        </w:rPr>
        <w:br w:type="textWrapping" w:clear="all"/>
      </w:r>
      <w:r w:rsidRPr="0011696F">
        <w:rPr>
          <w:lang w:val="fr-FR"/>
        </w:rPr>
        <w:t xml:space="preserve"> noms génériques ont été retrouvés</w:t>
      </w:r>
      <w:r w:rsidRPr="000F249C">
        <w:rPr>
          <w:lang w:val="fr-FR"/>
        </w:rPr>
        <w:t xml:space="preserve">. </w:t>
      </w:r>
      <w:r w:rsidR="005525AF" w:rsidRPr="00603A8D">
        <w:rPr>
          <w:lang w:val="fr-FR"/>
        </w:rPr>
        <w:t>Ce nombre élevé par rapport aux numéros CAS peuvent êt</w:t>
      </w:r>
      <w:r w:rsidR="005525AF" w:rsidRPr="000F249C">
        <w:rPr>
          <w:lang w:val="fr-FR"/>
        </w:rPr>
        <w:t xml:space="preserve">re </w:t>
      </w:r>
      <w:r w:rsidR="005D0635" w:rsidRPr="000F249C">
        <w:rPr>
          <w:lang w:val="fr-FR"/>
        </w:rPr>
        <w:t>dû</w:t>
      </w:r>
      <w:r w:rsidR="005525AF" w:rsidRPr="000F249C">
        <w:rPr>
          <w:lang w:val="fr-FR"/>
        </w:rPr>
        <w:t xml:space="preserve"> à des noms de</w:t>
      </w:r>
      <w:r w:rsidR="005525AF" w:rsidRPr="005D0635">
        <w:rPr>
          <w:lang w:val="fr-FR"/>
        </w:rPr>
        <w:t xml:space="preserve"> substances en langues différentes, </w:t>
      </w:r>
      <w:r w:rsidR="000F249C">
        <w:rPr>
          <w:lang w:val="fr-FR"/>
        </w:rPr>
        <w:t xml:space="preserve">synonymes, </w:t>
      </w:r>
      <w:r w:rsidR="005525AF" w:rsidRPr="005D0635">
        <w:rPr>
          <w:lang w:val="fr-FR"/>
        </w:rPr>
        <w:t xml:space="preserve">ou abrévié, il est donc à prendre avec </w:t>
      </w:r>
      <w:r w:rsidR="005D0635" w:rsidRPr="005D0635">
        <w:rPr>
          <w:lang w:val="fr-FR"/>
        </w:rPr>
        <w:t>pré</w:t>
      </w:r>
      <w:r w:rsidR="005525AF" w:rsidRPr="005D0635">
        <w:rPr>
          <w:lang w:val="fr-FR"/>
        </w:rPr>
        <w:t>caution.</w:t>
      </w:r>
    </w:p>
    <w:p w14:paraId="4A8D861D" w14:textId="2855CC56" w:rsidR="00A50A35" w:rsidRPr="005D0635" w:rsidRDefault="00267D47" w:rsidP="00A50A35">
      <w:pPr>
        <w:jc w:val="both"/>
        <w:rPr>
          <w:lang w:val="fr-FR"/>
        </w:rPr>
      </w:pPr>
      <w:r w:rsidRPr="005D0635">
        <w:rPr>
          <w:lang w:val="fr-FR"/>
        </w:rPr>
        <w:t>L'identification sur la base du numéro CAS/EC et du nom générique a pour conséquence que la distinction entre les différentes caractéristiques physiques et chimiques des substances à l'état nanoparticulaire n'est pas perceptible dans le présent rapport.</w:t>
      </w:r>
    </w:p>
    <w:p w14:paraId="325EE805" w14:textId="798A6BE5" w:rsidR="00161593" w:rsidRPr="00BD15C9" w:rsidRDefault="00A50A35" w:rsidP="00A46C7B">
      <w:pPr>
        <w:jc w:val="both"/>
        <w:rPr>
          <w:lang w:val="fr-FR"/>
        </w:rPr>
      </w:pPr>
      <w:r w:rsidRPr="005D0635">
        <w:rPr>
          <w:lang w:val="fr-FR"/>
        </w:rPr>
        <w:t>Dans le registre, le principe général est</w:t>
      </w:r>
      <w:r w:rsidRPr="00DA3D3B">
        <w:rPr>
          <w:lang w:val="fr-FR"/>
        </w:rPr>
        <w:t xml:space="preserve"> qu'une différence au niveau des propriétés physico-chimiques telles qu'elles sont mentionnées à la section 2 de l'annexe I de l'AR, exige un autre enregistrement. Comme mentionné dans le </w:t>
      </w:r>
      <w:r w:rsidR="00715C1C" w:rsidRPr="00DA3D3B">
        <w:rPr>
          <w:i/>
          <w:lang w:val="fr-FR"/>
        </w:rPr>
        <w:t xml:space="preserve">§ </w:t>
      </w:r>
      <w:r w:rsidR="0011696F">
        <w:rPr>
          <w:i/>
          <w:lang w:val="fr-FR"/>
        </w:rPr>
        <w:fldChar w:fldCharType="begin"/>
      </w:r>
      <w:r w:rsidR="0011696F">
        <w:rPr>
          <w:i/>
          <w:lang w:val="fr-FR"/>
        </w:rPr>
        <w:instrText xml:space="preserve"> REF _Ref74735527 \w \h </w:instrText>
      </w:r>
      <w:r w:rsidR="0011696F">
        <w:rPr>
          <w:i/>
          <w:lang w:val="fr-FR"/>
        </w:rPr>
      </w:r>
      <w:r w:rsidR="0011696F">
        <w:rPr>
          <w:i/>
          <w:lang w:val="fr-FR"/>
        </w:rPr>
        <w:fldChar w:fldCharType="separate"/>
      </w:r>
      <w:r w:rsidR="0011696F">
        <w:rPr>
          <w:i/>
          <w:lang w:val="fr-FR"/>
        </w:rPr>
        <w:t>2.3</w:t>
      </w:r>
      <w:r w:rsidR="0011696F">
        <w:rPr>
          <w:i/>
          <w:lang w:val="fr-FR"/>
        </w:rPr>
        <w:fldChar w:fldCharType="end"/>
      </w:r>
      <w:r w:rsidR="00715C1C" w:rsidRPr="00DA3D3B">
        <w:rPr>
          <w:i/>
          <w:lang w:val="fr-FR"/>
        </w:rPr>
        <w:t xml:space="preserve">- </w:t>
      </w:r>
      <w:r w:rsidR="008D3BC2" w:rsidRPr="00DA3D3B">
        <w:rPr>
          <w:lang w:val="fr-BE"/>
        </w:rPr>
        <w:t>Quel est l’impact potentiel des nanomatériaux</w:t>
      </w:r>
      <w:r w:rsidR="00715C1C" w:rsidRPr="00DA3D3B">
        <w:rPr>
          <w:i/>
          <w:lang w:val="fr-FR"/>
        </w:rPr>
        <w:t xml:space="preserve">? </w:t>
      </w:r>
      <w:r w:rsidRPr="00DA3D3B">
        <w:rPr>
          <w:lang w:val="fr-FR"/>
        </w:rPr>
        <w:t>une caractérisation complète des substances manufacturées à l'état nanoparticulaire est importante dans le cadre de l'éventuelle détermination des risques de cette substance.</w:t>
      </w:r>
      <w:r w:rsidRPr="00BD15C9">
        <w:rPr>
          <w:lang w:val="fr-FR"/>
        </w:rPr>
        <w:t xml:space="preserve"> </w:t>
      </w:r>
    </w:p>
    <w:p w14:paraId="68011C5B" w14:textId="027ABA7D" w:rsidR="00EA1A4A" w:rsidRPr="00A65CAE" w:rsidRDefault="00EA1A4A" w:rsidP="00B76985">
      <w:pPr>
        <w:pStyle w:val="Titre2"/>
      </w:pPr>
      <w:bookmarkStart w:id="71" w:name="_Toc76034184"/>
      <w:r w:rsidRPr="00A65CAE">
        <w:t>Quantités enregistrées</w:t>
      </w:r>
      <w:bookmarkEnd w:id="71"/>
    </w:p>
    <w:p w14:paraId="25A7C919" w14:textId="1DE03748" w:rsidR="006F2787" w:rsidRPr="00BD15C9" w:rsidRDefault="006F2787" w:rsidP="006F2787">
      <w:pPr>
        <w:jc w:val="both"/>
        <w:rPr>
          <w:lang w:val="fr-FR"/>
        </w:rPr>
      </w:pPr>
      <w:r w:rsidRPr="00BD15C9">
        <w:rPr>
          <w:lang w:val="fr-FR"/>
        </w:rPr>
        <w:t xml:space="preserve">Seuls les enregistrements soumis par les Déclarants de substances destinées à des fins commerciales ont mentionné les quantités mises sur le marché BE. Les enregistrements des substances, exclusivement utilisées à des fins scientifiques (enregistrements simplifiés) et les enregistrements soumis par le Fournisseur étranger ne mentionnent pas de quantités. </w:t>
      </w:r>
    </w:p>
    <w:p w14:paraId="4C28CC95" w14:textId="282F9483" w:rsidR="00A366AE" w:rsidRPr="00BD15C9" w:rsidRDefault="0057746C" w:rsidP="00C95796">
      <w:pPr>
        <w:pStyle w:val="Titre3"/>
      </w:pPr>
      <w:bookmarkStart w:id="72" w:name="_Toc76034185"/>
      <w:r w:rsidRPr="00BD15C9">
        <w:t>Quantités introduites sur le marché belge</w:t>
      </w:r>
      <w:bookmarkEnd w:id="72"/>
    </w:p>
    <w:p w14:paraId="543D403A" w14:textId="16136482" w:rsidR="00EC5B75" w:rsidRPr="00BD15C9" w:rsidRDefault="00EC5B75" w:rsidP="003647AB">
      <w:pPr>
        <w:jc w:val="both"/>
        <w:rPr>
          <w:lang w:val="fr-FR"/>
        </w:rPr>
      </w:pPr>
      <w:r w:rsidRPr="00BD15C9">
        <w:rPr>
          <w:lang w:val="fr-FR"/>
        </w:rPr>
        <w:t xml:space="preserve">Les mises à jour annuelles donnent la quantité exacte pour l'année de commerce </w:t>
      </w:r>
      <w:r w:rsidR="00562DB6" w:rsidRPr="00BD15C9">
        <w:rPr>
          <w:lang w:val="fr-FR"/>
        </w:rPr>
        <w:t>20</w:t>
      </w:r>
      <w:r w:rsidR="000F249C">
        <w:rPr>
          <w:lang w:val="fr-FR"/>
        </w:rPr>
        <w:t>20</w:t>
      </w:r>
      <w:r w:rsidRPr="00BD15C9">
        <w:rPr>
          <w:lang w:val="fr-FR"/>
        </w:rPr>
        <w:t>. Les enregistrements qui n'avaient pas encore été mis à jour au 1</w:t>
      </w:r>
      <w:r w:rsidRPr="00BD15C9">
        <w:rPr>
          <w:vertAlign w:val="superscript"/>
          <w:lang w:val="fr-FR"/>
        </w:rPr>
        <w:t>er</w:t>
      </w:r>
      <w:r w:rsidRPr="00BD15C9">
        <w:rPr>
          <w:lang w:val="fr-FR"/>
        </w:rPr>
        <w:t xml:space="preserve"> avril </w:t>
      </w:r>
      <w:r w:rsidR="00562DB6" w:rsidRPr="00BD15C9">
        <w:rPr>
          <w:lang w:val="fr-FR"/>
        </w:rPr>
        <w:t>20</w:t>
      </w:r>
      <w:r w:rsidR="00562DB6">
        <w:rPr>
          <w:lang w:val="fr-FR"/>
        </w:rPr>
        <w:t>2</w:t>
      </w:r>
      <w:r w:rsidR="000F249C">
        <w:rPr>
          <w:lang w:val="fr-FR"/>
        </w:rPr>
        <w:t>1</w:t>
      </w:r>
      <w:r w:rsidR="00562DB6" w:rsidRPr="00BD15C9">
        <w:rPr>
          <w:lang w:val="fr-FR"/>
        </w:rPr>
        <w:t xml:space="preserve"> </w:t>
      </w:r>
      <w:r w:rsidRPr="00BD15C9">
        <w:rPr>
          <w:lang w:val="fr-FR"/>
        </w:rPr>
        <w:t xml:space="preserve">fournissent une estimation pour l'année de commerce </w:t>
      </w:r>
      <w:r w:rsidR="00562DB6" w:rsidRPr="00BD15C9">
        <w:rPr>
          <w:lang w:val="fr-FR"/>
        </w:rPr>
        <w:t>20</w:t>
      </w:r>
      <w:r w:rsidR="000F249C">
        <w:rPr>
          <w:lang w:val="fr-FR"/>
        </w:rPr>
        <w:t>20</w:t>
      </w:r>
      <w:r w:rsidR="00562DB6" w:rsidRPr="00BD15C9">
        <w:rPr>
          <w:lang w:val="fr-FR"/>
        </w:rPr>
        <w:t xml:space="preserve"> </w:t>
      </w:r>
      <w:r w:rsidRPr="00BD15C9">
        <w:rPr>
          <w:lang w:val="fr-FR"/>
        </w:rPr>
        <w:t xml:space="preserve">(voir aussi § </w:t>
      </w:r>
      <w:r w:rsidR="0011696F">
        <w:rPr>
          <w:i/>
          <w:lang w:val="fr-FR"/>
        </w:rPr>
        <w:t>6.3</w:t>
      </w:r>
      <w:r w:rsidR="00940CD9" w:rsidRPr="00BD15C9">
        <w:rPr>
          <w:i/>
          <w:lang w:val="fr-FR"/>
        </w:rPr>
        <w:t>-Mise à jour annuelle</w:t>
      </w:r>
      <w:r w:rsidRPr="00BD15C9">
        <w:rPr>
          <w:lang w:val="fr-FR"/>
        </w:rPr>
        <w:t xml:space="preserve">). </w:t>
      </w:r>
    </w:p>
    <w:p w14:paraId="4CD5D194" w14:textId="6BCCEE32" w:rsidR="00940CD9" w:rsidRPr="00B90A65" w:rsidRDefault="00940CD9" w:rsidP="003647AB">
      <w:pPr>
        <w:jc w:val="both"/>
        <w:rPr>
          <w:lang w:val="fr-FR"/>
        </w:rPr>
      </w:pPr>
      <w:r w:rsidRPr="00B90A65">
        <w:rPr>
          <w:lang w:val="fr-FR"/>
        </w:rPr>
        <w:t xml:space="preserve">Sur la base des informations enregistrées, la quantité totale de substances manufacturées à l'état nanoparticulaire, mises sur le marché belge en </w:t>
      </w:r>
      <w:r w:rsidR="000F249C" w:rsidRPr="00B90A65">
        <w:rPr>
          <w:lang w:val="fr-FR"/>
        </w:rPr>
        <w:t>20</w:t>
      </w:r>
      <w:r w:rsidR="000F249C">
        <w:rPr>
          <w:lang w:val="fr-FR"/>
        </w:rPr>
        <w:t>20</w:t>
      </w:r>
      <w:r w:rsidR="000F249C" w:rsidRPr="00B90A65">
        <w:rPr>
          <w:lang w:val="fr-FR"/>
        </w:rPr>
        <w:t xml:space="preserve"> </w:t>
      </w:r>
      <w:r w:rsidRPr="00B90A65">
        <w:rPr>
          <w:lang w:val="fr-FR"/>
        </w:rPr>
        <w:t xml:space="preserve">s'élève à </w:t>
      </w:r>
      <w:r w:rsidR="000F249C">
        <w:rPr>
          <w:lang w:val="fr-FR"/>
        </w:rPr>
        <w:t>96.867,42</w:t>
      </w:r>
      <w:r w:rsidR="00CC0837" w:rsidRPr="00B90A65">
        <w:rPr>
          <w:lang w:val="fr-FR"/>
        </w:rPr>
        <w:t xml:space="preserve"> </w:t>
      </w:r>
      <w:r w:rsidRPr="00B90A65">
        <w:rPr>
          <w:lang w:val="fr-FR"/>
        </w:rPr>
        <w:t>tonnes</w:t>
      </w:r>
      <w:r w:rsidR="00CC0837">
        <w:rPr>
          <w:lang w:val="fr-FR"/>
        </w:rPr>
        <w:t xml:space="preserve">, </w:t>
      </w:r>
      <w:r w:rsidR="000F249C">
        <w:rPr>
          <w:lang w:val="fr-FR"/>
        </w:rPr>
        <w:t>~2.500</w:t>
      </w:r>
      <w:r w:rsidR="00CC0837">
        <w:rPr>
          <w:lang w:val="fr-FR"/>
        </w:rPr>
        <w:t xml:space="preserve"> tonnes supplémentaires par rapport à </w:t>
      </w:r>
      <w:r w:rsidR="000F249C">
        <w:rPr>
          <w:lang w:val="fr-FR"/>
        </w:rPr>
        <w:t>2019</w:t>
      </w:r>
      <w:r w:rsidR="000F249C" w:rsidRPr="00B90A65">
        <w:rPr>
          <w:lang w:val="fr-FR"/>
        </w:rPr>
        <w:t xml:space="preserve"> </w:t>
      </w:r>
      <w:r w:rsidRPr="00B90A65">
        <w:rPr>
          <w:lang w:val="fr-FR"/>
        </w:rPr>
        <w:t xml:space="preserve">: à savoir  </w:t>
      </w:r>
    </w:p>
    <w:p w14:paraId="41D5F2CE" w14:textId="19CC6ABD" w:rsidR="00940CD9" w:rsidRPr="00B90A65" w:rsidRDefault="00F64608" w:rsidP="00940CD9">
      <w:pPr>
        <w:pStyle w:val="Paragraphedeliste"/>
        <w:numPr>
          <w:ilvl w:val="0"/>
          <w:numId w:val="26"/>
        </w:numPr>
        <w:jc w:val="both"/>
        <w:rPr>
          <w:lang w:val="fr-FR"/>
        </w:rPr>
      </w:pPr>
      <w:bookmarkStart w:id="73" w:name="_Hlk58874888"/>
      <w:r>
        <w:rPr>
          <w:color w:val="000000" w:themeColor="text1"/>
        </w:rPr>
        <w:t xml:space="preserve">61.856,65 </w:t>
      </w:r>
      <w:r w:rsidR="00CC0837">
        <w:rPr>
          <w:lang w:val="fr-FR"/>
        </w:rPr>
        <w:t>tonnes</w:t>
      </w:r>
      <w:bookmarkEnd w:id="73"/>
      <w:r w:rsidR="006F2787" w:rsidRPr="00B90A65">
        <w:rPr>
          <w:lang w:val="fr-FR"/>
        </w:rPr>
        <w:t xml:space="preserve"> importé</w:t>
      </w:r>
      <w:r w:rsidR="00CC0837">
        <w:rPr>
          <w:lang w:val="fr-FR"/>
        </w:rPr>
        <w:t>e</w:t>
      </w:r>
      <w:r w:rsidR="006F2787" w:rsidRPr="00B90A65">
        <w:rPr>
          <w:lang w:val="fr-FR"/>
        </w:rPr>
        <w:t>s</w:t>
      </w:r>
    </w:p>
    <w:p w14:paraId="47D0B316" w14:textId="10360253" w:rsidR="00940CD9" w:rsidRPr="00B90A65" w:rsidRDefault="00F64608" w:rsidP="00940CD9">
      <w:pPr>
        <w:pStyle w:val="Paragraphedeliste"/>
        <w:numPr>
          <w:ilvl w:val="0"/>
          <w:numId w:val="26"/>
        </w:numPr>
        <w:jc w:val="both"/>
        <w:rPr>
          <w:lang w:val="fr-FR"/>
        </w:rPr>
      </w:pPr>
      <w:bookmarkStart w:id="74" w:name="_Hlk58874915"/>
      <w:r>
        <w:rPr>
          <w:color w:val="000000" w:themeColor="text1"/>
        </w:rPr>
        <w:t xml:space="preserve">35.010,77 </w:t>
      </w:r>
      <w:bookmarkEnd w:id="74"/>
      <w:r w:rsidR="00CC0837">
        <w:rPr>
          <w:lang w:val="fr-FR"/>
        </w:rPr>
        <w:t>tonnes</w:t>
      </w:r>
      <w:r w:rsidR="006F2787" w:rsidRPr="00B90A65">
        <w:rPr>
          <w:lang w:val="fr-FR"/>
        </w:rPr>
        <w:t xml:space="preserve"> manufacturé</w:t>
      </w:r>
      <w:r w:rsidR="00CC0837">
        <w:rPr>
          <w:lang w:val="fr-FR"/>
        </w:rPr>
        <w:t>e</w:t>
      </w:r>
      <w:r w:rsidR="006F2787" w:rsidRPr="00B90A65">
        <w:rPr>
          <w:lang w:val="fr-FR"/>
        </w:rPr>
        <w:t>s</w:t>
      </w:r>
    </w:p>
    <w:p w14:paraId="4D418BED" w14:textId="5717AABF" w:rsidR="00580804" w:rsidRPr="00BD15C9" w:rsidRDefault="00580804" w:rsidP="00AA0C4E">
      <w:pPr>
        <w:jc w:val="both"/>
        <w:rPr>
          <w:lang w:val="fr-FR"/>
        </w:rPr>
      </w:pPr>
      <w:r w:rsidRPr="00BD15C9">
        <w:rPr>
          <w:lang w:val="fr-FR"/>
        </w:rPr>
        <w:t>Dans ce paragraphe, il n'a pas été tenu compte de la quantité des substances qui ont été distribuées</w:t>
      </w:r>
      <w:r w:rsidR="00224050">
        <w:rPr>
          <w:lang w:val="fr-FR"/>
        </w:rPr>
        <w:t xml:space="preserve">, </w:t>
      </w:r>
      <w:r w:rsidRPr="00BD15C9">
        <w:rPr>
          <w:lang w:val="fr-FR"/>
        </w:rPr>
        <w:t xml:space="preserve">et ceci parce qu'il s'agit en fait du déplacement d'un produit qui se trouve déjà sur le marché belge et qu'on ne peut donc pas le considérer comme une ‘introduction’. </w:t>
      </w:r>
    </w:p>
    <w:p w14:paraId="570D95C3" w14:textId="282364F2" w:rsidR="00592907" w:rsidRPr="00BD15C9" w:rsidRDefault="00592907" w:rsidP="003647AB">
      <w:pPr>
        <w:jc w:val="both"/>
        <w:rPr>
          <w:lang w:val="fr-FR"/>
        </w:rPr>
      </w:pPr>
      <w:r w:rsidRPr="00BD15C9">
        <w:rPr>
          <w:lang w:val="fr-FR"/>
        </w:rPr>
        <w:lastRenderedPageBreak/>
        <w:t xml:space="preserve">Le tableau ci-dessous donne la répartition du nombre d'enregistrements dans lesquels une quantité était mentionnée sous le statut ‘importateur’ ou ‘producteur' par intervalle de quantités.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260"/>
      </w:tblGrid>
      <w:tr w:rsidR="00372319" w:rsidRPr="007F1FE2" w14:paraId="42D4F6BF" w14:textId="77777777" w:rsidTr="00BE5297">
        <w:trPr>
          <w:tblHeader/>
        </w:trPr>
        <w:tc>
          <w:tcPr>
            <w:tcW w:w="5807" w:type="dxa"/>
            <w:gridSpan w:val="2"/>
          </w:tcPr>
          <w:p w14:paraId="3F372D63" w14:textId="0A19E36A" w:rsidR="00372319" w:rsidRPr="00BD15C9" w:rsidRDefault="00372319" w:rsidP="003647AB">
            <w:pPr>
              <w:jc w:val="both"/>
              <w:rPr>
                <w:b/>
                <w:i/>
                <w:lang w:val="fr-FR"/>
              </w:rPr>
            </w:pPr>
            <w:r w:rsidRPr="00BD15C9">
              <w:rPr>
                <w:b/>
                <w:i/>
                <w:lang w:val="fr-FR"/>
              </w:rPr>
              <w:t>Tableau : distribution relative du nombre des enregistrements par intervalle de 'quantités importées ou manufacturées’ (en %)</w:t>
            </w:r>
          </w:p>
        </w:tc>
      </w:tr>
      <w:tr w:rsidR="00F64608" w:rsidRPr="00BD15C9" w14:paraId="6229D6C1" w14:textId="77777777" w:rsidTr="00A65CAE">
        <w:tc>
          <w:tcPr>
            <w:tcW w:w="2547" w:type="dxa"/>
          </w:tcPr>
          <w:p w14:paraId="7F0AD7AC" w14:textId="77777777" w:rsidR="00F64608" w:rsidRPr="001F799E" w:rsidRDefault="00F64608" w:rsidP="00F64608">
            <w:pPr>
              <w:jc w:val="both"/>
              <w:rPr>
                <w:lang w:val="fr-BE"/>
              </w:rPr>
            </w:pPr>
            <w:r w:rsidRPr="001F799E">
              <w:rPr>
                <w:lang w:val="fr-BE"/>
              </w:rPr>
              <w:t>&gt; 1 000 t</w:t>
            </w:r>
          </w:p>
        </w:tc>
        <w:tc>
          <w:tcPr>
            <w:tcW w:w="3260" w:type="dxa"/>
          </w:tcPr>
          <w:p w14:paraId="5E00DCF7" w14:textId="0303E32D" w:rsidR="00F64608" w:rsidRPr="00BA37F3" w:rsidRDefault="00F64608" w:rsidP="00F64608">
            <w:pPr>
              <w:jc w:val="center"/>
              <w:rPr>
                <w:color w:val="FF0000"/>
                <w:lang w:val="fr-BE"/>
              </w:rPr>
            </w:pPr>
            <w:r>
              <w:rPr>
                <w:color w:val="FF0000"/>
              </w:rPr>
              <w:t>3,72</w:t>
            </w:r>
          </w:p>
        </w:tc>
      </w:tr>
      <w:tr w:rsidR="00F64608" w:rsidRPr="00646514" w14:paraId="26455F37" w14:textId="77777777" w:rsidTr="00A65CAE">
        <w:tc>
          <w:tcPr>
            <w:tcW w:w="2547" w:type="dxa"/>
          </w:tcPr>
          <w:p w14:paraId="7A20A0F2" w14:textId="77777777" w:rsidR="00F64608" w:rsidRPr="001F799E" w:rsidRDefault="00F64608" w:rsidP="00F64608">
            <w:pPr>
              <w:jc w:val="both"/>
              <w:rPr>
                <w:lang w:val="fr-BE"/>
              </w:rPr>
            </w:pPr>
            <w:r w:rsidRPr="001F799E">
              <w:rPr>
                <w:lang w:val="fr-BE"/>
              </w:rPr>
              <w:t>100 – 1 000 t</w:t>
            </w:r>
          </w:p>
        </w:tc>
        <w:tc>
          <w:tcPr>
            <w:tcW w:w="3260" w:type="dxa"/>
          </w:tcPr>
          <w:p w14:paraId="50CB6743" w14:textId="472EF197" w:rsidR="00F64608" w:rsidRPr="00BA37F3" w:rsidRDefault="00F64608" w:rsidP="00F64608">
            <w:pPr>
              <w:jc w:val="center"/>
              <w:rPr>
                <w:color w:val="FF0000"/>
                <w:lang w:val="fr-BE"/>
              </w:rPr>
            </w:pPr>
            <w:r>
              <w:rPr>
                <w:color w:val="FF0000"/>
              </w:rPr>
              <w:t>5,32</w:t>
            </w:r>
          </w:p>
        </w:tc>
      </w:tr>
      <w:tr w:rsidR="00F64608" w:rsidRPr="00E06E6A" w14:paraId="6818C2E3" w14:textId="77777777" w:rsidTr="00A65CAE">
        <w:tc>
          <w:tcPr>
            <w:tcW w:w="2547" w:type="dxa"/>
          </w:tcPr>
          <w:p w14:paraId="4E628DB5" w14:textId="0DEBA6B2" w:rsidR="00F64608" w:rsidRPr="001F799E" w:rsidRDefault="00F64608" w:rsidP="00F64608">
            <w:pPr>
              <w:jc w:val="both"/>
              <w:rPr>
                <w:lang w:val="fr-BE"/>
              </w:rPr>
            </w:pPr>
            <w:r w:rsidRPr="001F799E">
              <w:rPr>
                <w:lang w:val="fr-BE"/>
              </w:rPr>
              <w:t xml:space="preserve">10 </w:t>
            </w:r>
            <w:r>
              <w:rPr>
                <w:lang w:val="fr-BE"/>
              </w:rPr>
              <w:t>–</w:t>
            </w:r>
            <w:r w:rsidRPr="001F799E">
              <w:rPr>
                <w:lang w:val="fr-BE"/>
              </w:rPr>
              <w:t xml:space="preserve"> 100</w:t>
            </w:r>
            <w:r>
              <w:rPr>
                <w:lang w:val="fr-BE"/>
              </w:rPr>
              <w:t xml:space="preserve"> t</w:t>
            </w:r>
          </w:p>
        </w:tc>
        <w:tc>
          <w:tcPr>
            <w:tcW w:w="3260" w:type="dxa"/>
          </w:tcPr>
          <w:p w14:paraId="35E33298" w14:textId="6EF70931" w:rsidR="00F64608" w:rsidRPr="00BA37F3" w:rsidRDefault="00F64608" w:rsidP="00F64608">
            <w:pPr>
              <w:jc w:val="center"/>
              <w:rPr>
                <w:color w:val="FF0000"/>
                <w:lang w:val="fr-BE"/>
              </w:rPr>
            </w:pPr>
            <w:r>
              <w:rPr>
                <w:color w:val="FF0000"/>
              </w:rPr>
              <w:t>9,31</w:t>
            </w:r>
          </w:p>
        </w:tc>
      </w:tr>
      <w:tr w:rsidR="00F64608" w:rsidRPr="00E06E6A" w14:paraId="672BC4CA" w14:textId="77777777" w:rsidTr="00A65CAE">
        <w:tc>
          <w:tcPr>
            <w:tcW w:w="2547" w:type="dxa"/>
          </w:tcPr>
          <w:p w14:paraId="18F97E38" w14:textId="77777777" w:rsidR="00F64608" w:rsidRPr="001F799E" w:rsidRDefault="00F64608" w:rsidP="00F64608">
            <w:pPr>
              <w:jc w:val="both"/>
              <w:rPr>
                <w:lang w:val="fr-BE"/>
              </w:rPr>
            </w:pPr>
            <w:r w:rsidRPr="001F799E">
              <w:rPr>
                <w:lang w:val="fr-BE"/>
              </w:rPr>
              <w:t>1 – 10 t</w:t>
            </w:r>
          </w:p>
        </w:tc>
        <w:tc>
          <w:tcPr>
            <w:tcW w:w="3260" w:type="dxa"/>
          </w:tcPr>
          <w:p w14:paraId="366BF892" w14:textId="16289DC1" w:rsidR="00F64608" w:rsidRPr="00BA37F3" w:rsidRDefault="00F64608" w:rsidP="00F64608">
            <w:pPr>
              <w:jc w:val="center"/>
              <w:rPr>
                <w:color w:val="FF0000"/>
                <w:lang w:val="fr-BE"/>
              </w:rPr>
            </w:pPr>
            <w:r>
              <w:rPr>
                <w:color w:val="FF0000"/>
              </w:rPr>
              <w:t>15,16</w:t>
            </w:r>
          </w:p>
        </w:tc>
      </w:tr>
      <w:tr w:rsidR="00F64608" w:rsidRPr="00E06E6A" w14:paraId="06303BE1" w14:textId="77777777" w:rsidTr="00A65CAE">
        <w:tc>
          <w:tcPr>
            <w:tcW w:w="2547" w:type="dxa"/>
            <w:shd w:val="clear" w:color="auto" w:fill="D9D9D9" w:themeFill="background1" w:themeFillShade="D9"/>
          </w:tcPr>
          <w:p w14:paraId="15296BBA" w14:textId="77777777" w:rsidR="00F64608" w:rsidRPr="001F799E" w:rsidRDefault="00F64608" w:rsidP="00F64608">
            <w:pPr>
              <w:jc w:val="both"/>
              <w:rPr>
                <w:lang w:val="fr-BE"/>
              </w:rPr>
            </w:pPr>
            <w:r w:rsidRPr="001F799E">
              <w:rPr>
                <w:lang w:val="fr-BE"/>
              </w:rPr>
              <w:t>100 kg – 1 t</w:t>
            </w:r>
          </w:p>
        </w:tc>
        <w:tc>
          <w:tcPr>
            <w:tcW w:w="3260" w:type="dxa"/>
            <w:shd w:val="clear" w:color="auto" w:fill="D9D9D9" w:themeFill="background1" w:themeFillShade="D9"/>
          </w:tcPr>
          <w:p w14:paraId="71167916" w14:textId="2F38BFD1" w:rsidR="00F64608" w:rsidRPr="00BA37F3" w:rsidRDefault="00F64608" w:rsidP="00F64608">
            <w:pPr>
              <w:jc w:val="center"/>
              <w:rPr>
                <w:color w:val="FF0000"/>
                <w:lang w:val="fr-BE"/>
              </w:rPr>
            </w:pPr>
            <w:r>
              <w:rPr>
                <w:color w:val="FF0000"/>
              </w:rPr>
              <w:t>21,54</w:t>
            </w:r>
          </w:p>
        </w:tc>
      </w:tr>
      <w:tr w:rsidR="00F64608" w:rsidRPr="00E06E6A" w14:paraId="5219532E" w14:textId="77777777" w:rsidTr="00A65CAE">
        <w:tc>
          <w:tcPr>
            <w:tcW w:w="2547" w:type="dxa"/>
            <w:shd w:val="clear" w:color="auto" w:fill="D9D9D9" w:themeFill="background1" w:themeFillShade="D9"/>
          </w:tcPr>
          <w:p w14:paraId="0375D606" w14:textId="77777777" w:rsidR="00F64608" w:rsidRPr="001F799E" w:rsidRDefault="00F64608" w:rsidP="00F64608">
            <w:pPr>
              <w:jc w:val="both"/>
              <w:rPr>
                <w:lang w:val="fr-BE"/>
              </w:rPr>
            </w:pPr>
            <w:r w:rsidRPr="001F799E">
              <w:rPr>
                <w:lang w:val="fr-BE"/>
              </w:rPr>
              <w:t>10 – 100 kg</w:t>
            </w:r>
          </w:p>
        </w:tc>
        <w:tc>
          <w:tcPr>
            <w:tcW w:w="3260" w:type="dxa"/>
            <w:shd w:val="clear" w:color="auto" w:fill="D9D9D9" w:themeFill="background1" w:themeFillShade="D9"/>
          </w:tcPr>
          <w:p w14:paraId="5AA048E5" w14:textId="2F239270" w:rsidR="00F64608" w:rsidRPr="00BA37F3" w:rsidRDefault="00F64608" w:rsidP="00F64608">
            <w:pPr>
              <w:jc w:val="center"/>
              <w:rPr>
                <w:rFonts w:ascii="Calibri" w:hAnsi="Calibri" w:cs="Calibri"/>
                <w:color w:val="FF0000"/>
              </w:rPr>
            </w:pPr>
            <w:r>
              <w:rPr>
                <w:color w:val="FF0000"/>
              </w:rPr>
              <w:t>19,15</w:t>
            </w:r>
          </w:p>
        </w:tc>
      </w:tr>
      <w:tr w:rsidR="00F64608" w:rsidRPr="00E06E6A" w14:paraId="0FBABB2A" w14:textId="77777777" w:rsidTr="00A65CAE">
        <w:tc>
          <w:tcPr>
            <w:tcW w:w="2547" w:type="dxa"/>
            <w:shd w:val="clear" w:color="auto" w:fill="D9D9D9" w:themeFill="background1" w:themeFillShade="D9"/>
          </w:tcPr>
          <w:p w14:paraId="3098EB52" w14:textId="77777777" w:rsidR="00F64608" w:rsidRPr="001F799E" w:rsidRDefault="00F64608" w:rsidP="00F64608">
            <w:pPr>
              <w:jc w:val="both"/>
              <w:rPr>
                <w:lang w:val="fr-BE"/>
              </w:rPr>
            </w:pPr>
            <w:r w:rsidRPr="001F799E">
              <w:rPr>
                <w:lang w:val="fr-BE"/>
              </w:rPr>
              <w:t>1 – 10 kg</w:t>
            </w:r>
          </w:p>
        </w:tc>
        <w:tc>
          <w:tcPr>
            <w:tcW w:w="3260" w:type="dxa"/>
            <w:shd w:val="clear" w:color="auto" w:fill="D9D9D9" w:themeFill="background1" w:themeFillShade="D9"/>
          </w:tcPr>
          <w:p w14:paraId="758879EF" w14:textId="02B5A08B" w:rsidR="00F64608" w:rsidRPr="00BA37F3" w:rsidRDefault="00F64608" w:rsidP="00F64608">
            <w:pPr>
              <w:jc w:val="center"/>
              <w:rPr>
                <w:rFonts w:ascii="Calibri" w:hAnsi="Calibri" w:cs="Calibri"/>
                <w:color w:val="FF0000"/>
              </w:rPr>
            </w:pPr>
            <w:r>
              <w:rPr>
                <w:color w:val="FF0000"/>
              </w:rPr>
              <w:t>10,37</w:t>
            </w:r>
          </w:p>
        </w:tc>
      </w:tr>
      <w:tr w:rsidR="00F64608" w:rsidRPr="00E06E6A" w14:paraId="19A0F81F" w14:textId="77777777" w:rsidTr="00A65CAE">
        <w:tc>
          <w:tcPr>
            <w:tcW w:w="2547" w:type="dxa"/>
            <w:shd w:val="clear" w:color="auto" w:fill="D9D9D9" w:themeFill="background1" w:themeFillShade="D9"/>
          </w:tcPr>
          <w:p w14:paraId="09AAFF1F" w14:textId="77777777" w:rsidR="00F64608" w:rsidRPr="001F799E" w:rsidRDefault="00F64608" w:rsidP="00F64608">
            <w:pPr>
              <w:jc w:val="both"/>
              <w:rPr>
                <w:lang w:val="fr-BE"/>
              </w:rPr>
            </w:pPr>
            <w:r w:rsidRPr="001F799E">
              <w:rPr>
                <w:lang w:val="fr-BE"/>
              </w:rPr>
              <w:t>0,1 – 1 kg</w:t>
            </w:r>
          </w:p>
        </w:tc>
        <w:tc>
          <w:tcPr>
            <w:tcW w:w="3260" w:type="dxa"/>
            <w:shd w:val="clear" w:color="auto" w:fill="D9D9D9" w:themeFill="background1" w:themeFillShade="D9"/>
          </w:tcPr>
          <w:p w14:paraId="0009F8F8" w14:textId="0CDC9D69" w:rsidR="00F64608" w:rsidRPr="00BA37F3" w:rsidRDefault="00F64608" w:rsidP="00F64608">
            <w:pPr>
              <w:jc w:val="center"/>
              <w:rPr>
                <w:rFonts w:ascii="Calibri" w:hAnsi="Calibri" w:cs="Calibri"/>
                <w:color w:val="FF0000"/>
              </w:rPr>
            </w:pPr>
            <w:r>
              <w:rPr>
                <w:color w:val="FF0000"/>
              </w:rPr>
              <w:t>6,65</w:t>
            </w:r>
          </w:p>
        </w:tc>
      </w:tr>
      <w:tr w:rsidR="00F64608" w:rsidRPr="00E06E6A" w14:paraId="47B09EC2" w14:textId="77777777" w:rsidTr="00A65CAE">
        <w:tc>
          <w:tcPr>
            <w:tcW w:w="2547" w:type="dxa"/>
            <w:shd w:val="clear" w:color="auto" w:fill="D9D9D9" w:themeFill="background1" w:themeFillShade="D9"/>
          </w:tcPr>
          <w:p w14:paraId="4F5B6F51" w14:textId="77777777" w:rsidR="00F64608" w:rsidRPr="001F799E" w:rsidRDefault="00F64608" w:rsidP="00F64608">
            <w:pPr>
              <w:jc w:val="both"/>
              <w:rPr>
                <w:lang w:val="fr-BE"/>
              </w:rPr>
            </w:pPr>
            <w:r w:rsidRPr="001F799E">
              <w:rPr>
                <w:lang w:val="fr-BE"/>
              </w:rPr>
              <w:t>&lt; 0,1 kg</w:t>
            </w:r>
          </w:p>
        </w:tc>
        <w:tc>
          <w:tcPr>
            <w:tcW w:w="3260" w:type="dxa"/>
            <w:shd w:val="clear" w:color="auto" w:fill="D9D9D9" w:themeFill="background1" w:themeFillShade="D9"/>
          </w:tcPr>
          <w:p w14:paraId="01CA4473" w14:textId="068F7F5F" w:rsidR="00F64608" w:rsidRPr="00BA37F3" w:rsidRDefault="00F64608" w:rsidP="00F64608">
            <w:pPr>
              <w:jc w:val="center"/>
              <w:rPr>
                <w:color w:val="FF0000"/>
                <w:lang w:val="fr-BE"/>
              </w:rPr>
            </w:pPr>
            <w:r>
              <w:rPr>
                <w:color w:val="FF0000"/>
              </w:rPr>
              <w:t>8,78</w:t>
            </w:r>
          </w:p>
        </w:tc>
      </w:tr>
    </w:tbl>
    <w:p w14:paraId="5DC74E0C" w14:textId="77777777" w:rsidR="007145B6" w:rsidRPr="001F799E" w:rsidRDefault="007145B6" w:rsidP="003647AB">
      <w:pPr>
        <w:jc w:val="both"/>
        <w:rPr>
          <w:lang w:val="de-DE"/>
        </w:rPr>
      </w:pPr>
    </w:p>
    <w:p w14:paraId="4209FD79" w14:textId="10659464" w:rsidR="001B5E26" w:rsidRPr="00BD15C9" w:rsidRDefault="005525AF" w:rsidP="003647AB">
      <w:pPr>
        <w:jc w:val="both"/>
        <w:rPr>
          <w:lang w:val="fr-FR"/>
        </w:rPr>
      </w:pPr>
      <w:r>
        <w:rPr>
          <w:lang w:val="fr-BE"/>
        </w:rPr>
        <w:t xml:space="preserve">Plus de </w:t>
      </w:r>
      <w:r w:rsidR="001B5E26" w:rsidRPr="00B90A65">
        <w:rPr>
          <w:lang w:val="fr-FR"/>
        </w:rPr>
        <w:t xml:space="preserve"> la moitié des enregistrements</w:t>
      </w:r>
      <w:r w:rsidR="00A65CAE">
        <w:rPr>
          <w:lang w:val="fr-FR"/>
        </w:rPr>
        <w:t xml:space="preserve"> (~66.50 %)</w:t>
      </w:r>
      <w:r w:rsidR="001B5E26" w:rsidRPr="00B90A65">
        <w:rPr>
          <w:lang w:val="fr-FR"/>
        </w:rPr>
        <w:t xml:space="preserve"> concerne des quantités inférieures à 1 tonne (hachur</w:t>
      </w:r>
      <w:r w:rsidR="00B90A65" w:rsidRPr="00B76985">
        <w:rPr>
          <w:lang w:val="fr-FR"/>
        </w:rPr>
        <w:t>é</w:t>
      </w:r>
      <w:r w:rsidR="001B5E26" w:rsidRPr="00B90A65">
        <w:rPr>
          <w:lang w:val="fr-FR"/>
        </w:rPr>
        <w:t xml:space="preserve"> gris dans le tableau) et tombe donc en dehors du champ d'application de la législation REACH.</w:t>
      </w:r>
      <w:r w:rsidR="001B5E26" w:rsidRPr="00BD15C9">
        <w:rPr>
          <w:lang w:val="fr-FR"/>
        </w:rPr>
        <w:t xml:space="preserve"> </w:t>
      </w:r>
    </w:p>
    <w:p w14:paraId="144DE001" w14:textId="260A5625" w:rsidR="000F4F48" w:rsidRDefault="001B5E26" w:rsidP="003647AB">
      <w:pPr>
        <w:jc w:val="both"/>
        <w:rPr>
          <w:lang w:val="fr-FR"/>
        </w:rPr>
      </w:pPr>
      <w:r w:rsidRPr="00BD15C9">
        <w:rPr>
          <w:lang w:val="fr-FR"/>
        </w:rPr>
        <w:t>La plus grande partie des enregistrements mentionne un intervalle entre 10</w:t>
      </w:r>
      <w:r w:rsidR="00C42323">
        <w:rPr>
          <w:lang w:val="fr-FR"/>
        </w:rPr>
        <w:t>0</w:t>
      </w:r>
      <w:r w:rsidRPr="00BD15C9">
        <w:rPr>
          <w:lang w:val="fr-FR"/>
        </w:rPr>
        <w:t xml:space="preserve"> kg et 1</w:t>
      </w:r>
      <w:r w:rsidR="005525AF">
        <w:rPr>
          <w:lang w:val="fr-FR"/>
        </w:rPr>
        <w:t>0</w:t>
      </w:r>
      <w:r w:rsidR="00C42323">
        <w:rPr>
          <w:lang w:val="fr-FR"/>
        </w:rPr>
        <w:t>0</w:t>
      </w:r>
      <w:r w:rsidR="005525AF">
        <w:rPr>
          <w:lang w:val="fr-FR"/>
        </w:rPr>
        <w:t>0 kg</w:t>
      </w:r>
      <w:r w:rsidRPr="00BD15C9">
        <w:rPr>
          <w:lang w:val="fr-FR"/>
        </w:rPr>
        <w:t xml:space="preserve">, comme l'illustre la figure ci-dessous. </w:t>
      </w:r>
    </w:p>
    <w:p w14:paraId="75978CB9" w14:textId="45D410BB" w:rsidR="00F64608" w:rsidRPr="00BD15C9" w:rsidRDefault="00F64608" w:rsidP="00B176EF">
      <w:pPr>
        <w:jc w:val="center"/>
        <w:rPr>
          <w:lang w:val="fr-FR"/>
        </w:rPr>
      </w:pPr>
      <w:r>
        <w:rPr>
          <w:noProof/>
        </w:rPr>
        <w:drawing>
          <wp:inline distT="0" distB="0" distL="0" distR="0" wp14:anchorId="7392BA2F" wp14:editId="00BA4264">
            <wp:extent cx="4638675" cy="2752725"/>
            <wp:effectExtent l="0" t="0" r="9525" b="9525"/>
            <wp:docPr id="3" name="Graphique 3">
              <a:extLst xmlns:a="http://schemas.openxmlformats.org/drawingml/2006/main">
                <a:ext uri="{FF2B5EF4-FFF2-40B4-BE49-F238E27FC236}">
                  <a16:creationId xmlns:a16="http://schemas.microsoft.com/office/drawing/2014/main" id="{CC19D878-B98E-4355-953D-A7FD84D66C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1920AF38" w14:textId="0491B858" w:rsidR="00C42323" w:rsidRPr="00B176EF" w:rsidRDefault="00FB758F" w:rsidP="00B176EF">
      <w:pPr>
        <w:jc w:val="center"/>
        <w:rPr>
          <w:color w:val="44546A" w:themeColor="text2"/>
          <w:sz w:val="18"/>
          <w:szCs w:val="18"/>
          <w:lang w:val="fr-BE"/>
        </w:rPr>
      </w:pPr>
      <w:r w:rsidRPr="00B76985">
        <w:rPr>
          <w:i/>
          <w:iCs/>
          <w:color w:val="44546A" w:themeColor="text2"/>
          <w:sz w:val="18"/>
          <w:szCs w:val="18"/>
          <w:lang w:val="fr-BE"/>
        </w:rPr>
        <w:t xml:space="preserve">Figure </w:t>
      </w:r>
      <w:r>
        <w:rPr>
          <w:color w:val="44546A" w:themeColor="text2"/>
          <w:sz w:val="18"/>
          <w:szCs w:val="18"/>
        </w:rPr>
        <w:fldChar w:fldCharType="begin"/>
      </w:r>
      <w:r w:rsidRPr="00B76985">
        <w:rPr>
          <w:i/>
          <w:iCs/>
          <w:color w:val="44546A" w:themeColor="text2"/>
          <w:sz w:val="18"/>
          <w:szCs w:val="18"/>
          <w:lang w:val="fr-BE"/>
        </w:rPr>
        <w:instrText xml:space="preserve"> SEQ Figure \* ARABIC </w:instrText>
      </w:r>
      <w:r>
        <w:rPr>
          <w:color w:val="44546A" w:themeColor="text2"/>
          <w:sz w:val="18"/>
          <w:szCs w:val="18"/>
        </w:rPr>
        <w:fldChar w:fldCharType="separate"/>
      </w:r>
      <w:r w:rsidR="00B176EF">
        <w:rPr>
          <w:i/>
          <w:iCs/>
          <w:noProof/>
          <w:color w:val="44546A" w:themeColor="text2"/>
          <w:sz w:val="18"/>
          <w:szCs w:val="18"/>
          <w:lang w:val="fr-BE"/>
        </w:rPr>
        <w:t>18</w:t>
      </w:r>
      <w:r>
        <w:rPr>
          <w:color w:val="44546A" w:themeColor="text2"/>
          <w:sz w:val="18"/>
          <w:szCs w:val="18"/>
        </w:rPr>
        <w:fldChar w:fldCharType="end"/>
      </w:r>
      <w:r w:rsidRPr="00B76985">
        <w:rPr>
          <w:i/>
          <w:iCs/>
          <w:color w:val="44546A" w:themeColor="text2"/>
          <w:sz w:val="18"/>
          <w:szCs w:val="18"/>
          <w:lang w:val="fr-BE"/>
        </w:rPr>
        <w:t xml:space="preserve">: </w:t>
      </w:r>
      <w:r w:rsidR="00F64608">
        <w:rPr>
          <w:i/>
          <w:iCs/>
          <w:color w:val="44546A" w:themeColor="text2"/>
          <w:sz w:val="18"/>
          <w:szCs w:val="18"/>
          <w:lang w:val="fr-BE"/>
        </w:rPr>
        <w:t xml:space="preserve">Distribution relative du </w:t>
      </w:r>
      <w:r w:rsidRPr="00B76985">
        <w:rPr>
          <w:i/>
          <w:iCs/>
          <w:color w:val="44546A" w:themeColor="text2"/>
          <w:sz w:val="18"/>
          <w:szCs w:val="18"/>
          <w:lang w:val="fr-BE"/>
        </w:rPr>
        <w:t xml:space="preserve">nombre d'enregistrements par intervalle </w:t>
      </w:r>
      <w:r w:rsidRPr="00B76985">
        <w:rPr>
          <w:color w:val="44546A" w:themeColor="text2"/>
          <w:sz w:val="18"/>
          <w:szCs w:val="18"/>
          <w:lang w:val="fr-BE"/>
        </w:rPr>
        <w:t>de quantités importées ou manufacturées</w:t>
      </w:r>
      <w:r w:rsidR="00C42323">
        <w:rPr>
          <w:color w:val="44546A" w:themeColor="text2"/>
          <w:sz w:val="18"/>
          <w:szCs w:val="18"/>
          <w:lang w:val="fr-BE"/>
        </w:rPr>
        <w:t xml:space="preserve"> en 20</w:t>
      </w:r>
      <w:r w:rsidR="00F64608">
        <w:rPr>
          <w:color w:val="44546A" w:themeColor="text2"/>
          <w:sz w:val="18"/>
          <w:szCs w:val="18"/>
          <w:lang w:val="fr-BE"/>
        </w:rPr>
        <w:t>20 (%)</w:t>
      </w:r>
    </w:p>
    <w:p w14:paraId="6782069B" w14:textId="1E45279D" w:rsidR="000B67EC" w:rsidRPr="00BD15C9" w:rsidRDefault="00940CD9" w:rsidP="00C95796">
      <w:pPr>
        <w:pStyle w:val="Titre3"/>
      </w:pPr>
      <w:bookmarkStart w:id="75" w:name="_Ref74735256"/>
      <w:bookmarkStart w:id="76" w:name="_Toc76034186"/>
      <w:r w:rsidRPr="00BD15C9">
        <w:lastRenderedPageBreak/>
        <w:t>Quantités distribuées (transformées ou non transformées) sur le marché belge</w:t>
      </w:r>
      <w:bookmarkEnd w:id="75"/>
      <w:bookmarkEnd w:id="76"/>
    </w:p>
    <w:p w14:paraId="024455A2" w14:textId="3758BE3E" w:rsidR="007F01A1" w:rsidRPr="00BD15C9" w:rsidRDefault="007F01A1" w:rsidP="00E437D5">
      <w:pPr>
        <w:jc w:val="both"/>
        <w:rPr>
          <w:lang w:val="fr-FR"/>
        </w:rPr>
      </w:pPr>
      <w:r w:rsidRPr="00BD15C9">
        <w:rPr>
          <w:lang w:val="fr-FR"/>
        </w:rPr>
        <w:t xml:space="preserve">Sur la base des informations enregistrées, </w:t>
      </w:r>
      <w:r w:rsidRPr="007F04D6">
        <w:rPr>
          <w:lang w:val="fr-FR"/>
        </w:rPr>
        <w:t>en 20</w:t>
      </w:r>
      <w:r w:rsidR="007F04D6">
        <w:rPr>
          <w:lang w:val="fr-FR"/>
        </w:rPr>
        <w:t>20</w:t>
      </w:r>
      <w:r w:rsidRPr="007F04D6">
        <w:rPr>
          <w:lang w:val="fr-FR"/>
        </w:rPr>
        <w:t xml:space="preserve">, </w:t>
      </w:r>
      <w:r w:rsidR="007F04D6">
        <w:rPr>
          <w:lang w:val="fr-FR"/>
        </w:rPr>
        <w:t>20.900,4 tonnes</w:t>
      </w:r>
      <w:r w:rsidRPr="00BD15C9">
        <w:rPr>
          <w:lang w:val="fr-FR"/>
        </w:rPr>
        <w:t xml:space="preserve"> de substances manufacturées à l'état nanoparticulaire ont aussi été distribué</w:t>
      </w:r>
      <w:r w:rsidR="007F04D6">
        <w:rPr>
          <w:lang w:val="fr-FR"/>
        </w:rPr>
        <w:t>e</w:t>
      </w:r>
      <w:r w:rsidRPr="00BD15C9">
        <w:rPr>
          <w:lang w:val="fr-FR"/>
        </w:rPr>
        <w:t>s</w:t>
      </w:r>
      <w:r w:rsidR="007F04D6">
        <w:rPr>
          <w:lang w:val="fr-FR"/>
        </w:rPr>
        <w:t xml:space="preserve"> (+~16</w:t>
      </w:r>
      <w:r w:rsidR="0011696F">
        <w:rPr>
          <w:lang w:val="fr-FR"/>
        </w:rPr>
        <w:t xml:space="preserve"> </w:t>
      </w:r>
      <w:r w:rsidR="007F04D6">
        <w:rPr>
          <w:lang w:val="fr-FR"/>
        </w:rPr>
        <w:t>000 tonnes par rapport à 2019)</w:t>
      </w:r>
      <w:r w:rsidRPr="00BD15C9">
        <w:rPr>
          <w:lang w:val="fr-FR"/>
        </w:rPr>
        <w:t xml:space="preserve">. De loin la plus grande part de </w:t>
      </w:r>
      <w:r w:rsidRPr="007F04D6">
        <w:rPr>
          <w:lang w:val="fr-FR"/>
        </w:rPr>
        <w:t xml:space="preserve">ces </w:t>
      </w:r>
      <w:r w:rsidR="007F04D6">
        <w:rPr>
          <w:lang w:val="fr-FR"/>
        </w:rPr>
        <w:t>20.900,4</w:t>
      </w:r>
      <w:r w:rsidRPr="00BD15C9">
        <w:rPr>
          <w:lang w:val="fr-FR"/>
        </w:rPr>
        <w:t xml:space="preserve"> tonnes a été distribuée par le ‘formulateur’. Comme déjà mentionné sous </w:t>
      </w:r>
      <w:r w:rsidR="00EC1218" w:rsidRPr="00BD15C9">
        <w:rPr>
          <w:i/>
          <w:lang w:val="fr-FR"/>
        </w:rPr>
        <w:t xml:space="preserve">§ </w:t>
      </w:r>
      <w:r w:rsidR="0011696F">
        <w:rPr>
          <w:i/>
          <w:lang w:val="fr-FR"/>
        </w:rPr>
        <w:t>7</w:t>
      </w:r>
      <w:r w:rsidR="00EC1218" w:rsidRPr="00BD15C9">
        <w:rPr>
          <w:i/>
          <w:lang w:val="fr-FR"/>
        </w:rPr>
        <w:t>.1-Répartition du nombre des entreprises par rôle</w:t>
      </w:r>
      <w:r w:rsidRPr="00BD15C9">
        <w:rPr>
          <w:lang w:val="fr-FR"/>
        </w:rPr>
        <w:t xml:space="preserve">, on ne s'attendait pas à retrouver le rôle de formulateur dans l'enregistrement des substances. Un examen plus approfondi pourra démontrer pourquoi ce rôle a été rencontré dans le cadre de l'enregistrement des substances. </w:t>
      </w:r>
    </w:p>
    <w:p w14:paraId="1A20164A" w14:textId="298F5A90" w:rsidR="00E437D5" w:rsidRPr="00BD15C9" w:rsidRDefault="00E437D5" w:rsidP="00E437D5">
      <w:pPr>
        <w:jc w:val="both"/>
        <w:rPr>
          <w:lang w:val="fr-FR"/>
        </w:rPr>
      </w:pPr>
      <w:r w:rsidRPr="00BD15C9">
        <w:rPr>
          <w:lang w:val="fr-FR"/>
        </w:rPr>
        <w:t xml:space="preserve">Le tableau ci-dessous donne la répartition du nombre d'enregistrements dans lesquels une quantité était mentionnée sous le statut ‘distributeur’, 'formulateur' ou ‘autre ' par intervalle de quantités.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7"/>
        <w:gridCol w:w="3416"/>
      </w:tblGrid>
      <w:tr w:rsidR="00E437D5" w:rsidRPr="007F1FE2" w14:paraId="1738CDF6" w14:textId="77777777" w:rsidTr="00B176EF">
        <w:trPr>
          <w:trHeight w:val="635"/>
          <w:tblHeader/>
        </w:trPr>
        <w:tc>
          <w:tcPr>
            <w:tcW w:w="6233" w:type="dxa"/>
            <w:gridSpan w:val="2"/>
          </w:tcPr>
          <w:p w14:paraId="5C03C210" w14:textId="0C175A23" w:rsidR="00E437D5" w:rsidRPr="00BD15C9" w:rsidRDefault="00E437D5" w:rsidP="00443FB5">
            <w:pPr>
              <w:jc w:val="both"/>
              <w:rPr>
                <w:b/>
                <w:i/>
                <w:lang w:val="fr-FR"/>
              </w:rPr>
            </w:pPr>
            <w:r w:rsidRPr="007F04D6">
              <w:rPr>
                <w:b/>
                <w:i/>
                <w:lang w:val="fr-FR"/>
              </w:rPr>
              <w:t>Tableau : distribution relative du nombre des enregistrements par intervalle de 'quantités distribuées, mélangées ou autre’ (en %)</w:t>
            </w:r>
          </w:p>
        </w:tc>
      </w:tr>
      <w:tr w:rsidR="007F04D6" w:rsidRPr="00BD15C9" w14:paraId="71C13ACF" w14:textId="77777777" w:rsidTr="00B176EF">
        <w:trPr>
          <w:trHeight w:val="280"/>
        </w:trPr>
        <w:tc>
          <w:tcPr>
            <w:tcW w:w="2817" w:type="dxa"/>
          </w:tcPr>
          <w:p w14:paraId="79420A4A" w14:textId="77777777" w:rsidR="007F04D6" w:rsidRPr="00BD15C9" w:rsidRDefault="007F04D6" w:rsidP="007F04D6">
            <w:pPr>
              <w:jc w:val="both"/>
              <w:rPr>
                <w:lang w:val="fr-FR"/>
              </w:rPr>
            </w:pPr>
            <w:r w:rsidRPr="00BD15C9">
              <w:rPr>
                <w:lang w:val="fr-FR"/>
              </w:rPr>
              <w:t>&gt; 1 000 t</w:t>
            </w:r>
          </w:p>
        </w:tc>
        <w:tc>
          <w:tcPr>
            <w:tcW w:w="3415" w:type="dxa"/>
          </w:tcPr>
          <w:p w14:paraId="7591B45D" w14:textId="167CAF2C" w:rsidR="007F04D6" w:rsidRPr="00BA37F3" w:rsidRDefault="007F04D6" w:rsidP="007F04D6">
            <w:pPr>
              <w:jc w:val="center"/>
              <w:rPr>
                <w:color w:val="FF0000"/>
                <w:lang w:val="fr-FR"/>
              </w:rPr>
            </w:pPr>
            <w:r>
              <w:rPr>
                <w:color w:val="000000" w:themeColor="text1"/>
              </w:rPr>
              <w:t>1,22</w:t>
            </w:r>
          </w:p>
        </w:tc>
      </w:tr>
      <w:tr w:rsidR="007F04D6" w:rsidRPr="00BD15C9" w14:paraId="48388D2C" w14:textId="77777777" w:rsidTr="00B176EF">
        <w:trPr>
          <w:trHeight w:val="280"/>
        </w:trPr>
        <w:tc>
          <w:tcPr>
            <w:tcW w:w="2817" w:type="dxa"/>
          </w:tcPr>
          <w:p w14:paraId="1CFA0E1D" w14:textId="77777777" w:rsidR="007F04D6" w:rsidRPr="00BD15C9" w:rsidRDefault="007F04D6" w:rsidP="007F04D6">
            <w:pPr>
              <w:jc w:val="both"/>
              <w:rPr>
                <w:lang w:val="fr-FR"/>
              </w:rPr>
            </w:pPr>
            <w:r w:rsidRPr="00BD15C9">
              <w:rPr>
                <w:lang w:val="fr-FR"/>
              </w:rPr>
              <w:t>100 – 1 000 t</w:t>
            </w:r>
          </w:p>
        </w:tc>
        <w:tc>
          <w:tcPr>
            <w:tcW w:w="3415" w:type="dxa"/>
          </w:tcPr>
          <w:p w14:paraId="3FFC2C34" w14:textId="4858F936" w:rsidR="007F04D6" w:rsidRPr="00BA37F3" w:rsidRDefault="007F04D6" w:rsidP="007F04D6">
            <w:pPr>
              <w:jc w:val="center"/>
              <w:rPr>
                <w:color w:val="FF0000"/>
                <w:lang w:val="fr-FR"/>
              </w:rPr>
            </w:pPr>
            <w:r>
              <w:rPr>
                <w:color w:val="000000" w:themeColor="text1"/>
              </w:rPr>
              <w:t>2,93</w:t>
            </w:r>
          </w:p>
        </w:tc>
      </w:tr>
      <w:tr w:rsidR="007F04D6" w:rsidRPr="00BD15C9" w14:paraId="5E2DB254" w14:textId="77777777" w:rsidTr="00B176EF">
        <w:trPr>
          <w:trHeight w:val="271"/>
        </w:trPr>
        <w:tc>
          <w:tcPr>
            <w:tcW w:w="2817" w:type="dxa"/>
          </w:tcPr>
          <w:p w14:paraId="3C8CB95C" w14:textId="2B112805" w:rsidR="007F04D6" w:rsidRPr="00BD15C9" w:rsidRDefault="007F04D6" w:rsidP="007F04D6">
            <w:pPr>
              <w:jc w:val="both"/>
              <w:rPr>
                <w:lang w:val="fr-FR"/>
              </w:rPr>
            </w:pPr>
            <w:r>
              <w:rPr>
                <w:lang w:val="fr-FR"/>
              </w:rPr>
              <w:t>10 – 100 t</w:t>
            </w:r>
          </w:p>
        </w:tc>
        <w:tc>
          <w:tcPr>
            <w:tcW w:w="3415" w:type="dxa"/>
          </w:tcPr>
          <w:p w14:paraId="7DAFD93B" w14:textId="185D585F" w:rsidR="007F04D6" w:rsidRPr="00BA37F3" w:rsidRDefault="007F04D6" w:rsidP="007F04D6">
            <w:pPr>
              <w:jc w:val="center"/>
              <w:rPr>
                <w:color w:val="FF0000"/>
                <w:lang w:val="fr-FR"/>
              </w:rPr>
            </w:pPr>
            <w:r>
              <w:rPr>
                <w:color w:val="000000" w:themeColor="text1"/>
              </w:rPr>
              <w:t>6,60</w:t>
            </w:r>
          </w:p>
        </w:tc>
      </w:tr>
      <w:tr w:rsidR="007F04D6" w:rsidRPr="00BD15C9" w14:paraId="33382C16" w14:textId="77777777" w:rsidTr="00B176EF">
        <w:trPr>
          <w:trHeight w:val="280"/>
        </w:trPr>
        <w:tc>
          <w:tcPr>
            <w:tcW w:w="2817" w:type="dxa"/>
          </w:tcPr>
          <w:p w14:paraId="1A1F3123" w14:textId="77777777" w:rsidR="007F04D6" w:rsidRPr="00BD15C9" w:rsidRDefault="007F04D6" w:rsidP="007F04D6">
            <w:pPr>
              <w:jc w:val="both"/>
              <w:rPr>
                <w:lang w:val="fr-FR"/>
              </w:rPr>
            </w:pPr>
            <w:r w:rsidRPr="00BD15C9">
              <w:rPr>
                <w:lang w:val="fr-FR"/>
              </w:rPr>
              <w:t>1 – 10 t</w:t>
            </w:r>
          </w:p>
        </w:tc>
        <w:tc>
          <w:tcPr>
            <w:tcW w:w="3415" w:type="dxa"/>
          </w:tcPr>
          <w:p w14:paraId="39ACBF6B" w14:textId="5014007D" w:rsidR="007F04D6" w:rsidRPr="00BA37F3" w:rsidRDefault="007F04D6" w:rsidP="007F04D6">
            <w:pPr>
              <w:jc w:val="center"/>
              <w:rPr>
                <w:color w:val="FF0000"/>
                <w:lang w:val="fr-FR"/>
              </w:rPr>
            </w:pPr>
            <w:r>
              <w:rPr>
                <w:color w:val="000000" w:themeColor="text1"/>
              </w:rPr>
              <w:t>14,43</w:t>
            </w:r>
          </w:p>
        </w:tc>
      </w:tr>
      <w:tr w:rsidR="007F04D6" w:rsidRPr="00BD15C9" w14:paraId="61CBA2CF" w14:textId="77777777" w:rsidTr="00B176EF">
        <w:trPr>
          <w:trHeight w:val="280"/>
        </w:trPr>
        <w:tc>
          <w:tcPr>
            <w:tcW w:w="2817" w:type="dxa"/>
            <w:shd w:val="clear" w:color="auto" w:fill="BFBFBF" w:themeFill="background1" w:themeFillShade="BF"/>
          </w:tcPr>
          <w:p w14:paraId="0D001506" w14:textId="77777777" w:rsidR="007F04D6" w:rsidRPr="00BD15C9" w:rsidRDefault="007F04D6" w:rsidP="007F04D6">
            <w:pPr>
              <w:jc w:val="both"/>
              <w:rPr>
                <w:lang w:val="fr-FR"/>
              </w:rPr>
            </w:pPr>
            <w:r w:rsidRPr="00BD15C9">
              <w:rPr>
                <w:lang w:val="fr-FR"/>
              </w:rPr>
              <w:t>100 kg – 1 t</w:t>
            </w:r>
          </w:p>
        </w:tc>
        <w:tc>
          <w:tcPr>
            <w:tcW w:w="3415" w:type="dxa"/>
            <w:shd w:val="clear" w:color="auto" w:fill="BFBFBF" w:themeFill="background1" w:themeFillShade="BF"/>
          </w:tcPr>
          <w:p w14:paraId="5733302A" w14:textId="2A639C4B" w:rsidR="007F04D6" w:rsidRPr="00BA37F3" w:rsidRDefault="007F04D6" w:rsidP="007F04D6">
            <w:pPr>
              <w:jc w:val="center"/>
              <w:rPr>
                <w:color w:val="FF0000"/>
                <w:lang w:val="fr-FR"/>
              </w:rPr>
            </w:pPr>
            <w:r>
              <w:rPr>
                <w:color w:val="000000" w:themeColor="text1"/>
              </w:rPr>
              <w:t>18,58</w:t>
            </w:r>
          </w:p>
        </w:tc>
      </w:tr>
      <w:tr w:rsidR="007F04D6" w:rsidRPr="00BD15C9" w14:paraId="36CB0232" w14:textId="77777777" w:rsidTr="00B176EF">
        <w:trPr>
          <w:trHeight w:val="271"/>
        </w:trPr>
        <w:tc>
          <w:tcPr>
            <w:tcW w:w="2817" w:type="dxa"/>
            <w:shd w:val="clear" w:color="auto" w:fill="BFBFBF" w:themeFill="background1" w:themeFillShade="BF"/>
          </w:tcPr>
          <w:p w14:paraId="5C31BA16" w14:textId="77777777" w:rsidR="007F04D6" w:rsidRPr="00BD15C9" w:rsidRDefault="007F04D6" w:rsidP="007F04D6">
            <w:pPr>
              <w:jc w:val="both"/>
              <w:rPr>
                <w:lang w:val="fr-FR"/>
              </w:rPr>
            </w:pPr>
            <w:r w:rsidRPr="00BD15C9">
              <w:rPr>
                <w:lang w:val="fr-FR"/>
              </w:rPr>
              <w:t>10 – 100 kg</w:t>
            </w:r>
          </w:p>
        </w:tc>
        <w:tc>
          <w:tcPr>
            <w:tcW w:w="3415" w:type="dxa"/>
            <w:shd w:val="clear" w:color="auto" w:fill="BFBFBF" w:themeFill="background1" w:themeFillShade="BF"/>
          </w:tcPr>
          <w:p w14:paraId="7ABCC47E" w14:textId="4A6FBDC4" w:rsidR="007F04D6" w:rsidRPr="00BA37F3" w:rsidRDefault="007F04D6" w:rsidP="007F04D6">
            <w:pPr>
              <w:jc w:val="center"/>
              <w:rPr>
                <w:color w:val="FF0000"/>
                <w:lang w:val="fr-FR"/>
              </w:rPr>
            </w:pPr>
            <w:r>
              <w:rPr>
                <w:color w:val="000000" w:themeColor="text1"/>
              </w:rPr>
              <w:t>23,72</w:t>
            </w:r>
          </w:p>
        </w:tc>
      </w:tr>
      <w:tr w:rsidR="007F04D6" w:rsidRPr="00CE2962" w14:paraId="6DF1ADD7" w14:textId="77777777" w:rsidTr="00B176EF">
        <w:trPr>
          <w:trHeight w:val="280"/>
        </w:trPr>
        <w:tc>
          <w:tcPr>
            <w:tcW w:w="2817" w:type="dxa"/>
            <w:shd w:val="clear" w:color="auto" w:fill="BFBFBF" w:themeFill="background1" w:themeFillShade="BF"/>
          </w:tcPr>
          <w:p w14:paraId="25200BB6" w14:textId="77777777" w:rsidR="007F04D6" w:rsidRPr="00BD15C9" w:rsidRDefault="007F04D6" w:rsidP="007F04D6">
            <w:pPr>
              <w:jc w:val="both"/>
              <w:rPr>
                <w:lang w:val="fr-FR"/>
              </w:rPr>
            </w:pPr>
            <w:r w:rsidRPr="00BD15C9">
              <w:rPr>
                <w:lang w:val="fr-FR"/>
              </w:rPr>
              <w:t>1 – 10 kg</w:t>
            </w:r>
          </w:p>
        </w:tc>
        <w:tc>
          <w:tcPr>
            <w:tcW w:w="3415" w:type="dxa"/>
            <w:shd w:val="clear" w:color="auto" w:fill="BFBFBF" w:themeFill="background1" w:themeFillShade="BF"/>
          </w:tcPr>
          <w:p w14:paraId="596E0CE6" w14:textId="3BCFDDD9" w:rsidR="007F04D6" w:rsidRPr="00BA37F3" w:rsidRDefault="007F04D6" w:rsidP="007F04D6">
            <w:pPr>
              <w:jc w:val="center"/>
              <w:rPr>
                <w:color w:val="FF0000"/>
                <w:lang w:val="fr-FR"/>
              </w:rPr>
            </w:pPr>
            <w:r>
              <w:rPr>
                <w:color w:val="000000" w:themeColor="text1"/>
              </w:rPr>
              <w:t>15,16</w:t>
            </w:r>
          </w:p>
        </w:tc>
      </w:tr>
      <w:tr w:rsidR="007F04D6" w:rsidRPr="00CE2962" w14:paraId="056567DE" w14:textId="77777777" w:rsidTr="00B176EF">
        <w:trPr>
          <w:trHeight w:val="280"/>
        </w:trPr>
        <w:tc>
          <w:tcPr>
            <w:tcW w:w="2817" w:type="dxa"/>
            <w:shd w:val="clear" w:color="auto" w:fill="BFBFBF" w:themeFill="background1" w:themeFillShade="BF"/>
          </w:tcPr>
          <w:p w14:paraId="6BA70C96" w14:textId="77777777" w:rsidR="007F04D6" w:rsidRPr="00BD15C9" w:rsidRDefault="007F04D6" w:rsidP="007F04D6">
            <w:pPr>
              <w:jc w:val="both"/>
              <w:rPr>
                <w:lang w:val="fr-FR"/>
              </w:rPr>
            </w:pPr>
            <w:r w:rsidRPr="00BD15C9">
              <w:rPr>
                <w:lang w:val="fr-FR"/>
              </w:rPr>
              <w:t>0,1 – 1 kg</w:t>
            </w:r>
          </w:p>
        </w:tc>
        <w:tc>
          <w:tcPr>
            <w:tcW w:w="3415" w:type="dxa"/>
            <w:shd w:val="clear" w:color="auto" w:fill="BFBFBF" w:themeFill="background1" w:themeFillShade="BF"/>
          </w:tcPr>
          <w:p w14:paraId="029ABD86" w14:textId="307E98E9" w:rsidR="007F04D6" w:rsidRPr="00BA37F3" w:rsidRDefault="007F04D6" w:rsidP="007F04D6">
            <w:pPr>
              <w:jc w:val="center"/>
              <w:rPr>
                <w:color w:val="FF0000"/>
                <w:lang w:val="fr-FR"/>
              </w:rPr>
            </w:pPr>
            <w:r>
              <w:rPr>
                <w:color w:val="000000" w:themeColor="text1"/>
              </w:rPr>
              <w:t>11,25</w:t>
            </w:r>
          </w:p>
        </w:tc>
      </w:tr>
      <w:tr w:rsidR="007F04D6" w:rsidRPr="00CE2962" w14:paraId="4002F490" w14:textId="77777777" w:rsidTr="00B176EF">
        <w:trPr>
          <w:trHeight w:val="271"/>
        </w:trPr>
        <w:tc>
          <w:tcPr>
            <w:tcW w:w="2817" w:type="dxa"/>
            <w:shd w:val="clear" w:color="auto" w:fill="BFBFBF" w:themeFill="background1" w:themeFillShade="BF"/>
          </w:tcPr>
          <w:p w14:paraId="1E4E6D3F" w14:textId="77777777" w:rsidR="007F04D6" w:rsidRPr="00BD15C9" w:rsidRDefault="007F04D6" w:rsidP="007F04D6">
            <w:pPr>
              <w:jc w:val="both"/>
              <w:rPr>
                <w:lang w:val="fr-FR"/>
              </w:rPr>
            </w:pPr>
            <w:r w:rsidRPr="00BD15C9">
              <w:rPr>
                <w:lang w:val="fr-FR"/>
              </w:rPr>
              <w:t>&lt; 0,1 kg</w:t>
            </w:r>
          </w:p>
        </w:tc>
        <w:tc>
          <w:tcPr>
            <w:tcW w:w="3415" w:type="dxa"/>
            <w:shd w:val="clear" w:color="auto" w:fill="BFBFBF" w:themeFill="background1" w:themeFillShade="BF"/>
          </w:tcPr>
          <w:p w14:paraId="41C1B9D5" w14:textId="03BCFCA3" w:rsidR="007F04D6" w:rsidRPr="00BA37F3" w:rsidRDefault="007F04D6" w:rsidP="007F04D6">
            <w:pPr>
              <w:jc w:val="center"/>
              <w:rPr>
                <w:color w:val="FF0000"/>
                <w:lang w:val="fr-FR"/>
              </w:rPr>
            </w:pPr>
            <w:r>
              <w:rPr>
                <w:color w:val="000000" w:themeColor="text1"/>
              </w:rPr>
              <w:t>6,11</w:t>
            </w:r>
          </w:p>
        </w:tc>
      </w:tr>
    </w:tbl>
    <w:p w14:paraId="4C6D01BE" w14:textId="77777777" w:rsidR="00E437D5" w:rsidRPr="00BD15C9" w:rsidRDefault="00E437D5" w:rsidP="003647AB">
      <w:pPr>
        <w:jc w:val="both"/>
        <w:rPr>
          <w:lang w:val="fr-FR"/>
        </w:rPr>
      </w:pPr>
    </w:p>
    <w:p w14:paraId="16D9E46E" w14:textId="5EFB350C" w:rsidR="00F23CD3" w:rsidRPr="00BD15C9" w:rsidRDefault="00F64608" w:rsidP="00B176EF">
      <w:pPr>
        <w:jc w:val="center"/>
        <w:rPr>
          <w:lang w:val="fr-FR"/>
        </w:rPr>
      </w:pPr>
      <w:r>
        <w:rPr>
          <w:noProof/>
        </w:rPr>
        <w:drawing>
          <wp:inline distT="0" distB="0" distL="0" distR="0" wp14:anchorId="662EFD86" wp14:editId="15A3CFF4">
            <wp:extent cx="5257800" cy="2200275"/>
            <wp:effectExtent l="0" t="0" r="0" b="9525"/>
            <wp:docPr id="25" name="Graphique 25">
              <a:extLst xmlns:a="http://schemas.openxmlformats.org/drawingml/2006/main">
                <a:ext uri="{FF2B5EF4-FFF2-40B4-BE49-F238E27FC236}">
                  <a16:creationId xmlns:a16="http://schemas.microsoft.com/office/drawing/2014/main" id="{8B92B64C-B1D9-4845-AD7F-0335B7F502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401D0D2D" w14:textId="436FAF1C" w:rsidR="00F23CD3" w:rsidRPr="00BD15C9" w:rsidRDefault="00FB758F" w:rsidP="00384923">
      <w:pPr>
        <w:pStyle w:val="Lgende"/>
        <w:jc w:val="center"/>
        <w:rPr>
          <w:lang w:val="fr-FR"/>
        </w:rPr>
      </w:pPr>
      <w:r w:rsidRPr="00B76985">
        <w:rPr>
          <w:lang w:val="fr-BE"/>
        </w:rPr>
        <w:t xml:space="preserve">Figure </w:t>
      </w:r>
      <w:r>
        <w:fldChar w:fldCharType="begin"/>
      </w:r>
      <w:r w:rsidRPr="00B76985">
        <w:rPr>
          <w:lang w:val="fr-BE"/>
        </w:rPr>
        <w:instrText xml:space="preserve"> SEQ Figure \* ARABIC </w:instrText>
      </w:r>
      <w:r>
        <w:fldChar w:fldCharType="separate"/>
      </w:r>
      <w:r w:rsidR="00B176EF">
        <w:rPr>
          <w:noProof/>
          <w:lang w:val="fr-BE"/>
        </w:rPr>
        <w:t>19</w:t>
      </w:r>
      <w:r>
        <w:fldChar w:fldCharType="end"/>
      </w:r>
      <w:r w:rsidRPr="00B76985">
        <w:rPr>
          <w:lang w:val="fr-BE"/>
        </w:rPr>
        <w:t>: nombre d'enregistrements par intervalle de quantités distribuées, mélangées ou autre</w:t>
      </w:r>
      <w:r w:rsidR="00603A8D">
        <w:rPr>
          <w:lang w:val="fr-BE"/>
        </w:rPr>
        <w:t>, en 2020</w:t>
      </w:r>
    </w:p>
    <w:p w14:paraId="55BB0270" w14:textId="66CDECBC" w:rsidR="002C5D33" w:rsidRDefault="00FD1C22" w:rsidP="003647AB">
      <w:pPr>
        <w:jc w:val="both"/>
        <w:rPr>
          <w:lang w:val="fr-FR"/>
        </w:rPr>
      </w:pPr>
      <w:r w:rsidRPr="00BD15C9">
        <w:rPr>
          <w:lang w:val="fr-FR"/>
        </w:rPr>
        <w:lastRenderedPageBreak/>
        <w:t>Tout comme pour la mise sur le marché, la majeure partie des enregistrements des distributeurs mentionnent des quantités entre 100 kg et 1 tonne.</w:t>
      </w:r>
    </w:p>
    <w:p w14:paraId="04FFDA57" w14:textId="77777777" w:rsidR="00B72BB5" w:rsidRPr="00BD15C9" w:rsidRDefault="00B72BB5" w:rsidP="003647AB">
      <w:pPr>
        <w:jc w:val="both"/>
        <w:rPr>
          <w:lang w:val="fr-FR"/>
        </w:rPr>
      </w:pPr>
    </w:p>
    <w:p w14:paraId="025971F6" w14:textId="02B328AA" w:rsidR="00EE662C" w:rsidRPr="00BD15C9" w:rsidRDefault="004F0181" w:rsidP="00C95796">
      <w:pPr>
        <w:pStyle w:val="Titre3"/>
      </w:pPr>
      <w:bookmarkStart w:id="77" w:name="_Toc76034187"/>
      <w:r w:rsidRPr="00BD15C9">
        <w:t xml:space="preserve">Liste des </w:t>
      </w:r>
      <w:r w:rsidRPr="00205545">
        <w:t>substances importées et/ou produites en quantités supérieures à 1 000 tonnes</w:t>
      </w:r>
      <w:bookmarkEnd w:id="77"/>
    </w:p>
    <w:p w14:paraId="3C7593BA" w14:textId="45D7096E" w:rsidR="00EE662C" w:rsidRPr="00C82403" w:rsidRDefault="0090705E" w:rsidP="00C82403">
      <w:pPr>
        <w:jc w:val="both"/>
        <w:rPr>
          <w:lang w:val="fr-FR"/>
        </w:rPr>
      </w:pPr>
      <w:r w:rsidRPr="007F04D6">
        <w:rPr>
          <w:lang w:val="fr-FR"/>
        </w:rPr>
        <w:t>Sur la base des informations enregistrées, en 20</w:t>
      </w:r>
      <w:r w:rsidR="00E149B6" w:rsidRPr="007F04D6">
        <w:rPr>
          <w:lang w:val="fr-FR"/>
        </w:rPr>
        <w:t>20</w:t>
      </w:r>
      <w:r w:rsidRPr="007F04D6">
        <w:rPr>
          <w:lang w:val="fr-FR"/>
        </w:rPr>
        <w:t>, en Belgique,</w:t>
      </w:r>
      <w:r w:rsidR="00020D0F" w:rsidRPr="007F04D6">
        <w:rPr>
          <w:lang w:val="fr-FR"/>
        </w:rPr>
        <w:t xml:space="preserve"> </w:t>
      </w:r>
      <w:r w:rsidR="00E149B6" w:rsidRPr="007F04D6">
        <w:rPr>
          <w:lang w:val="fr-FR"/>
        </w:rPr>
        <w:t>61.856,65</w:t>
      </w:r>
      <w:r w:rsidRPr="007F04D6">
        <w:rPr>
          <w:lang w:val="fr-FR"/>
        </w:rPr>
        <w:t xml:space="preserve"> tonnes de substances à l'état nanoparticulaire ont été importées et </w:t>
      </w:r>
      <w:r w:rsidR="00E149B6" w:rsidRPr="007F04D6">
        <w:rPr>
          <w:lang w:val="fr-FR"/>
        </w:rPr>
        <w:t>35.010,77</w:t>
      </w:r>
      <w:r w:rsidRPr="007F04D6">
        <w:rPr>
          <w:lang w:val="fr-FR"/>
        </w:rPr>
        <w:t xml:space="preserve"> tonnes ont été manufacturées.</w:t>
      </w:r>
      <w:r w:rsidRPr="00C82403">
        <w:rPr>
          <w:lang w:val="fr-FR"/>
        </w:rPr>
        <w:t xml:space="preserve"> </w:t>
      </w:r>
    </w:p>
    <w:p w14:paraId="05B12A9B" w14:textId="26C2E8AE" w:rsidR="007257B9" w:rsidRDefault="007257B9" w:rsidP="004F0181">
      <w:pPr>
        <w:jc w:val="both"/>
        <w:rPr>
          <w:lang w:val="fr-FR"/>
        </w:rPr>
      </w:pPr>
      <w:r w:rsidRPr="00BD15C9">
        <w:rPr>
          <w:lang w:val="fr-FR"/>
        </w:rPr>
        <w:t>Le tableau ci-dessous reprend la liste des substances qui ont été mises sur le marché belge en quantité totale supérieure 1</w:t>
      </w:r>
      <w:r w:rsidR="00621D65">
        <w:rPr>
          <w:lang w:val="fr-FR"/>
        </w:rPr>
        <w:t>.</w:t>
      </w:r>
      <w:r w:rsidRPr="00BD15C9">
        <w:rPr>
          <w:lang w:val="fr-FR"/>
        </w:rPr>
        <w:t xml:space="preserve">000 tonnes. Cette quantité concerne la somme de tous les enregistrements soumis pour le nom générique mentionné. </w:t>
      </w:r>
    </w:p>
    <w:tbl>
      <w:tblPr>
        <w:tblStyle w:val="Grilledutableau1"/>
        <w:tblW w:w="0" w:type="auto"/>
        <w:tblInd w:w="0" w:type="dxa"/>
        <w:tblLook w:val="04A0" w:firstRow="1" w:lastRow="0" w:firstColumn="1" w:lastColumn="0" w:noHBand="0" w:noVBand="1"/>
      </w:tblPr>
      <w:tblGrid>
        <w:gridCol w:w="7083"/>
      </w:tblGrid>
      <w:tr w:rsidR="007F04D6" w:rsidRPr="007F1FE2" w14:paraId="0C01836E" w14:textId="77777777" w:rsidTr="007F04D6">
        <w:trPr>
          <w:trHeight w:val="288"/>
        </w:trPr>
        <w:tc>
          <w:tcPr>
            <w:tcW w:w="7083" w:type="dxa"/>
            <w:tcBorders>
              <w:top w:val="single" w:sz="4" w:space="0" w:color="auto"/>
              <w:left w:val="single" w:sz="4" w:space="0" w:color="auto"/>
              <w:bottom w:val="single" w:sz="4" w:space="0" w:color="auto"/>
              <w:right w:val="single" w:sz="4" w:space="0" w:color="auto"/>
            </w:tcBorders>
            <w:noWrap/>
            <w:hideMark/>
          </w:tcPr>
          <w:p w14:paraId="1E35AB83" w14:textId="4951F8F2" w:rsidR="007F04D6" w:rsidRPr="007F04D6" w:rsidRDefault="007F04D6" w:rsidP="007F04D6">
            <w:pPr>
              <w:spacing w:line="256" w:lineRule="auto"/>
              <w:rPr>
                <w:b/>
                <w:bCs/>
                <w:lang w:val="fr-BE"/>
              </w:rPr>
            </w:pPr>
            <w:r w:rsidRPr="00BD15C9">
              <w:rPr>
                <w:b/>
                <w:i/>
                <w:lang w:val="fr-FR"/>
              </w:rPr>
              <w:t xml:space="preserve">Tableau : nom générique des nanomatériaux produits </w:t>
            </w:r>
            <w:r w:rsidRPr="00775288">
              <w:rPr>
                <w:b/>
                <w:i/>
                <w:lang w:val="fr-FR"/>
              </w:rPr>
              <w:t>en 20</w:t>
            </w:r>
            <w:r>
              <w:rPr>
                <w:b/>
                <w:i/>
                <w:lang w:val="fr-FR"/>
              </w:rPr>
              <w:t>20</w:t>
            </w:r>
            <w:r w:rsidRPr="00775288">
              <w:rPr>
                <w:b/>
                <w:i/>
                <w:lang w:val="fr-FR"/>
              </w:rPr>
              <w:t xml:space="preserve"> et</w:t>
            </w:r>
            <w:r>
              <w:rPr>
                <w:b/>
                <w:i/>
                <w:lang w:val="fr-FR"/>
              </w:rPr>
              <w:t>/</w:t>
            </w:r>
            <w:r w:rsidRPr="00BD15C9">
              <w:rPr>
                <w:b/>
                <w:i/>
                <w:lang w:val="fr-FR"/>
              </w:rPr>
              <w:t>ou importés en quantité &gt; 1 000 t</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tblGrid>
      <w:tr w:rsidR="007F04D6" w:rsidRPr="007F04D6" w14:paraId="11BB06D0" w14:textId="77777777" w:rsidTr="007F04D6">
        <w:trPr>
          <w:trHeight w:val="288"/>
        </w:trPr>
        <w:tc>
          <w:tcPr>
            <w:tcW w:w="7083" w:type="dxa"/>
            <w:noWrap/>
            <w:hideMark/>
          </w:tcPr>
          <w:p w14:paraId="311BC756" w14:textId="77777777" w:rsidR="007F04D6" w:rsidRPr="007F04D6" w:rsidRDefault="007F04D6" w:rsidP="007F04D6">
            <w:pPr>
              <w:spacing w:line="256" w:lineRule="auto"/>
              <w:rPr>
                <w:rFonts w:ascii="Calibri" w:eastAsia="Calibri" w:hAnsi="Calibri" w:cs="Times New Roman"/>
              </w:rPr>
            </w:pPr>
            <w:r w:rsidRPr="007F04D6">
              <w:rPr>
                <w:rFonts w:ascii="Calibri" w:eastAsia="Calibri" w:hAnsi="Calibri" w:cs="Times New Roman"/>
              </w:rPr>
              <w:t>Carbon black</w:t>
            </w:r>
          </w:p>
        </w:tc>
      </w:tr>
      <w:tr w:rsidR="007F04D6" w:rsidRPr="007F04D6" w14:paraId="74A35E38" w14:textId="77777777" w:rsidTr="007F04D6">
        <w:trPr>
          <w:trHeight w:val="288"/>
        </w:trPr>
        <w:tc>
          <w:tcPr>
            <w:tcW w:w="7083" w:type="dxa"/>
            <w:noWrap/>
            <w:hideMark/>
          </w:tcPr>
          <w:p w14:paraId="4F010180" w14:textId="77777777" w:rsidR="007F04D6" w:rsidRPr="007F04D6" w:rsidRDefault="007F04D6" w:rsidP="007F04D6">
            <w:pPr>
              <w:spacing w:line="256" w:lineRule="auto"/>
              <w:rPr>
                <w:rFonts w:ascii="Calibri" w:eastAsia="Calibri" w:hAnsi="Calibri" w:cs="Times New Roman"/>
              </w:rPr>
            </w:pPr>
            <w:r w:rsidRPr="007F04D6">
              <w:rPr>
                <w:rFonts w:ascii="Calibri" w:eastAsia="Calibri" w:hAnsi="Calibri" w:cs="Times New Roman"/>
              </w:rPr>
              <w:t>Calcium carbonate</w:t>
            </w:r>
          </w:p>
        </w:tc>
      </w:tr>
      <w:tr w:rsidR="007F04D6" w:rsidRPr="007F04D6" w14:paraId="6EB80DA4" w14:textId="77777777" w:rsidTr="007F04D6">
        <w:trPr>
          <w:trHeight w:val="288"/>
        </w:trPr>
        <w:tc>
          <w:tcPr>
            <w:tcW w:w="7083" w:type="dxa"/>
            <w:noWrap/>
            <w:hideMark/>
          </w:tcPr>
          <w:p w14:paraId="3A627890" w14:textId="77777777" w:rsidR="007F04D6" w:rsidRPr="00591D0C" w:rsidRDefault="007F04D6" w:rsidP="007F04D6">
            <w:pPr>
              <w:spacing w:line="256" w:lineRule="auto"/>
              <w:rPr>
                <w:rFonts w:ascii="Calibri" w:eastAsia="Calibri" w:hAnsi="Calibri" w:cs="Times New Roman"/>
              </w:rPr>
            </w:pPr>
            <w:r w:rsidRPr="00591D0C">
              <w:rPr>
                <w:rFonts w:ascii="Calibri" w:eastAsia="Calibri" w:hAnsi="Calibri" w:cs="Times New Roman"/>
              </w:rPr>
              <w:t>Silicon dioxide; synthetic amorphous silicon dioxide (nano)</w:t>
            </w:r>
          </w:p>
        </w:tc>
      </w:tr>
      <w:tr w:rsidR="007F04D6" w:rsidRPr="007F04D6" w14:paraId="0E7689B7" w14:textId="77777777" w:rsidTr="007F04D6">
        <w:trPr>
          <w:trHeight w:val="288"/>
        </w:trPr>
        <w:tc>
          <w:tcPr>
            <w:tcW w:w="7083" w:type="dxa"/>
            <w:noWrap/>
            <w:hideMark/>
          </w:tcPr>
          <w:p w14:paraId="25F04AE9" w14:textId="77777777" w:rsidR="007F04D6" w:rsidRPr="007F04D6" w:rsidRDefault="007F04D6" w:rsidP="007F04D6">
            <w:pPr>
              <w:spacing w:line="256" w:lineRule="auto"/>
              <w:rPr>
                <w:rFonts w:ascii="Calibri" w:eastAsia="Calibri" w:hAnsi="Calibri" w:cs="Times New Roman"/>
              </w:rPr>
            </w:pPr>
            <w:r w:rsidRPr="007F04D6">
              <w:rPr>
                <w:rFonts w:ascii="Calibri" w:eastAsia="Calibri" w:hAnsi="Calibri" w:cs="Times New Roman"/>
              </w:rPr>
              <w:t xml:space="preserve">Sodium </w:t>
            </w:r>
            <w:proofErr w:type="spellStart"/>
            <w:r w:rsidRPr="007F04D6">
              <w:rPr>
                <w:rFonts w:ascii="Calibri" w:eastAsia="Calibri" w:hAnsi="Calibri" w:cs="Times New Roman"/>
              </w:rPr>
              <w:t>hydrogencarbonate</w:t>
            </w:r>
            <w:proofErr w:type="spellEnd"/>
          </w:p>
        </w:tc>
      </w:tr>
      <w:tr w:rsidR="007F04D6" w:rsidRPr="007F04D6" w14:paraId="02CBFA39" w14:textId="77777777" w:rsidTr="007F04D6">
        <w:trPr>
          <w:trHeight w:val="288"/>
        </w:trPr>
        <w:tc>
          <w:tcPr>
            <w:tcW w:w="7083" w:type="dxa"/>
            <w:noWrap/>
            <w:hideMark/>
          </w:tcPr>
          <w:p w14:paraId="748DE661" w14:textId="77777777" w:rsidR="007F04D6" w:rsidRPr="007F04D6" w:rsidRDefault="007F04D6" w:rsidP="007F04D6">
            <w:pPr>
              <w:spacing w:line="256" w:lineRule="auto"/>
              <w:rPr>
                <w:rFonts w:ascii="Calibri" w:eastAsia="Calibri" w:hAnsi="Calibri" w:cs="Times New Roman"/>
              </w:rPr>
            </w:pPr>
            <w:r w:rsidRPr="007F04D6">
              <w:rPr>
                <w:rFonts w:ascii="Calibri" w:eastAsia="Calibri" w:hAnsi="Calibri" w:cs="Times New Roman"/>
              </w:rPr>
              <w:t>Diiron trioxide</w:t>
            </w:r>
          </w:p>
        </w:tc>
      </w:tr>
      <w:tr w:rsidR="007F04D6" w:rsidRPr="007F04D6" w14:paraId="686DF01C" w14:textId="77777777" w:rsidTr="007F04D6">
        <w:trPr>
          <w:trHeight w:val="288"/>
        </w:trPr>
        <w:tc>
          <w:tcPr>
            <w:tcW w:w="7083" w:type="dxa"/>
            <w:noWrap/>
            <w:hideMark/>
          </w:tcPr>
          <w:p w14:paraId="664B0E3C" w14:textId="77777777" w:rsidR="007F04D6" w:rsidRPr="007F04D6" w:rsidRDefault="007F04D6" w:rsidP="007F04D6">
            <w:pPr>
              <w:spacing w:line="256" w:lineRule="auto"/>
              <w:rPr>
                <w:rFonts w:ascii="Calibri" w:eastAsia="Calibri" w:hAnsi="Calibri" w:cs="Times New Roman"/>
              </w:rPr>
            </w:pPr>
            <w:r w:rsidRPr="007F04D6">
              <w:rPr>
                <w:rFonts w:ascii="Calibri" w:eastAsia="Calibri" w:hAnsi="Calibri" w:cs="Times New Roman"/>
              </w:rPr>
              <w:t>Pigment Blue 15</w:t>
            </w:r>
          </w:p>
        </w:tc>
      </w:tr>
    </w:tbl>
    <w:p w14:paraId="1E6520E6" w14:textId="77777777" w:rsidR="007F04D6" w:rsidRDefault="007F04D6" w:rsidP="004F0181">
      <w:pPr>
        <w:jc w:val="both"/>
        <w:rPr>
          <w:lang w:val="fr-FR"/>
        </w:rPr>
      </w:pPr>
    </w:p>
    <w:p w14:paraId="0958065C" w14:textId="77777777" w:rsidR="007F04D6" w:rsidRPr="00BD15C9" w:rsidRDefault="007F04D6" w:rsidP="004F0181">
      <w:pPr>
        <w:jc w:val="both"/>
        <w:rPr>
          <w:lang w:val="fr-FR"/>
        </w:rPr>
      </w:pPr>
    </w:p>
    <w:p w14:paraId="44B598CA" w14:textId="27A3C456" w:rsidR="00D06100" w:rsidRPr="00BD15C9" w:rsidRDefault="007E5A5C" w:rsidP="00BB22C7">
      <w:pPr>
        <w:pStyle w:val="Titre1"/>
        <w:rPr>
          <w:lang w:val="fr-FR"/>
        </w:rPr>
      </w:pPr>
      <w:bookmarkStart w:id="78" w:name="_Toc76034188"/>
      <w:r w:rsidRPr="00BD15C9">
        <w:rPr>
          <w:lang w:val="fr-FR"/>
        </w:rPr>
        <w:t>Évaluation des enregistrements soumis</w:t>
      </w:r>
      <w:bookmarkEnd w:id="78"/>
      <w:r w:rsidRPr="00BD15C9">
        <w:rPr>
          <w:lang w:val="fr-FR"/>
        </w:rPr>
        <w:t xml:space="preserve"> </w:t>
      </w:r>
    </w:p>
    <w:p w14:paraId="05B35B0C" w14:textId="1717142C" w:rsidR="0071282B" w:rsidRPr="003B5AC1" w:rsidRDefault="0071282B" w:rsidP="00281DD2">
      <w:pPr>
        <w:rPr>
          <w:lang w:val="fr-FR"/>
        </w:rPr>
      </w:pPr>
      <w:r w:rsidRPr="003B5AC1">
        <w:rPr>
          <w:lang w:val="fr-FR"/>
        </w:rPr>
        <w:t xml:space="preserve">Pour l'évaluation des enregistrements soumis, les </w:t>
      </w:r>
      <w:r w:rsidR="0090385E">
        <w:rPr>
          <w:lang w:val="fr-FR"/>
        </w:rPr>
        <w:t>dossiers enregistrés</w:t>
      </w:r>
      <w:r w:rsidR="0090385E" w:rsidRPr="003B5AC1">
        <w:rPr>
          <w:lang w:val="fr-FR"/>
        </w:rPr>
        <w:t xml:space="preserve"> </w:t>
      </w:r>
      <w:r w:rsidRPr="003B5AC1">
        <w:rPr>
          <w:lang w:val="fr-FR"/>
        </w:rPr>
        <w:t>ont été subdivisés en 3 groupes :</w:t>
      </w:r>
    </w:p>
    <w:p w14:paraId="4CB890C8" w14:textId="77777777" w:rsidR="0071282B" w:rsidRPr="003B5AC1" w:rsidRDefault="0071282B" w:rsidP="0071282B">
      <w:pPr>
        <w:pStyle w:val="Paragraphedeliste"/>
        <w:numPr>
          <w:ilvl w:val="0"/>
          <w:numId w:val="15"/>
        </w:numPr>
        <w:rPr>
          <w:lang w:val="fr-FR"/>
        </w:rPr>
      </w:pPr>
      <w:r w:rsidRPr="003B5AC1">
        <w:rPr>
          <w:lang w:val="fr-FR"/>
        </w:rPr>
        <w:t>Les enregistrements simplifiés</w:t>
      </w:r>
    </w:p>
    <w:p w14:paraId="5F97360D" w14:textId="2DE3E7BA" w:rsidR="0071282B" w:rsidRPr="003B5AC1" w:rsidRDefault="0071282B" w:rsidP="0071282B">
      <w:pPr>
        <w:pStyle w:val="Paragraphedeliste"/>
        <w:numPr>
          <w:ilvl w:val="0"/>
          <w:numId w:val="15"/>
        </w:numPr>
        <w:rPr>
          <w:lang w:val="fr-FR"/>
        </w:rPr>
      </w:pPr>
      <w:r w:rsidRPr="003B5AC1">
        <w:rPr>
          <w:lang w:val="fr-FR"/>
        </w:rPr>
        <w:t xml:space="preserve">Les enregistrements des substances mises sur le marché belge à des fins commerciales. </w:t>
      </w:r>
    </w:p>
    <w:p w14:paraId="4701720E" w14:textId="6B6DA9C2" w:rsidR="00201C86" w:rsidRPr="003B5AC1" w:rsidRDefault="00621D65" w:rsidP="00201C86">
      <w:pPr>
        <w:pStyle w:val="Paragraphedeliste"/>
        <w:numPr>
          <w:ilvl w:val="0"/>
          <w:numId w:val="15"/>
        </w:numPr>
        <w:rPr>
          <w:lang w:val="fr-FR"/>
        </w:rPr>
      </w:pPr>
      <w:r w:rsidRPr="003B5AC1">
        <w:rPr>
          <w:lang w:val="fr-FR"/>
        </w:rPr>
        <w:t>L</w:t>
      </w:r>
      <w:r w:rsidR="00201C86" w:rsidRPr="003B5AC1">
        <w:rPr>
          <w:lang w:val="fr-FR"/>
        </w:rPr>
        <w:t>es enregistrements soumis par le Fournisseur étranger</w:t>
      </w:r>
    </w:p>
    <w:p w14:paraId="7B25E9A7" w14:textId="06DA799D" w:rsidR="00FF0660" w:rsidRDefault="00B30ED5" w:rsidP="002451BC">
      <w:pPr>
        <w:jc w:val="both"/>
        <w:rPr>
          <w:highlight w:val="yellow"/>
          <w:lang w:val="fr-FR"/>
        </w:rPr>
      </w:pPr>
      <w:r w:rsidRPr="003B5AC1">
        <w:rPr>
          <w:lang w:val="fr-FR"/>
        </w:rPr>
        <w:t xml:space="preserve">Ces dossiers ont été analysés par Sciensano au cours de deux phases. La première phase visait à </w:t>
      </w:r>
      <w:r w:rsidR="00621D65" w:rsidRPr="003B5AC1">
        <w:rPr>
          <w:lang w:val="fr-FR"/>
        </w:rPr>
        <w:t>évaluer</w:t>
      </w:r>
      <w:r w:rsidRPr="003B5AC1">
        <w:rPr>
          <w:lang w:val="fr-FR"/>
        </w:rPr>
        <w:t xml:space="preserve"> les données de 2017, et la seconde, les données de 2018.</w:t>
      </w:r>
      <w:r w:rsidR="00FF0660" w:rsidRPr="003B5AC1">
        <w:rPr>
          <w:lang w:val="fr-FR"/>
        </w:rPr>
        <w:t xml:space="preserve"> Les enregistrements simplifiés avaient déjà fait l’objet d’une évaluation</w:t>
      </w:r>
      <w:r w:rsidR="00621D65" w:rsidRPr="003B5AC1">
        <w:rPr>
          <w:lang w:val="fr-FR"/>
        </w:rPr>
        <w:t xml:space="preserve"> précédente</w:t>
      </w:r>
      <w:r w:rsidR="00FF0660" w:rsidRPr="003B5AC1">
        <w:rPr>
          <w:lang w:val="fr-FR"/>
        </w:rPr>
        <w:t xml:space="preserve">. </w:t>
      </w:r>
    </w:p>
    <w:p w14:paraId="2F62C780" w14:textId="18BFC7B7" w:rsidR="0074771E" w:rsidRDefault="00FF0660" w:rsidP="00384923">
      <w:pPr>
        <w:jc w:val="both"/>
        <w:rPr>
          <w:highlight w:val="yellow"/>
          <w:lang w:val="fr-FR"/>
        </w:rPr>
      </w:pPr>
      <w:r w:rsidRPr="003B5AC1">
        <w:rPr>
          <w:lang w:val="fr-FR"/>
        </w:rPr>
        <w:t xml:space="preserve">Pour l’année de commerce 2018, </w:t>
      </w:r>
      <w:r w:rsidR="007D7ED9">
        <w:rPr>
          <w:lang w:val="fr-FR"/>
        </w:rPr>
        <w:t>190 différents matériaux ont été identifiés à travers tous les enregistrements. L</w:t>
      </w:r>
      <w:r w:rsidRPr="003B5AC1">
        <w:rPr>
          <w:lang w:val="fr-FR"/>
        </w:rPr>
        <w:t>a qualité des données et la compliance des enregistrements (donc le fait de fournir les données obligatoires</w:t>
      </w:r>
      <w:r w:rsidR="00D35AB8" w:rsidRPr="003B5AC1">
        <w:rPr>
          <w:lang w:val="fr-FR"/>
        </w:rPr>
        <w:t xml:space="preserve"> ou la déclaration sur l’honneur en cas d’enregistrement simplifié</w:t>
      </w:r>
      <w:r w:rsidRPr="003B5AC1">
        <w:rPr>
          <w:lang w:val="fr-FR"/>
        </w:rPr>
        <w:t xml:space="preserve">) ont été évaluées. </w:t>
      </w:r>
      <w:r w:rsidR="0074771E">
        <w:rPr>
          <w:lang w:val="fr-FR"/>
        </w:rPr>
        <w:t xml:space="preserve">Il ressort de l’évaluation que cette </w:t>
      </w:r>
      <w:r w:rsidR="0074771E" w:rsidRPr="0074771E">
        <w:rPr>
          <w:lang w:val="fr-FR"/>
        </w:rPr>
        <w:t>dernière</w:t>
      </w:r>
      <w:r w:rsidR="00DC09F9" w:rsidRPr="003B5AC1">
        <w:rPr>
          <w:lang w:val="fr-FR"/>
        </w:rPr>
        <w:t xml:space="preserve"> équivalait à 94 %. </w:t>
      </w:r>
      <w:r w:rsidR="00655D56">
        <w:rPr>
          <w:lang w:val="fr-FR"/>
        </w:rPr>
        <w:t>Il est à noter que l’identification de la substance chimique ne permet pas de distinguer de possibles différences dans les propriétés physico-chimiques de celle-ci.</w:t>
      </w:r>
    </w:p>
    <w:p w14:paraId="6051F0E5" w14:textId="07E00C22" w:rsidR="00247168" w:rsidRDefault="00DC09F9" w:rsidP="00384923">
      <w:pPr>
        <w:jc w:val="both"/>
        <w:rPr>
          <w:lang w:val="fr-FR"/>
        </w:rPr>
      </w:pPr>
      <w:r w:rsidRPr="003B5AC1">
        <w:rPr>
          <w:lang w:val="fr-FR"/>
        </w:rPr>
        <w:lastRenderedPageBreak/>
        <w:t xml:space="preserve">Pour les dossiers « complets » (non simplifiés ou limités), </w:t>
      </w:r>
      <w:r w:rsidR="0074771E" w:rsidRPr="003B5AC1">
        <w:rPr>
          <w:lang w:val="fr-FR"/>
        </w:rPr>
        <w:t xml:space="preserve">la plupart des données nécessaires était disponible. Cependant, l’information sur l’incertitude de mesure de la taille de la substance </w:t>
      </w:r>
      <w:r w:rsidR="006F3E43">
        <w:rPr>
          <w:lang w:val="fr-FR"/>
        </w:rPr>
        <w:t xml:space="preserve">nanoparticulaire </w:t>
      </w:r>
      <w:r w:rsidR="0074771E" w:rsidRPr="003B5AC1">
        <w:rPr>
          <w:lang w:val="fr-FR"/>
        </w:rPr>
        <w:t>manquait dans 12 % des dossiers.</w:t>
      </w:r>
      <w:r w:rsidR="00094801">
        <w:rPr>
          <w:lang w:val="fr-FR"/>
        </w:rPr>
        <w:t xml:space="preserve"> </w:t>
      </w:r>
      <w:r w:rsidR="006F3E43">
        <w:rPr>
          <w:lang w:val="fr-FR"/>
        </w:rPr>
        <w:t>Par ailleurs, comme en 2017, l</w:t>
      </w:r>
      <w:r w:rsidR="00094801">
        <w:rPr>
          <w:lang w:val="fr-FR"/>
        </w:rPr>
        <w:t xml:space="preserve">e numéro d’enregistrement REACH n’était pas repris dans 29 % des enregistrements, </w:t>
      </w:r>
      <w:r w:rsidR="000C7413">
        <w:rPr>
          <w:lang w:val="fr-FR"/>
        </w:rPr>
        <w:t>et il en est de même pour</w:t>
      </w:r>
      <w:r w:rsidR="00094801">
        <w:rPr>
          <w:lang w:val="fr-FR"/>
        </w:rPr>
        <w:t xml:space="preserve"> la méthode de détermination des impuretés ou </w:t>
      </w:r>
      <w:r w:rsidR="000C7413">
        <w:rPr>
          <w:lang w:val="fr-FR"/>
        </w:rPr>
        <w:t xml:space="preserve">pour </w:t>
      </w:r>
      <w:r w:rsidR="00094801">
        <w:rPr>
          <w:lang w:val="fr-FR"/>
        </w:rPr>
        <w:t>les secteurs d’utilisation (avec 80 % et 71 % des dossiers remplis, respectivement).</w:t>
      </w:r>
    </w:p>
    <w:p w14:paraId="09F767E2" w14:textId="76EC3DCD" w:rsidR="007D7ED9" w:rsidRDefault="007D7ED9" w:rsidP="00384923">
      <w:pPr>
        <w:jc w:val="both"/>
        <w:rPr>
          <w:lang w:val="fr-FR"/>
        </w:rPr>
      </w:pPr>
      <w:r>
        <w:rPr>
          <w:lang w:val="fr-FR"/>
        </w:rPr>
        <w:t xml:space="preserve">Les méthodes utilisées pour déterminer les caractéristiques physico-chimiques des matériaux nanométriques étaient </w:t>
      </w:r>
      <w:r w:rsidR="006F3E43">
        <w:rPr>
          <w:lang w:val="fr-FR"/>
        </w:rPr>
        <w:t>standardisées</w:t>
      </w:r>
      <w:r>
        <w:rPr>
          <w:lang w:val="fr-FR"/>
        </w:rPr>
        <w:t xml:space="preserve"> (</w:t>
      </w:r>
      <w:r w:rsidR="00946CC4">
        <w:rPr>
          <w:lang w:val="fr-FR"/>
        </w:rPr>
        <w:t>microscopie électronique pour la taille des particules or des agrégats ; BET pour la surface spécifique moyenne).</w:t>
      </w:r>
    </w:p>
    <w:p w14:paraId="4D276907" w14:textId="5E83F37F" w:rsidR="0074771E" w:rsidRDefault="0074771E" w:rsidP="00384923">
      <w:pPr>
        <w:jc w:val="both"/>
        <w:rPr>
          <w:lang w:val="fr-FR"/>
        </w:rPr>
      </w:pPr>
      <w:r>
        <w:rPr>
          <w:lang w:val="fr-FR"/>
        </w:rPr>
        <w:t xml:space="preserve">Dans 98 % des enregistrements simplifiés, </w:t>
      </w:r>
      <w:r w:rsidR="00946CC4">
        <w:rPr>
          <w:lang w:val="fr-FR"/>
        </w:rPr>
        <w:t xml:space="preserve">les numéros d’enregistrement précédents étaient mentionnés correctement. Plus de 93 % des dossiers </w:t>
      </w:r>
      <w:r w:rsidR="006F3E43">
        <w:rPr>
          <w:lang w:val="fr-FR"/>
        </w:rPr>
        <w:t>ont soumis</w:t>
      </w:r>
      <w:r w:rsidR="00946CC4">
        <w:rPr>
          <w:lang w:val="fr-FR"/>
        </w:rPr>
        <w:t xml:space="preserve"> les caractéristiques physico-chimiques des substances.</w:t>
      </w:r>
    </w:p>
    <w:p w14:paraId="4F45061A" w14:textId="7F532A7F" w:rsidR="00496130" w:rsidRDefault="00496130" w:rsidP="00384923">
      <w:pPr>
        <w:jc w:val="both"/>
        <w:rPr>
          <w:lang w:val="fr-FR"/>
        </w:rPr>
      </w:pPr>
      <w:r>
        <w:rPr>
          <w:lang w:val="fr-FR"/>
        </w:rPr>
        <w:t xml:space="preserve">Il apparaît finalement que 77 % des enregistrements concernent des </w:t>
      </w:r>
      <w:r w:rsidR="006F3E43">
        <w:rPr>
          <w:lang w:val="fr-FR"/>
        </w:rPr>
        <w:t xml:space="preserve">substances en </w:t>
      </w:r>
      <w:r>
        <w:rPr>
          <w:lang w:val="fr-FR"/>
        </w:rPr>
        <w:t>quantité variant entre 10 k</w:t>
      </w:r>
      <w:r w:rsidR="000C7413">
        <w:rPr>
          <w:lang w:val="fr-FR"/>
        </w:rPr>
        <w:t>ilogrammes</w:t>
      </w:r>
      <w:r>
        <w:rPr>
          <w:lang w:val="fr-FR"/>
        </w:rPr>
        <w:t xml:space="preserve"> et 100 tonnes. </w:t>
      </w:r>
      <w:r w:rsidR="006F3E43">
        <w:rPr>
          <w:lang w:val="fr-FR"/>
        </w:rPr>
        <w:t>A peine p</w:t>
      </w:r>
      <w:r>
        <w:rPr>
          <w:lang w:val="fr-FR"/>
        </w:rPr>
        <w:t>lus de la moitié</w:t>
      </w:r>
      <w:r w:rsidR="006F3E43">
        <w:rPr>
          <w:lang w:val="fr-FR"/>
        </w:rPr>
        <w:t xml:space="preserve"> (51 %)</w:t>
      </w:r>
      <w:r>
        <w:rPr>
          <w:lang w:val="fr-FR"/>
        </w:rPr>
        <w:t xml:space="preserve"> des enregistrements ont rapporté des quantités inférieures à 1 tonne, et ne tombe dès lors pas sous la législation de REACH.</w:t>
      </w:r>
    </w:p>
    <w:p w14:paraId="4D7C314B" w14:textId="77777777" w:rsidR="00655D56" w:rsidRPr="00384923" w:rsidRDefault="00655D56" w:rsidP="00384923">
      <w:pPr>
        <w:jc w:val="both"/>
        <w:rPr>
          <w:lang w:val="fr-FR"/>
        </w:rPr>
      </w:pPr>
    </w:p>
    <w:p w14:paraId="1EDDD3DB" w14:textId="20D7A889" w:rsidR="00247168" w:rsidRPr="00247168" w:rsidRDefault="00247168" w:rsidP="00B76985">
      <w:pPr>
        <w:pStyle w:val="Titre2"/>
      </w:pPr>
      <w:bookmarkStart w:id="79" w:name="_Toc76034189"/>
      <w:r>
        <w:t xml:space="preserve">Le </w:t>
      </w:r>
      <w:r w:rsidR="00667198">
        <w:t>d</w:t>
      </w:r>
      <w:r>
        <w:t>éclarant</w:t>
      </w:r>
      <w:bookmarkEnd w:id="79"/>
    </w:p>
    <w:p w14:paraId="32F424B1" w14:textId="5D2482E4" w:rsidR="0071282B" w:rsidRPr="00BD15C9" w:rsidRDefault="00C430D7" w:rsidP="00C95796">
      <w:pPr>
        <w:pStyle w:val="Titre3"/>
      </w:pPr>
      <w:bookmarkStart w:id="80" w:name="_Toc76034190"/>
      <w:r w:rsidRPr="00BD15C9">
        <w:t>Enregistrements simplifiés</w:t>
      </w:r>
      <w:bookmarkEnd w:id="80"/>
    </w:p>
    <w:p w14:paraId="5B305F29" w14:textId="77777777" w:rsidR="00BE5297" w:rsidRPr="00BD15C9" w:rsidRDefault="002451BC" w:rsidP="002451BC">
      <w:pPr>
        <w:jc w:val="both"/>
        <w:rPr>
          <w:lang w:val="fr-FR"/>
        </w:rPr>
      </w:pPr>
      <w:r w:rsidRPr="00BD15C9">
        <w:rPr>
          <w:lang w:val="fr-FR"/>
        </w:rPr>
        <w:t xml:space="preserve">Pour un enregistrement simplifié, il faut, outre l'identité du déclarant et l'identification de la substance, chimique, aussi soumettre une déclaration sur l'honneur qui mentionne que le produit enregistré est exclusivement destiné à des fins scientifiques. </w:t>
      </w:r>
    </w:p>
    <w:p w14:paraId="69BF7EF6" w14:textId="2AD6C240" w:rsidR="002451BC" w:rsidRPr="00BD15C9" w:rsidRDefault="002451BC" w:rsidP="002451BC">
      <w:pPr>
        <w:jc w:val="both"/>
        <w:rPr>
          <w:lang w:val="fr-FR"/>
        </w:rPr>
      </w:pPr>
      <w:r w:rsidRPr="00BD15C9">
        <w:rPr>
          <w:lang w:val="fr-FR"/>
        </w:rPr>
        <w:t xml:space="preserve">Dans ce type d'enregistrement, la majorité des problèmes </w:t>
      </w:r>
      <w:r w:rsidR="00667198">
        <w:rPr>
          <w:lang w:val="fr-FR"/>
        </w:rPr>
        <w:t>est liée</w:t>
      </w:r>
      <w:r w:rsidRPr="00BD15C9">
        <w:rPr>
          <w:lang w:val="fr-FR"/>
        </w:rPr>
        <w:t xml:space="preserve"> à cette déclaration, notamment pour les raisons suivantes :</w:t>
      </w:r>
    </w:p>
    <w:p w14:paraId="72767FC0" w14:textId="77777777" w:rsidR="002451BC" w:rsidRPr="00BD15C9" w:rsidRDefault="002451BC" w:rsidP="002451BC">
      <w:pPr>
        <w:pStyle w:val="Paragraphedeliste"/>
        <w:numPr>
          <w:ilvl w:val="0"/>
          <w:numId w:val="33"/>
        </w:numPr>
        <w:jc w:val="both"/>
        <w:rPr>
          <w:lang w:val="fr-FR"/>
        </w:rPr>
      </w:pPr>
      <w:r w:rsidRPr="00BD15C9">
        <w:rPr>
          <w:lang w:val="fr-FR"/>
        </w:rPr>
        <w:t xml:space="preserve">Les déclarations sont absentes </w:t>
      </w:r>
    </w:p>
    <w:p w14:paraId="470FE787" w14:textId="77777777" w:rsidR="002451BC" w:rsidRPr="00BD15C9" w:rsidRDefault="00D231CA" w:rsidP="002451BC">
      <w:pPr>
        <w:pStyle w:val="Paragraphedeliste"/>
        <w:numPr>
          <w:ilvl w:val="0"/>
          <w:numId w:val="33"/>
        </w:numPr>
        <w:jc w:val="both"/>
        <w:rPr>
          <w:lang w:val="fr-FR"/>
        </w:rPr>
      </w:pPr>
      <w:r w:rsidRPr="00BD15C9">
        <w:rPr>
          <w:lang w:val="fr-FR"/>
        </w:rPr>
        <w:t>Les déclarations ne se rapportent pas à la bonne substance chimique</w:t>
      </w:r>
    </w:p>
    <w:p w14:paraId="48320CC5" w14:textId="77777777" w:rsidR="002451BC" w:rsidRPr="00BD15C9" w:rsidRDefault="002451BC" w:rsidP="002451BC">
      <w:pPr>
        <w:pStyle w:val="Paragraphedeliste"/>
        <w:numPr>
          <w:ilvl w:val="0"/>
          <w:numId w:val="33"/>
        </w:numPr>
        <w:jc w:val="both"/>
        <w:rPr>
          <w:lang w:val="fr-FR"/>
        </w:rPr>
      </w:pPr>
      <w:r w:rsidRPr="00BD15C9">
        <w:rPr>
          <w:lang w:val="fr-FR"/>
        </w:rPr>
        <w:t>Les déclarations n'ont pas été signées</w:t>
      </w:r>
    </w:p>
    <w:p w14:paraId="4320BC88" w14:textId="1713335E" w:rsidR="00C430D7" w:rsidRPr="00BD15C9" w:rsidRDefault="00C430D7" w:rsidP="00C95796">
      <w:pPr>
        <w:pStyle w:val="Titre3"/>
      </w:pPr>
      <w:bookmarkStart w:id="81" w:name="_Toc76034191"/>
      <w:r w:rsidRPr="00BD15C9">
        <w:t>Substances mises sur le marché à des fins commerciales</w:t>
      </w:r>
      <w:bookmarkEnd w:id="81"/>
      <w:r w:rsidRPr="00BD15C9">
        <w:t xml:space="preserve"> </w:t>
      </w:r>
    </w:p>
    <w:p w14:paraId="59ED7483" w14:textId="69FAAA99" w:rsidR="00C430D7" w:rsidRPr="00BD15C9" w:rsidRDefault="00C430D7" w:rsidP="00C430D7">
      <w:pPr>
        <w:jc w:val="both"/>
        <w:rPr>
          <w:lang w:val="fr-FR"/>
        </w:rPr>
      </w:pPr>
      <w:r w:rsidRPr="00BD15C9">
        <w:rPr>
          <w:lang w:val="fr-FR"/>
        </w:rPr>
        <w:t xml:space="preserve">Pour ces substances, il faut soumettre un enregistrement complet, sauf si le déclarant dispose d'un numéro d'enregistrement d'un autre enregistrement soumis pour la même substance. Dans ce cas, il peut utiliser un enregistrement réduit (voir aussi </w:t>
      </w:r>
      <w:r w:rsidR="001B395E" w:rsidRPr="00BD15C9">
        <w:rPr>
          <w:i/>
          <w:lang w:val="fr-FR"/>
        </w:rPr>
        <w:t xml:space="preserve">§ </w:t>
      </w:r>
      <w:r w:rsidR="002B3FEC">
        <w:rPr>
          <w:i/>
          <w:lang w:val="fr-FR"/>
        </w:rPr>
        <w:fldChar w:fldCharType="begin"/>
      </w:r>
      <w:r w:rsidR="002B3FEC">
        <w:rPr>
          <w:i/>
          <w:lang w:val="fr-FR"/>
        </w:rPr>
        <w:instrText xml:space="preserve"> REF _Ref74734346 \w \h </w:instrText>
      </w:r>
      <w:r w:rsidR="002B3FEC">
        <w:rPr>
          <w:i/>
          <w:lang w:val="fr-FR"/>
        </w:rPr>
      </w:r>
      <w:r w:rsidR="002B3FEC">
        <w:rPr>
          <w:i/>
          <w:lang w:val="fr-FR"/>
        </w:rPr>
        <w:fldChar w:fldCharType="separate"/>
      </w:r>
      <w:r w:rsidR="002B3FEC">
        <w:rPr>
          <w:i/>
          <w:lang w:val="fr-FR"/>
        </w:rPr>
        <w:t>3.2.4</w:t>
      </w:r>
      <w:r w:rsidR="002B3FEC">
        <w:rPr>
          <w:i/>
          <w:lang w:val="fr-FR"/>
        </w:rPr>
        <w:fldChar w:fldCharType="end"/>
      </w:r>
      <w:r w:rsidR="001B395E" w:rsidRPr="00BD15C9">
        <w:rPr>
          <w:i/>
          <w:lang w:val="fr-FR"/>
        </w:rPr>
        <w:t>-Types d'enregistrement</w:t>
      </w:r>
      <w:r w:rsidRPr="00BD15C9">
        <w:rPr>
          <w:lang w:val="fr-FR"/>
        </w:rPr>
        <w:t xml:space="preserve">). </w:t>
      </w:r>
    </w:p>
    <w:p w14:paraId="059BADE5" w14:textId="2501B707" w:rsidR="00C430D7" w:rsidRPr="00BD15C9" w:rsidRDefault="00C430D7" w:rsidP="00C430D7">
      <w:pPr>
        <w:jc w:val="both"/>
        <w:rPr>
          <w:lang w:val="fr-FR"/>
        </w:rPr>
      </w:pPr>
      <w:r w:rsidRPr="00BD15C9">
        <w:rPr>
          <w:lang w:val="fr-FR"/>
        </w:rPr>
        <w:t xml:space="preserve">Dans ce type d'enregistrement, on a constaté les problèmes suivants : </w:t>
      </w:r>
    </w:p>
    <w:p w14:paraId="406AD7AC" w14:textId="5DB7CC79" w:rsidR="00C430D7" w:rsidRPr="00BD15C9" w:rsidRDefault="00C430D7" w:rsidP="00C430D7">
      <w:pPr>
        <w:pStyle w:val="Paragraphedeliste"/>
        <w:numPr>
          <w:ilvl w:val="0"/>
          <w:numId w:val="35"/>
        </w:numPr>
        <w:jc w:val="both"/>
        <w:rPr>
          <w:lang w:val="fr-FR"/>
        </w:rPr>
      </w:pPr>
      <w:r w:rsidRPr="00BD15C9">
        <w:rPr>
          <w:lang w:val="fr-FR"/>
        </w:rPr>
        <w:t xml:space="preserve">L'utilisation d'un autre numéro d'enregistrement (voir aussi </w:t>
      </w:r>
      <w:r w:rsidRPr="00BD15C9">
        <w:rPr>
          <w:i/>
          <w:lang w:val="fr-FR"/>
        </w:rPr>
        <w:t xml:space="preserve">§ </w:t>
      </w:r>
      <w:r w:rsidR="002B3FEC">
        <w:rPr>
          <w:i/>
          <w:lang w:val="fr-FR"/>
        </w:rPr>
        <w:t>6.4</w:t>
      </w:r>
      <w:r w:rsidRPr="00BD15C9">
        <w:rPr>
          <w:i/>
          <w:lang w:val="fr-FR"/>
        </w:rPr>
        <w:t>-Utilisation d'un autre numéro d'enregistrement</w:t>
      </w:r>
      <w:r w:rsidRPr="00BD15C9">
        <w:rPr>
          <w:lang w:val="fr-FR"/>
        </w:rPr>
        <w:t xml:space="preserve">) </w:t>
      </w:r>
    </w:p>
    <w:p w14:paraId="5DE0C523" w14:textId="77777777" w:rsidR="00C430D7" w:rsidRPr="00BD15C9" w:rsidRDefault="00C430D7" w:rsidP="00C430D7">
      <w:pPr>
        <w:pStyle w:val="Paragraphedeliste"/>
        <w:numPr>
          <w:ilvl w:val="0"/>
          <w:numId w:val="35"/>
        </w:numPr>
        <w:jc w:val="both"/>
        <w:rPr>
          <w:lang w:val="fr-FR"/>
        </w:rPr>
      </w:pPr>
      <w:r w:rsidRPr="00BD15C9">
        <w:rPr>
          <w:lang w:val="fr-FR"/>
        </w:rPr>
        <w:t>La mise à jour annuelle n'a pas été effectuée ou a été effectuée tardivement</w:t>
      </w:r>
    </w:p>
    <w:p w14:paraId="12F7BFE3" w14:textId="77777777" w:rsidR="00C430D7" w:rsidRPr="00BD15C9" w:rsidRDefault="00C430D7" w:rsidP="00C430D7">
      <w:pPr>
        <w:pStyle w:val="Paragraphedeliste"/>
        <w:numPr>
          <w:ilvl w:val="0"/>
          <w:numId w:val="35"/>
        </w:numPr>
        <w:jc w:val="both"/>
        <w:rPr>
          <w:lang w:val="fr-FR"/>
        </w:rPr>
      </w:pPr>
      <w:r w:rsidRPr="00BD15C9">
        <w:rPr>
          <w:lang w:val="fr-FR"/>
        </w:rPr>
        <w:t xml:space="preserve">Les propriétés physiques ou chimiques n'ont pas été dûment complétées </w:t>
      </w:r>
    </w:p>
    <w:p w14:paraId="458917B8" w14:textId="77777777" w:rsidR="00C430D7" w:rsidRPr="00BD15C9" w:rsidRDefault="00C430D7" w:rsidP="00C430D7">
      <w:pPr>
        <w:pStyle w:val="Paragraphedeliste"/>
        <w:numPr>
          <w:ilvl w:val="0"/>
          <w:numId w:val="35"/>
        </w:numPr>
        <w:jc w:val="both"/>
        <w:rPr>
          <w:lang w:val="fr-FR"/>
        </w:rPr>
      </w:pPr>
      <w:r w:rsidRPr="00BD15C9">
        <w:rPr>
          <w:lang w:val="fr-FR"/>
        </w:rPr>
        <w:t>Les noms de marque n'ont pas été mentionnés</w:t>
      </w:r>
    </w:p>
    <w:p w14:paraId="375FC6C9" w14:textId="77777777" w:rsidR="00C430D7" w:rsidRPr="00BD15C9" w:rsidRDefault="00C430D7" w:rsidP="00C430D7">
      <w:pPr>
        <w:pStyle w:val="Paragraphedeliste"/>
        <w:numPr>
          <w:ilvl w:val="0"/>
          <w:numId w:val="35"/>
        </w:numPr>
        <w:jc w:val="both"/>
        <w:rPr>
          <w:lang w:val="fr-FR"/>
        </w:rPr>
      </w:pPr>
      <w:r w:rsidRPr="00BD15C9">
        <w:rPr>
          <w:lang w:val="fr-FR"/>
        </w:rPr>
        <w:lastRenderedPageBreak/>
        <w:t>Les quantités n'ont pas été mentionnées</w:t>
      </w:r>
    </w:p>
    <w:p w14:paraId="7059D7CC" w14:textId="77777777" w:rsidR="00C430D7" w:rsidRPr="00BD15C9" w:rsidRDefault="00C430D7" w:rsidP="00C430D7">
      <w:pPr>
        <w:pStyle w:val="Paragraphedeliste"/>
        <w:numPr>
          <w:ilvl w:val="0"/>
          <w:numId w:val="35"/>
        </w:numPr>
        <w:jc w:val="both"/>
        <w:rPr>
          <w:lang w:val="fr-FR"/>
        </w:rPr>
      </w:pPr>
      <w:r w:rsidRPr="00BD15C9">
        <w:rPr>
          <w:lang w:val="fr-FR"/>
        </w:rPr>
        <w:t>Les utilisateurs professionnels n'ont pas été mentionnés</w:t>
      </w:r>
    </w:p>
    <w:p w14:paraId="070C3607" w14:textId="7DB27409" w:rsidR="00547710" w:rsidRPr="00547710" w:rsidRDefault="00547710" w:rsidP="00B76985">
      <w:pPr>
        <w:pStyle w:val="Titre2"/>
      </w:pPr>
      <w:bookmarkStart w:id="82" w:name="_Toc76034192"/>
      <w:r>
        <w:t>Le fournisseur étranger</w:t>
      </w:r>
      <w:bookmarkEnd w:id="82"/>
    </w:p>
    <w:p w14:paraId="60B617A8" w14:textId="46341368" w:rsidR="00D231CA" w:rsidRPr="00BD15C9" w:rsidRDefault="000D5E3A" w:rsidP="000D5E3A">
      <w:pPr>
        <w:jc w:val="both"/>
        <w:rPr>
          <w:lang w:val="fr-FR"/>
        </w:rPr>
      </w:pPr>
      <w:r w:rsidRPr="00BD15C9">
        <w:rPr>
          <w:lang w:val="fr-FR"/>
        </w:rPr>
        <w:t xml:space="preserve">Le Fournisseur étranger ne doit, outre les données de son entreprise, mentionner que les propriétés physico-chimiques de la substance enregistrée. Il peut aussi remplacer ces propriétés par le numéro d'un autre enregistrement soumis pour la même substance (enregistrement réduit). </w:t>
      </w:r>
    </w:p>
    <w:p w14:paraId="44B68503" w14:textId="4DD7523F" w:rsidR="000D5E3A" w:rsidRPr="00BD15C9" w:rsidRDefault="000D5E3A" w:rsidP="000D5E3A">
      <w:pPr>
        <w:jc w:val="both"/>
        <w:rPr>
          <w:lang w:val="fr-FR"/>
        </w:rPr>
      </w:pPr>
      <w:r w:rsidRPr="00BD15C9">
        <w:rPr>
          <w:lang w:val="fr-FR"/>
        </w:rPr>
        <w:t>Dans ce type d'enregistrement, on a constaté les problèmes suivants :</w:t>
      </w:r>
    </w:p>
    <w:p w14:paraId="29199D08" w14:textId="77777777" w:rsidR="000D5E3A" w:rsidRPr="00BD15C9" w:rsidRDefault="000D5E3A" w:rsidP="000D5E3A">
      <w:pPr>
        <w:pStyle w:val="Paragraphedeliste"/>
        <w:numPr>
          <w:ilvl w:val="0"/>
          <w:numId w:val="34"/>
        </w:numPr>
        <w:jc w:val="both"/>
        <w:rPr>
          <w:lang w:val="fr-FR"/>
        </w:rPr>
      </w:pPr>
      <w:r w:rsidRPr="00BD15C9">
        <w:rPr>
          <w:lang w:val="fr-FR"/>
        </w:rPr>
        <w:t>Les propriétés physiques ou chimiques n'ont pas été dûment complétées</w:t>
      </w:r>
    </w:p>
    <w:p w14:paraId="56AA06AF" w14:textId="77777777" w:rsidR="000D5E3A" w:rsidRPr="00BD15C9" w:rsidRDefault="000D5E3A" w:rsidP="00A619E9">
      <w:pPr>
        <w:pStyle w:val="Paragraphedeliste"/>
        <w:numPr>
          <w:ilvl w:val="0"/>
          <w:numId w:val="34"/>
        </w:numPr>
        <w:jc w:val="both"/>
        <w:rPr>
          <w:lang w:val="fr-FR"/>
        </w:rPr>
      </w:pPr>
      <w:r w:rsidRPr="00BD15C9">
        <w:rPr>
          <w:lang w:val="fr-FR"/>
        </w:rPr>
        <w:t>Elles font référence à un enregistrement précédent qui, à son tour, n'était pas en ordre ou pour lequel un numéro d'enregistrement erroné avait été utilisé</w:t>
      </w:r>
    </w:p>
    <w:p w14:paraId="4AD3F014" w14:textId="7352CEED" w:rsidR="00547710" w:rsidRPr="00547710" w:rsidRDefault="00547710" w:rsidP="00B76985">
      <w:pPr>
        <w:pStyle w:val="Titre2"/>
      </w:pPr>
      <w:bookmarkStart w:id="83" w:name="_Toc76034193"/>
      <w:r>
        <w:t>Autres actions</w:t>
      </w:r>
      <w:bookmarkEnd w:id="83"/>
    </w:p>
    <w:p w14:paraId="367EEEC7" w14:textId="3E9B24FB" w:rsidR="00C844CD" w:rsidRPr="00BD15C9" w:rsidRDefault="00C430D7" w:rsidP="00C430D7">
      <w:pPr>
        <w:jc w:val="both"/>
        <w:rPr>
          <w:lang w:val="fr-FR"/>
        </w:rPr>
      </w:pPr>
      <w:r w:rsidRPr="00BD15C9">
        <w:rPr>
          <w:lang w:val="fr-FR"/>
        </w:rPr>
        <w:t xml:space="preserve">Sur la base des évaluations effectuées, une série d'autres actions sont prévues. </w:t>
      </w:r>
    </w:p>
    <w:p w14:paraId="31FEE793" w14:textId="47CB80A3" w:rsidR="00C430D7" w:rsidRPr="00BD15C9" w:rsidRDefault="00C430D7" w:rsidP="00C430D7">
      <w:pPr>
        <w:jc w:val="both"/>
        <w:rPr>
          <w:lang w:val="fr-FR"/>
        </w:rPr>
      </w:pPr>
      <w:r w:rsidRPr="00BD15C9">
        <w:rPr>
          <w:lang w:val="fr-FR"/>
        </w:rPr>
        <w:t xml:space="preserve">Avant tout, les déclarants concernés seront informés du caractère incomplet ou incorrect de leur(s) enregistrement(s). </w:t>
      </w:r>
      <w:r w:rsidR="00667198">
        <w:rPr>
          <w:lang w:val="fr-FR"/>
        </w:rPr>
        <w:t>E</w:t>
      </w:r>
      <w:r w:rsidR="005525AF">
        <w:rPr>
          <w:lang w:val="fr-FR"/>
        </w:rPr>
        <w:t>n effet, une étude de fond mettra en évidence les manquements des différents enregistrement et des actions de contact seront initiées vers les déclarants et fournisseurs étrangers.</w:t>
      </w:r>
    </w:p>
    <w:p w14:paraId="1B06CF77" w14:textId="77777777" w:rsidR="00E469A1" w:rsidRPr="00BD15C9" w:rsidRDefault="00E469A1" w:rsidP="00C430D7">
      <w:pPr>
        <w:jc w:val="both"/>
        <w:rPr>
          <w:lang w:val="fr-FR"/>
        </w:rPr>
      </w:pPr>
      <w:r w:rsidRPr="00BD15C9">
        <w:rPr>
          <w:lang w:val="fr-FR"/>
        </w:rPr>
        <w:t xml:space="preserve">Une nouvelle évaluation sera effectuée quand ils auront complété ou corrigé leur déclaration qui contribuera de par la quantification des manquements à définir les priorités au niveau des actions à mettre en place. </w:t>
      </w:r>
    </w:p>
    <w:p w14:paraId="60E67F1B" w14:textId="4857176C" w:rsidR="00C844CD" w:rsidRPr="00BD15C9" w:rsidRDefault="00EC3EF0" w:rsidP="00C430D7">
      <w:pPr>
        <w:jc w:val="both"/>
        <w:rPr>
          <w:lang w:val="fr-FR"/>
        </w:rPr>
      </w:pPr>
      <w:r w:rsidRPr="00BD15C9">
        <w:rPr>
          <w:lang w:val="fr-FR"/>
        </w:rPr>
        <w:t>Les comptes inactifs ou les comptes pour lesquels des enregistrements ont été effectués</w:t>
      </w:r>
      <w:r w:rsidR="00084820">
        <w:rPr>
          <w:lang w:val="fr-FR"/>
        </w:rPr>
        <w:t xml:space="preserve">, </w:t>
      </w:r>
      <w:r w:rsidRPr="00BD15C9">
        <w:rPr>
          <w:lang w:val="fr-FR"/>
        </w:rPr>
        <w:t xml:space="preserve">mais qui n'ont pas été soumis seront examinés de plus près (voir aussi </w:t>
      </w:r>
      <w:r w:rsidR="0019403B" w:rsidRPr="00BD15C9">
        <w:rPr>
          <w:i/>
          <w:lang w:val="fr-FR"/>
        </w:rPr>
        <w:t xml:space="preserve">§ </w:t>
      </w:r>
      <w:r w:rsidR="00784E48">
        <w:rPr>
          <w:i/>
          <w:lang w:val="fr-FR"/>
        </w:rPr>
        <w:t>5</w:t>
      </w:r>
      <w:r w:rsidR="0019403B" w:rsidRPr="00BD15C9">
        <w:rPr>
          <w:i/>
          <w:lang w:val="fr-FR"/>
        </w:rPr>
        <w:t xml:space="preserve"> Informations relatives aux déclarants</w:t>
      </w:r>
      <w:r w:rsidRPr="00BD15C9">
        <w:rPr>
          <w:lang w:val="fr-FR"/>
        </w:rPr>
        <w:t>).</w:t>
      </w:r>
    </w:p>
    <w:p w14:paraId="310A78DA" w14:textId="5139CC03" w:rsidR="00C92B60" w:rsidRPr="00BD15C9" w:rsidRDefault="0083188A" w:rsidP="00BB22C7">
      <w:pPr>
        <w:pStyle w:val="Titre1"/>
        <w:rPr>
          <w:lang w:val="fr-FR"/>
        </w:rPr>
      </w:pPr>
      <w:bookmarkStart w:id="84" w:name="_Toc76034194"/>
      <w:r w:rsidRPr="00BD15C9">
        <w:rPr>
          <w:lang w:val="fr-FR"/>
        </w:rPr>
        <w:t>Fonctionnement du helpdesk</w:t>
      </w:r>
      <w:bookmarkEnd w:id="84"/>
    </w:p>
    <w:p w14:paraId="79CB2187" w14:textId="6289146B" w:rsidR="008B0D41" w:rsidRPr="00BD15C9" w:rsidRDefault="008B0D41" w:rsidP="0085297F">
      <w:pPr>
        <w:jc w:val="both"/>
        <w:rPr>
          <w:lang w:val="fr-FR"/>
        </w:rPr>
      </w:pPr>
      <w:r w:rsidRPr="00BD15C9">
        <w:rPr>
          <w:lang w:val="fr-FR"/>
        </w:rPr>
        <w:t xml:space="preserve">Au sein de l'autorité compétente, le SPF Santé publique, Sécurité de la Chaîne alimentaire et Environnement, un helpdesk a été créé spécifiquement pour l'enregistrement des substances manufacturées à l'état nanoparticulaire. </w:t>
      </w:r>
    </w:p>
    <w:p w14:paraId="00D22C30" w14:textId="77777777" w:rsidR="00972B7D" w:rsidRPr="00BD15C9" w:rsidRDefault="00972B7D" w:rsidP="0085297F">
      <w:pPr>
        <w:jc w:val="both"/>
        <w:rPr>
          <w:lang w:val="fr-FR"/>
        </w:rPr>
      </w:pPr>
      <w:r w:rsidRPr="00BD15C9">
        <w:rPr>
          <w:lang w:val="fr-FR"/>
        </w:rPr>
        <w:t xml:space="preserve">Ce helpdesk est accessible par e-mail à l'adresse </w:t>
      </w:r>
      <w:hyperlink r:id="rId35" w:history="1">
        <w:r w:rsidRPr="00BD15C9">
          <w:rPr>
            <w:rStyle w:val="Lienhypertexte"/>
            <w:lang w:val="fr-FR"/>
          </w:rPr>
          <w:t>info@nanoregistration.be</w:t>
        </w:r>
      </w:hyperlink>
      <w:r w:rsidRPr="00BD15C9">
        <w:rPr>
          <w:lang w:val="fr-FR"/>
        </w:rPr>
        <w:t xml:space="preserve">. </w:t>
      </w:r>
    </w:p>
    <w:p w14:paraId="19F5CF88" w14:textId="41DCCB2B" w:rsidR="00972B7D" w:rsidRPr="00BD15C9" w:rsidRDefault="001F799E" w:rsidP="0085297F">
      <w:pPr>
        <w:jc w:val="both"/>
        <w:rPr>
          <w:lang w:val="fr-FR"/>
        </w:rPr>
      </w:pPr>
      <w:r>
        <w:rPr>
          <w:lang w:val="fr-FR"/>
        </w:rPr>
        <w:t xml:space="preserve">Pour la période de référence, </w:t>
      </w:r>
      <w:r w:rsidR="00E149B6">
        <w:rPr>
          <w:lang w:val="fr-FR"/>
        </w:rPr>
        <w:t>du</w:t>
      </w:r>
      <w:r w:rsidR="00972B7D" w:rsidRPr="00BD15C9">
        <w:rPr>
          <w:lang w:val="fr-FR"/>
        </w:rPr>
        <w:t xml:space="preserve"> </w:t>
      </w:r>
      <w:r w:rsidR="009B792D">
        <w:rPr>
          <w:lang w:val="fr-FR"/>
        </w:rPr>
        <w:t xml:space="preserve">1 </w:t>
      </w:r>
      <w:r w:rsidR="00C9133E">
        <w:rPr>
          <w:lang w:val="fr-FR"/>
        </w:rPr>
        <w:t xml:space="preserve">Avril </w:t>
      </w:r>
      <w:r w:rsidR="009B792D">
        <w:rPr>
          <w:lang w:val="fr-FR"/>
        </w:rPr>
        <w:t>20</w:t>
      </w:r>
      <w:r w:rsidR="00E149B6">
        <w:rPr>
          <w:lang w:val="fr-FR"/>
        </w:rPr>
        <w:t>20</w:t>
      </w:r>
      <w:r w:rsidR="009B792D">
        <w:rPr>
          <w:lang w:val="fr-FR"/>
        </w:rPr>
        <w:t xml:space="preserve"> </w:t>
      </w:r>
      <w:r w:rsidR="00E149B6">
        <w:rPr>
          <w:lang w:val="fr-FR"/>
        </w:rPr>
        <w:t>au</w:t>
      </w:r>
      <w:r w:rsidR="00972B7D" w:rsidRPr="00BD15C9">
        <w:rPr>
          <w:lang w:val="fr-FR"/>
        </w:rPr>
        <w:t xml:space="preserve"> </w:t>
      </w:r>
      <w:r w:rsidR="009B792D">
        <w:rPr>
          <w:lang w:val="fr-FR"/>
        </w:rPr>
        <w:t>31</w:t>
      </w:r>
      <w:r w:rsidR="009B792D" w:rsidRPr="00BD15C9">
        <w:rPr>
          <w:lang w:val="fr-FR"/>
        </w:rPr>
        <w:t xml:space="preserve"> </w:t>
      </w:r>
      <w:r w:rsidR="00972B7D" w:rsidRPr="00BD15C9">
        <w:rPr>
          <w:lang w:val="fr-FR"/>
        </w:rPr>
        <w:t xml:space="preserve">mars </w:t>
      </w:r>
      <w:r w:rsidR="00E149B6" w:rsidRPr="00BD15C9">
        <w:rPr>
          <w:lang w:val="fr-FR"/>
        </w:rPr>
        <w:t>20</w:t>
      </w:r>
      <w:r w:rsidR="00E149B6">
        <w:rPr>
          <w:lang w:val="fr-FR"/>
        </w:rPr>
        <w:t>21, 84 questions ont été reçues</w:t>
      </w:r>
      <w:r w:rsidR="00972B7D" w:rsidRPr="00BD15C9">
        <w:rPr>
          <w:lang w:val="fr-FR"/>
        </w:rPr>
        <w:t xml:space="preserve">. </w:t>
      </w:r>
    </w:p>
    <w:p w14:paraId="062760B0" w14:textId="3CA7AA73" w:rsidR="00D16D46" w:rsidRPr="00BD15C9" w:rsidRDefault="00972B7D" w:rsidP="0085297F">
      <w:pPr>
        <w:jc w:val="both"/>
        <w:rPr>
          <w:lang w:val="fr-FR"/>
        </w:rPr>
      </w:pPr>
      <w:r w:rsidRPr="00BD15C9">
        <w:rPr>
          <w:lang w:val="fr-FR"/>
        </w:rPr>
        <w:t>La date de réception sert ici de critère.</w:t>
      </w:r>
    </w:p>
    <w:p w14:paraId="4D1FFD47" w14:textId="0742C81C" w:rsidR="007E5A5C" w:rsidRPr="00BD15C9" w:rsidRDefault="007E5A5C" w:rsidP="0085297F">
      <w:pPr>
        <w:jc w:val="both"/>
        <w:rPr>
          <w:lang w:val="fr-FR"/>
        </w:rPr>
      </w:pPr>
      <w:r w:rsidRPr="00BD15C9">
        <w:rPr>
          <w:lang w:val="fr-FR"/>
        </w:rPr>
        <w:t>Le tableau ci-dessous donne une idée du temps écoulé entre la réception d'une question et la réponse définitive à cette question. Quand il ne pouvait être répondu immédiatement à la question, p</w:t>
      </w:r>
      <w:r w:rsidR="00667198">
        <w:rPr>
          <w:lang w:val="fr-FR"/>
        </w:rPr>
        <w:t>ar</w:t>
      </w:r>
      <w:r w:rsidRPr="00BD15C9">
        <w:rPr>
          <w:lang w:val="fr-FR"/>
        </w:rPr>
        <w:t xml:space="preserve"> ex</w:t>
      </w:r>
      <w:r w:rsidR="00667198">
        <w:rPr>
          <w:lang w:val="fr-FR"/>
        </w:rPr>
        <w:t>emple,</w:t>
      </w:r>
      <w:r w:rsidRPr="00BD15C9">
        <w:rPr>
          <w:lang w:val="fr-FR"/>
        </w:rPr>
        <w:t xml:space="preserve"> parce qu'il fallait demander l'avis d'un autre service, le déclarant en a été informé par le biais d'une première réponse. Ces réponses provisoires n'ont pas été reprises dans le tableau ci-dessous.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984"/>
      </w:tblGrid>
      <w:tr w:rsidR="00D16D46" w:rsidRPr="007F1FE2" w14:paraId="5DCA7A81" w14:textId="77777777" w:rsidTr="007E5A5C">
        <w:trPr>
          <w:tblHeader/>
        </w:trPr>
        <w:tc>
          <w:tcPr>
            <w:tcW w:w="3539" w:type="dxa"/>
            <w:gridSpan w:val="2"/>
          </w:tcPr>
          <w:p w14:paraId="5F446458" w14:textId="3B183381" w:rsidR="00D16D46" w:rsidRPr="00BD15C9" w:rsidRDefault="007E5A5C" w:rsidP="005459AA">
            <w:pPr>
              <w:jc w:val="both"/>
              <w:rPr>
                <w:b/>
                <w:i/>
                <w:lang w:val="fr-FR"/>
              </w:rPr>
            </w:pPr>
            <w:r w:rsidRPr="00BD15C9">
              <w:rPr>
                <w:b/>
                <w:i/>
                <w:lang w:val="fr-FR"/>
              </w:rPr>
              <w:lastRenderedPageBreak/>
              <w:t>Tableau : Temps écoulé entre la réception de la question et sa réponse définitive (en jours)</w:t>
            </w:r>
          </w:p>
        </w:tc>
      </w:tr>
      <w:tr w:rsidR="00D16D46" w:rsidRPr="00BD15C9" w14:paraId="3933C64E" w14:textId="77777777" w:rsidTr="007E5A5C">
        <w:tc>
          <w:tcPr>
            <w:tcW w:w="1555" w:type="dxa"/>
          </w:tcPr>
          <w:p w14:paraId="3BCA8E57" w14:textId="77777777" w:rsidR="00D16D46" w:rsidRPr="00BD15C9" w:rsidRDefault="00D16D46" w:rsidP="0085297F">
            <w:pPr>
              <w:jc w:val="both"/>
              <w:rPr>
                <w:lang w:val="fr-FR"/>
              </w:rPr>
            </w:pPr>
            <w:r w:rsidRPr="00BD15C9">
              <w:rPr>
                <w:lang w:val="fr-FR"/>
              </w:rPr>
              <w:t>Minimum</w:t>
            </w:r>
          </w:p>
        </w:tc>
        <w:tc>
          <w:tcPr>
            <w:tcW w:w="1984" w:type="dxa"/>
          </w:tcPr>
          <w:p w14:paraId="64C37386" w14:textId="77777777" w:rsidR="00D16D46" w:rsidRPr="00BA37F3" w:rsidRDefault="00D16D46" w:rsidP="00BE5297">
            <w:pPr>
              <w:jc w:val="center"/>
              <w:rPr>
                <w:color w:val="FF0000"/>
                <w:lang w:val="fr-FR"/>
              </w:rPr>
            </w:pPr>
            <w:r w:rsidRPr="00BA37F3">
              <w:rPr>
                <w:color w:val="FF0000"/>
                <w:lang w:val="fr-FR"/>
              </w:rPr>
              <w:t>0</w:t>
            </w:r>
          </w:p>
        </w:tc>
      </w:tr>
      <w:tr w:rsidR="00D16D46" w:rsidRPr="00BD15C9" w14:paraId="1564DC9F" w14:textId="77777777" w:rsidTr="007E5A5C">
        <w:tc>
          <w:tcPr>
            <w:tcW w:w="1555" w:type="dxa"/>
          </w:tcPr>
          <w:p w14:paraId="124B6406" w14:textId="77777777" w:rsidR="00D16D46" w:rsidRPr="00BD15C9" w:rsidRDefault="00D16D46" w:rsidP="0085297F">
            <w:pPr>
              <w:jc w:val="both"/>
              <w:rPr>
                <w:lang w:val="fr-FR"/>
              </w:rPr>
            </w:pPr>
            <w:r w:rsidRPr="00BD15C9">
              <w:rPr>
                <w:lang w:val="fr-FR"/>
              </w:rPr>
              <w:t>Maximum</w:t>
            </w:r>
          </w:p>
        </w:tc>
        <w:tc>
          <w:tcPr>
            <w:tcW w:w="1984" w:type="dxa"/>
          </w:tcPr>
          <w:p w14:paraId="7148EACE" w14:textId="2BC3A9D6" w:rsidR="00D16D46" w:rsidRPr="00BA37F3" w:rsidRDefault="007F04D6" w:rsidP="00BE5297">
            <w:pPr>
              <w:jc w:val="center"/>
              <w:rPr>
                <w:color w:val="FF0000"/>
                <w:lang w:val="fr-FR"/>
              </w:rPr>
            </w:pPr>
            <w:r>
              <w:rPr>
                <w:color w:val="FF0000"/>
                <w:lang w:val="fr-FR"/>
              </w:rPr>
              <w:t>14</w:t>
            </w:r>
          </w:p>
        </w:tc>
      </w:tr>
      <w:tr w:rsidR="00D16D46" w:rsidRPr="00BD15C9" w14:paraId="419CF4D5" w14:textId="77777777" w:rsidTr="007E5A5C">
        <w:tc>
          <w:tcPr>
            <w:tcW w:w="1555" w:type="dxa"/>
          </w:tcPr>
          <w:p w14:paraId="597075EF" w14:textId="77777777" w:rsidR="00D16D46" w:rsidRPr="00BD15C9" w:rsidRDefault="00D16D46" w:rsidP="0085297F">
            <w:pPr>
              <w:jc w:val="both"/>
              <w:rPr>
                <w:lang w:val="fr-FR"/>
              </w:rPr>
            </w:pPr>
            <w:r w:rsidRPr="00BD15C9">
              <w:rPr>
                <w:lang w:val="fr-FR"/>
              </w:rPr>
              <w:t>Médiane</w:t>
            </w:r>
          </w:p>
        </w:tc>
        <w:tc>
          <w:tcPr>
            <w:tcW w:w="1984" w:type="dxa"/>
          </w:tcPr>
          <w:p w14:paraId="4A69382D" w14:textId="10A8C840" w:rsidR="00D16D46" w:rsidRPr="00BA37F3" w:rsidRDefault="009B792D" w:rsidP="00BE5297">
            <w:pPr>
              <w:jc w:val="center"/>
              <w:rPr>
                <w:color w:val="FF0000"/>
                <w:lang w:val="fr-FR"/>
              </w:rPr>
            </w:pPr>
            <w:r w:rsidRPr="00BA37F3">
              <w:rPr>
                <w:color w:val="FF0000"/>
                <w:lang w:val="fr-FR"/>
              </w:rPr>
              <w:t>1</w:t>
            </w:r>
          </w:p>
        </w:tc>
      </w:tr>
      <w:tr w:rsidR="00CA3254" w:rsidRPr="00BD15C9" w14:paraId="3DEED91C" w14:textId="77777777" w:rsidTr="007E5A5C">
        <w:tc>
          <w:tcPr>
            <w:tcW w:w="1555" w:type="dxa"/>
          </w:tcPr>
          <w:p w14:paraId="3D696B17" w14:textId="77777777" w:rsidR="00CA3254" w:rsidRPr="00BD15C9" w:rsidRDefault="00CA3254" w:rsidP="001066E4">
            <w:pPr>
              <w:jc w:val="both"/>
              <w:rPr>
                <w:lang w:val="fr-FR"/>
              </w:rPr>
            </w:pPr>
            <w:r w:rsidRPr="00BD15C9">
              <w:rPr>
                <w:lang w:val="fr-FR"/>
              </w:rPr>
              <w:t>Moyenne</w:t>
            </w:r>
          </w:p>
        </w:tc>
        <w:tc>
          <w:tcPr>
            <w:tcW w:w="1984" w:type="dxa"/>
          </w:tcPr>
          <w:p w14:paraId="103E37C9" w14:textId="2B653CD2" w:rsidR="00CA3254" w:rsidRPr="00BA37F3" w:rsidRDefault="007F04D6" w:rsidP="00BE5297">
            <w:pPr>
              <w:jc w:val="center"/>
              <w:rPr>
                <w:color w:val="FF0000"/>
                <w:lang w:val="fr-FR"/>
              </w:rPr>
            </w:pPr>
            <w:r>
              <w:rPr>
                <w:color w:val="FF0000"/>
                <w:lang w:val="fr-FR"/>
              </w:rPr>
              <w:t>1.45</w:t>
            </w:r>
          </w:p>
        </w:tc>
      </w:tr>
    </w:tbl>
    <w:p w14:paraId="0F0BDEC4" w14:textId="77777777" w:rsidR="00201C86" w:rsidRPr="00BD15C9" w:rsidRDefault="00201C86" w:rsidP="009C1236">
      <w:pPr>
        <w:spacing w:after="0"/>
        <w:jc w:val="both"/>
        <w:rPr>
          <w:lang w:val="fr-FR"/>
        </w:rPr>
      </w:pPr>
    </w:p>
    <w:p w14:paraId="66F159DB" w14:textId="2FFC865E" w:rsidR="00503029" w:rsidRPr="00BD15C9" w:rsidRDefault="0083188A" w:rsidP="00BB22C7">
      <w:pPr>
        <w:pStyle w:val="Titre1"/>
        <w:rPr>
          <w:lang w:val="fr-FR"/>
        </w:rPr>
      </w:pPr>
      <w:bookmarkStart w:id="85" w:name="_Toc76034195"/>
      <w:r w:rsidRPr="00BD15C9">
        <w:rPr>
          <w:lang w:val="fr-FR"/>
        </w:rPr>
        <w:t>Liste des substances enregistrées</w:t>
      </w:r>
      <w:bookmarkEnd w:id="85"/>
    </w:p>
    <w:p w14:paraId="54112290" w14:textId="636702EC" w:rsidR="0083188A" w:rsidRPr="00BD15C9" w:rsidRDefault="008E4EFD" w:rsidP="006A4F3F">
      <w:pPr>
        <w:jc w:val="both"/>
        <w:rPr>
          <w:lang w:val="fr-FR"/>
        </w:rPr>
      </w:pPr>
      <w:r w:rsidRPr="00BD15C9">
        <w:rPr>
          <w:lang w:val="fr-FR"/>
        </w:rPr>
        <w:t xml:space="preserve">L'annexe au présent rapport contient une liste des substances manufacturées à l'état nanoparticulaire et mises sur le marché en tant que substances en </w:t>
      </w:r>
      <w:r w:rsidR="00A26684" w:rsidRPr="00BD15C9">
        <w:rPr>
          <w:lang w:val="fr-FR"/>
        </w:rPr>
        <w:t>20</w:t>
      </w:r>
      <w:r w:rsidR="008A7F7E">
        <w:rPr>
          <w:lang w:val="fr-FR"/>
        </w:rPr>
        <w:t>20</w:t>
      </w:r>
      <w:r w:rsidRPr="00BD15C9">
        <w:rPr>
          <w:lang w:val="fr-FR"/>
        </w:rPr>
        <w:t xml:space="preserve">. Le mode d'identification de ces substances enregistrées est décrit dans le </w:t>
      </w:r>
      <w:r w:rsidR="009C3F75" w:rsidRPr="00BD15C9">
        <w:rPr>
          <w:i/>
          <w:lang w:val="fr-FR"/>
        </w:rPr>
        <w:t xml:space="preserve">§ </w:t>
      </w:r>
      <w:r w:rsidR="00784E48">
        <w:rPr>
          <w:i/>
          <w:lang w:val="fr-FR"/>
        </w:rPr>
        <w:t>10</w:t>
      </w:r>
      <w:r w:rsidR="009C3F75" w:rsidRPr="00BD15C9">
        <w:rPr>
          <w:i/>
          <w:lang w:val="fr-FR"/>
        </w:rPr>
        <w:t>.1 Identification chimique des substances</w:t>
      </w:r>
      <w:r w:rsidRPr="00BD15C9">
        <w:rPr>
          <w:lang w:val="fr-FR"/>
        </w:rPr>
        <w:t xml:space="preserve">. </w:t>
      </w:r>
    </w:p>
    <w:p w14:paraId="3067DFC1" w14:textId="280394D8" w:rsidR="006A4F3F" w:rsidRPr="00BD15C9" w:rsidRDefault="00EA0764" w:rsidP="006A4F3F">
      <w:pPr>
        <w:jc w:val="both"/>
        <w:rPr>
          <w:lang w:val="fr-FR"/>
        </w:rPr>
      </w:pPr>
      <w:r w:rsidRPr="00603A8D">
        <w:rPr>
          <w:lang w:val="fr-FR"/>
        </w:rPr>
        <w:t xml:space="preserve">Sur les </w:t>
      </w:r>
      <w:r w:rsidR="00603A8D" w:rsidRPr="00C14E36">
        <w:rPr>
          <w:lang w:val="fr-FR"/>
        </w:rPr>
        <w:t>661</w:t>
      </w:r>
      <w:r w:rsidR="00603A8D" w:rsidRPr="00603A8D">
        <w:rPr>
          <w:lang w:val="fr-FR"/>
        </w:rPr>
        <w:t xml:space="preserve"> </w:t>
      </w:r>
      <w:r w:rsidRPr="00603A8D">
        <w:rPr>
          <w:lang w:val="fr-FR"/>
        </w:rPr>
        <w:t xml:space="preserve">enregistrements </w:t>
      </w:r>
      <w:r w:rsidR="00603A8D" w:rsidRPr="00DB322C">
        <w:rPr>
          <w:lang w:val="fr-FR"/>
        </w:rPr>
        <w:t>considérés comme « comptes actifs » en 2020</w:t>
      </w:r>
      <w:r w:rsidRPr="00603A8D">
        <w:rPr>
          <w:lang w:val="fr-FR"/>
        </w:rPr>
        <w:t xml:space="preserve">, au total, </w:t>
      </w:r>
      <w:r w:rsidR="00603A8D" w:rsidRPr="00603A8D">
        <w:rPr>
          <w:lang w:val="fr-FR"/>
        </w:rPr>
        <w:t>1</w:t>
      </w:r>
      <w:r w:rsidR="00603A8D" w:rsidRPr="00C14E36">
        <w:rPr>
          <w:lang w:val="fr-FR"/>
        </w:rPr>
        <w:t>2</w:t>
      </w:r>
      <w:r w:rsidR="00603A8D" w:rsidRPr="00603A8D">
        <w:rPr>
          <w:lang w:val="fr-FR"/>
        </w:rPr>
        <w:t xml:space="preserve">1 </w:t>
      </w:r>
      <w:r w:rsidRPr="00603A8D">
        <w:rPr>
          <w:lang w:val="fr-FR"/>
        </w:rPr>
        <w:t xml:space="preserve">numéros CAS ont été utilisés et au total </w:t>
      </w:r>
      <w:r w:rsidR="00603A8D" w:rsidRPr="00C14E36">
        <w:rPr>
          <w:lang w:val="fr-FR"/>
        </w:rPr>
        <w:t>257</w:t>
      </w:r>
      <w:r w:rsidR="00603A8D" w:rsidRPr="00603A8D">
        <w:rPr>
          <w:lang w:val="fr-FR"/>
        </w:rPr>
        <w:t xml:space="preserve"> </w:t>
      </w:r>
      <w:r w:rsidRPr="00603A8D">
        <w:rPr>
          <w:lang w:val="fr-FR"/>
        </w:rPr>
        <w:t xml:space="preserve">noms génériques ont été retrouvés. Cette liste reprend aussi les noms chimiques </w:t>
      </w:r>
      <w:r w:rsidR="00D62302" w:rsidRPr="00603A8D">
        <w:rPr>
          <w:lang w:val="fr-FR"/>
        </w:rPr>
        <w:t>retrouvés</w:t>
      </w:r>
      <w:r w:rsidRPr="00603A8D">
        <w:rPr>
          <w:lang w:val="fr-FR"/>
        </w:rPr>
        <w:t xml:space="preserve"> dans les enregistrements.</w:t>
      </w:r>
      <w:r w:rsidRPr="00BD15C9">
        <w:rPr>
          <w:lang w:val="fr-FR"/>
        </w:rPr>
        <w:t xml:space="preserve"> </w:t>
      </w:r>
    </w:p>
    <w:p w14:paraId="3ED2CA0E" w14:textId="77777777" w:rsidR="00201C86" w:rsidRPr="00BD15C9" w:rsidRDefault="001A3C39" w:rsidP="006A4F3F">
      <w:pPr>
        <w:jc w:val="both"/>
        <w:rPr>
          <w:lang w:val="fr-FR"/>
        </w:rPr>
      </w:pPr>
      <w:r w:rsidRPr="00BD15C9">
        <w:rPr>
          <w:lang w:val="fr-FR"/>
        </w:rPr>
        <w:t>Cette liste est présentée sous la forme d'un tableau qui reprend, de gauche à droite :</w:t>
      </w:r>
    </w:p>
    <w:p w14:paraId="7D1DF68B" w14:textId="70E2E997" w:rsidR="003A3136" w:rsidRPr="00BD15C9" w:rsidRDefault="0060522F" w:rsidP="00201C86">
      <w:pPr>
        <w:pStyle w:val="Paragraphedeliste"/>
        <w:numPr>
          <w:ilvl w:val="0"/>
          <w:numId w:val="36"/>
        </w:numPr>
        <w:jc w:val="both"/>
        <w:rPr>
          <w:lang w:val="fr-FR"/>
        </w:rPr>
      </w:pPr>
      <w:r w:rsidRPr="00BD15C9">
        <w:rPr>
          <w:lang w:val="fr-FR"/>
        </w:rPr>
        <w:t>le nom chimique tel qu'il a été enregistré ; les références explicites à des noms de marque n'ont pas été prises en compte. Le nom chimique n'a pas non plus été pris en compte quand il n'avait été repris que dans un enregistrement simplifié (sauf en cas de destination exclusivement à des fins scientifiques)</w:t>
      </w:r>
    </w:p>
    <w:p w14:paraId="4EDF68C5" w14:textId="3B6B94CB" w:rsidR="0060522F" w:rsidRPr="00BD15C9" w:rsidRDefault="0060522F" w:rsidP="00201C86">
      <w:pPr>
        <w:pStyle w:val="Paragraphedeliste"/>
        <w:numPr>
          <w:ilvl w:val="0"/>
          <w:numId w:val="36"/>
        </w:numPr>
        <w:jc w:val="both"/>
        <w:rPr>
          <w:lang w:val="fr-FR"/>
        </w:rPr>
      </w:pPr>
      <w:r w:rsidRPr="00BD15C9">
        <w:rPr>
          <w:lang w:val="fr-FR"/>
        </w:rPr>
        <w:t>le nom générique, tel qu'il a été retrouvé sur le site web de l'ECHA sur la base du numéro CAS et/ou CE</w:t>
      </w:r>
    </w:p>
    <w:p w14:paraId="3B60B4B5" w14:textId="30BF75EC" w:rsidR="0060522F" w:rsidRPr="00BD15C9" w:rsidRDefault="0060522F" w:rsidP="00201C86">
      <w:pPr>
        <w:pStyle w:val="Paragraphedeliste"/>
        <w:numPr>
          <w:ilvl w:val="0"/>
          <w:numId w:val="36"/>
        </w:numPr>
        <w:jc w:val="both"/>
        <w:rPr>
          <w:lang w:val="fr-FR"/>
        </w:rPr>
      </w:pPr>
      <w:r w:rsidRPr="00BD15C9">
        <w:rPr>
          <w:lang w:val="fr-FR"/>
        </w:rPr>
        <w:t>Le code NACE(BEL) tel que repris par le Déclarant est mentionné au niveau van l'enregistrement de la substance concernée ; si le code NACE(BEL) du Fournisseur étranger était mentionné il a aussi été repris. Quand un même code NACE(BEL) a été retrouvé à plusieurs reprises pour le même nom générique</w:t>
      </w:r>
      <w:r w:rsidR="00224050">
        <w:rPr>
          <w:lang w:val="fr-FR"/>
        </w:rPr>
        <w:t xml:space="preserve">, </w:t>
      </w:r>
      <w:r w:rsidRPr="00BD15C9">
        <w:rPr>
          <w:lang w:val="fr-FR"/>
        </w:rPr>
        <w:t xml:space="preserve">il n'a été repris qu'une seule fois dans la liste à côté du nom générique. Pour chaque nom générique, les codes NACE(BEL) d'application ont été triés sur le numéro du code. </w:t>
      </w:r>
    </w:p>
    <w:p w14:paraId="0AF9757C" w14:textId="2C17F693" w:rsidR="0060522F" w:rsidRDefault="0060522F" w:rsidP="0060522F">
      <w:pPr>
        <w:jc w:val="both"/>
        <w:rPr>
          <w:lang w:val="fr-FR"/>
        </w:rPr>
      </w:pPr>
      <w:r w:rsidRPr="00BD15C9">
        <w:rPr>
          <w:lang w:val="fr-FR"/>
        </w:rPr>
        <w:t>Ces choix pourraient mener à ce que sur une même ligne du tableau on retrouve un certain nom chimique et un certain code NACE(BEL). Cela ne signifie pas qu'il y a un lien entre ce nom chimique et ce code NACE(BEL).</w:t>
      </w:r>
    </w:p>
    <w:p w14:paraId="2E5B1F79" w14:textId="77777777" w:rsidR="009C1236" w:rsidRPr="00BD15C9" w:rsidRDefault="009C1236" w:rsidP="0060522F">
      <w:pPr>
        <w:jc w:val="both"/>
        <w:rPr>
          <w:lang w:val="fr-FR"/>
        </w:rPr>
      </w:pPr>
    </w:p>
    <w:p w14:paraId="3090F2A7" w14:textId="77777777" w:rsidR="0060522F" w:rsidRPr="009C1236" w:rsidRDefault="0060522F" w:rsidP="00AA0C4E">
      <w:pPr>
        <w:spacing w:after="0"/>
        <w:jc w:val="both"/>
        <w:rPr>
          <w:sz w:val="16"/>
          <w:szCs w:val="16"/>
          <w:lang w:val="fr-FR"/>
        </w:rPr>
      </w:pPr>
      <w:r w:rsidRPr="009C1236">
        <w:rPr>
          <w:sz w:val="16"/>
          <w:szCs w:val="18"/>
          <w:lang w:val="fr-FR"/>
        </w:rPr>
        <w:t xml:space="preserve">Éditeur responsable : </w:t>
      </w:r>
    </w:p>
    <w:p w14:paraId="468FB1F2" w14:textId="7EBA51C6" w:rsidR="001A3C39" w:rsidRPr="009C1236" w:rsidRDefault="002A5C80" w:rsidP="00AA0C4E">
      <w:pPr>
        <w:spacing w:after="0"/>
        <w:jc w:val="both"/>
        <w:rPr>
          <w:sz w:val="16"/>
          <w:szCs w:val="16"/>
          <w:lang w:val="fr-FR"/>
        </w:rPr>
      </w:pPr>
      <w:r w:rsidRPr="009C1236">
        <w:rPr>
          <w:sz w:val="16"/>
          <w:szCs w:val="18"/>
          <w:lang w:val="fr-FR"/>
        </w:rPr>
        <w:t xml:space="preserve">Tom </w:t>
      </w:r>
      <w:proofErr w:type="spellStart"/>
      <w:r w:rsidRPr="009C1236">
        <w:rPr>
          <w:sz w:val="16"/>
          <w:szCs w:val="18"/>
          <w:lang w:val="fr-FR"/>
        </w:rPr>
        <w:t>Auwers</w:t>
      </w:r>
      <w:proofErr w:type="spellEnd"/>
    </w:p>
    <w:p w14:paraId="39F62D14" w14:textId="66F47317" w:rsidR="008D380E" w:rsidRDefault="00BA37F3" w:rsidP="00AA0C4E">
      <w:pPr>
        <w:spacing w:after="0"/>
        <w:jc w:val="both"/>
        <w:rPr>
          <w:sz w:val="16"/>
          <w:szCs w:val="18"/>
          <w:lang w:val="fr-FR"/>
        </w:rPr>
      </w:pPr>
      <w:r>
        <w:rPr>
          <w:sz w:val="16"/>
          <w:szCs w:val="18"/>
          <w:lang w:val="fr-FR"/>
        </w:rPr>
        <w:t>Avenue Galilée, 5/2</w:t>
      </w:r>
    </w:p>
    <w:p w14:paraId="140ECA86" w14:textId="15D37905" w:rsidR="00BA37F3" w:rsidRPr="009C1236" w:rsidRDefault="00BA37F3" w:rsidP="00AA0C4E">
      <w:pPr>
        <w:spacing w:after="0"/>
        <w:jc w:val="both"/>
        <w:rPr>
          <w:sz w:val="18"/>
          <w:szCs w:val="18"/>
          <w:lang w:val="en-GB"/>
        </w:rPr>
      </w:pPr>
      <w:r>
        <w:rPr>
          <w:sz w:val="16"/>
          <w:szCs w:val="18"/>
          <w:lang w:val="fr-FR"/>
        </w:rPr>
        <w:t>1210 Bruxelles</w:t>
      </w:r>
    </w:p>
    <w:p w14:paraId="5AE1ECDD" w14:textId="3ECD1ED4" w:rsidR="0075184B" w:rsidRPr="00BD15C9" w:rsidRDefault="0075184B" w:rsidP="00BB22C7">
      <w:pPr>
        <w:pStyle w:val="Titre1"/>
        <w:rPr>
          <w:lang w:val="en-GB"/>
        </w:rPr>
      </w:pPr>
      <w:bookmarkStart w:id="86" w:name="_Toc76034196"/>
      <w:proofErr w:type="spellStart"/>
      <w:r w:rsidRPr="00BD15C9">
        <w:rPr>
          <w:lang w:val="en-GB"/>
        </w:rPr>
        <w:lastRenderedPageBreak/>
        <w:t>Références</w:t>
      </w:r>
      <w:bookmarkEnd w:id="86"/>
      <w:proofErr w:type="spellEnd"/>
    </w:p>
    <w:p w14:paraId="2848BD1E" w14:textId="77777777" w:rsidR="0075184B" w:rsidRPr="00BD15C9" w:rsidRDefault="0075184B" w:rsidP="0075184B">
      <w:pPr>
        <w:rPr>
          <w:lang w:val="en-GB"/>
        </w:rPr>
      </w:pPr>
      <w:r w:rsidRPr="00BD15C9">
        <w:rPr>
          <w:lang w:val="en-GB"/>
        </w:rPr>
        <w:t xml:space="preserve">1. ‘There’s plenty of room at the bottom’ </w:t>
      </w:r>
      <w:hyperlink r:id="rId36" w:history="1">
        <w:r w:rsidRPr="00BD15C9">
          <w:rPr>
            <w:lang w:val="en-GB"/>
          </w:rPr>
          <w:t>http://www.its.caltech.edu/~feynman/plenty.html</w:t>
        </w:r>
      </w:hyperlink>
      <w:r w:rsidRPr="00BD15C9">
        <w:rPr>
          <w:lang w:val="en-GB"/>
        </w:rPr>
        <w:t xml:space="preserve"> </w:t>
      </w:r>
    </w:p>
    <w:p w14:paraId="098BF1C8" w14:textId="77777777" w:rsidR="0075184B" w:rsidRPr="00BD15C9" w:rsidRDefault="0075184B" w:rsidP="0075184B">
      <w:pPr>
        <w:rPr>
          <w:lang w:val="en-GB"/>
        </w:rPr>
      </w:pPr>
      <w:r w:rsidRPr="00BD15C9">
        <w:rPr>
          <w:lang w:val="en-GB"/>
        </w:rPr>
        <w:t xml:space="preserve">2. </w:t>
      </w:r>
      <w:hyperlink r:id="rId37" w:history="1">
        <w:r w:rsidRPr="00BD15C9">
          <w:rPr>
            <w:lang w:val="en-GB"/>
          </w:rPr>
          <w:t>https://www.nano.gov/nanotech-101/what/definition</w:t>
        </w:r>
      </w:hyperlink>
    </w:p>
    <w:p w14:paraId="58C73CE1" w14:textId="77777777" w:rsidR="0075184B" w:rsidRPr="00BD15C9" w:rsidRDefault="0075184B" w:rsidP="0075184B">
      <w:pPr>
        <w:rPr>
          <w:lang w:val="en-GB"/>
        </w:rPr>
      </w:pPr>
      <w:r w:rsidRPr="00BD15C9">
        <w:rPr>
          <w:lang w:val="en-GB"/>
        </w:rPr>
        <w:t xml:space="preserve">3. </w:t>
      </w:r>
      <w:hyperlink r:id="rId38" w:history="1">
        <w:r w:rsidRPr="00BD15C9">
          <w:rPr>
            <w:lang w:val="en-GB"/>
          </w:rPr>
          <w:t>https://www.scientificamerican.com/article/nanotechnologys-future/</w:t>
        </w:r>
      </w:hyperlink>
    </w:p>
    <w:p w14:paraId="6E77588E" w14:textId="5A8CA868" w:rsidR="0075184B" w:rsidRPr="00BD15C9" w:rsidRDefault="0075184B" w:rsidP="0075184B">
      <w:pPr>
        <w:rPr>
          <w:lang w:val="en-GB"/>
        </w:rPr>
      </w:pPr>
      <w:r w:rsidRPr="00BD15C9">
        <w:rPr>
          <w:lang w:val="en-GB"/>
        </w:rPr>
        <w:t>4. Size effect on the melting temperature of gold particles</w:t>
      </w:r>
      <w:r w:rsidRPr="00BD15C9">
        <w:rPr>
          <w:rFonts w:ascii="Arial" w:hAnsi="Arial" w:cs="Arial"/>
          <w:color w:val="222222"/>
          <w:sz w:val="18"/>
          <w:szCs w:val="18"/>
          <w:shd w:val="clear" w:color="auto" w:fill="F8F9FA"/>
          <w:lang w:val="en-GB"/>
        </w:rPr>
        <w:t>.</w:t>
      </w:r>
      <w:r w:rsidRPr="00BD15C9">
        <w:rPr>
          <w:i/>
          <w:lang w:val="en-GB"/>
        </w:rPr>
        <w:t xml:space="preserve"> Physical Review</w:t>
      </w:r>
      <w:r w:rsidRPr="00BD15C9">
        <w:rPr>
          <w:lang w:val="en-GB"/>
        </w:rPr>
        <w:t xml:space="preserve"> A 13 (6): 2287 . </w:t>
      </w:r>
      <w:hyperlink r:id="rId39" w:tooltip="Digital object identifier" w:history="1">
        <w:r w:rsidRPr="00BD15C9">
          <w:rPr>
            <w:lang w:val="en-GB"/>
          </w:rPr>
          <w:t>DOI</w:t>
        </w:r>
      </w:hyperlink>
      <w:r w:rsidRPr="00BD15C9">
        <w:rPr>
          <w:lang w:val="en-GB"/>
        </w:rPr>
        <w:t>:</w:t>
      </w:r>
      <w:hyperlink r:id="rId40" w:history="1">
        <w:r w:rsidRPr="00BD15C9">
          <w:rPr>
            <w:lang w:val="en-GB"/>
          </w:rPr>
          <w:t>10.1103/PhysRevA.13.2287</w:t>
        </w:r>
      </w:hyperlink>
    </w:p>
    <w:p w14:paraId="738D3119" w14:textId="77777777" w:rsidR="0075184B" w:rsidRPr="00BD15C9" w:rsidRDefault="0075184B" w:rsidP="0075184B">
      <w:pPr>
        <w:rPr>
          <w:lang w:val="en-GB"/>
        </w:rPr>
      </w:pPr>
      <w:r w:rsidRPr="00BD15C9">
        <w:rPr>
          <w:lang w:val="en-GB"/>
        </w:rPr>
        <w:t>5. Introduction to Nanomaterial Safety, An e-learning course developed by UNITAR’s Chemicals and Waste Management Programme</w:t>
      </w:r>
    </w:p>
    <w:p w14:paraId="0AA1937B" w14:textId="61257D77" w:rsidR="0075184B" w:rsidRPr="00BD15C9" w:rsidRDefault="0075184B" w:rsidP="0075184B">
      <w:pPr>
        <w:rPr>
          <w:rStyle w:val="Lienhypertexte"/>
          <w:lang w:val="en-GB"/>
        </w:rPr>
      </w:pPr>
      <w:r w:rsidRPr="00BD15C9">
        <w:rPr>
          <w:lang w:val="en-GB"/>
        </w:rPr>
        <w:t xml:space="preserve">6. </w:t>
      </w:r>
      <w:hyperlink r:id="rId41" w:anchor="0p0" w:history="1">
        <w:r w:rsidRPr="00BD15C9">
          <w:rPr>
            <w:lang w:val="en-GB"/>
          </w:rPr>
          <w:t>http://ec.europa.eu/health/scientific_committees/opinions_layman/en/nanotechnologies/l-3/6-health-effects-nanoparticles.htm#0p0</w:t>
        </w:r>
      </w:hyperlink>
    </w:p>
    <w:p w14:paraId="73A391D9" w14:textId="764B1658" w:rsidR="0075184B" w:rsidRPr="002A5C80" w:rsidRDefault="0075184B" w:rsidP="0075184B">
      <w:pPr>
        <w:rPr>
          <w:lang w:val="nl-BE"/>
        </w:rPr>
      </w:pPr>
      <w:r w:rsidRPr="002A5C80">
        <w:rPr>
          <w:lang w:val="nl-BE"/>
        </w:rPr>
        <w:t xml:space="preserve">7. </w:t>
      </w:r>
      <w:hyperlink r:id="rId42" w:history="1">
        <w:r w:rsidRPr="002A5C80">
          <w:rPr>
            <w:lang w:val="nl-BE"/>
          </w:rPr>
          <w:t>http://eur-lex.europa.eu/legal-content/NL/TXT/HTML/?uri=LEGISSUM:l32042&amp;</w:t>
        </w:r>
      </w:hyperlink>
      <w:r w:rsidRPr="002A5C80">
        <w:rPr>
          <w:lang w:val="nl-BE"/>
        </w:rPr>
        <w:t xml:space="preserve"> </w:t>
      </w:r>
      <w:proofErr w:type="spellStart"/>
      <w:r w:rsidRPr="002A5C80">
        <w:rPr>
          <w:lang w:val="nl-BE"/>
        </w:rPr>
        <w:t>from</w:t>
      </w:r>
      <w:proofErr w:type="spellEnd"/>
      <w:r w:rsidRPr="002A5C80">
        <w:rPr>
          <w:lang w:val="nl-BE"/>
        </w:rPr>
        <w:t>=EN</w:t>
      </w:r>
    </w:p>
    <w:p w14:paraId="651F2C90" w14:textId="39A51F30" w:rsidR="0075184B" w:rsidRPr="002A5C80" w:rsidRDefault="0075184B" w:rsidP="0075184B">
      <w:pPr>
        <w:rPr>
          <w:lang w:val="nl-BE"/>
        </w:rPr>
      </w:pPr>
      <w:r w:rsidRPr="002A5C80">
        <w:rPr>
          <w:lang w:val="nl-BE"/>
        </w:rPr>
        <w:t>8. https://nl.wikipedia.org/wiki/Safety-by-design</w:t>
      </w:r>
    </w:p>
    <w:p w14:paraId="77FD7E87" w14:textId="0EAA399A" w:rsidR="0075184B" w:rsidRPr="002A5C80" w:rsidRDefault="0075184B" w:rsidP="0075184B">
      <w:pPr>
        <w:rPr>
          <w:lang w:val="nl-BE"/>
        </w:rPr>
      </w:pPr>
      <w:r w:rsidRPr="002A5C80">
        <w:rPr>
          <w:lang w:val="nl-BE"/>
        </w:rPr>
        <w:t>9. https://ec.europa.eu/jrc/en/about/jrc-in-brief</w:t>
      </w:r>
    </w:p>
    <w:p w14:paraId="52EC08AA" w14:textId="33706F29" w:rsidR="0075184B" w:rsidRPr="00591D0C" w:rsidRDefault="0075184B" w:rsidP="0075184B">
      <w:pPr>
        <w:rPr>
          <w:lang w:val="nl-BE"/>
        </w:rPr>
      </w:pPr>
      <w:r w:rsidRPr="002A5C80">
        <w:rPr>
          <w:lang w:val="nl-BE"/>
        </w:rPr>
        <w:t xml:space="preserve">10. </w:t>
      </w:r>
      <w:hyperlink r:id="rId43" w:history="1">
        <w:r w:rsidRPr="00591D0C">
          <w:rPr>
            <w:lang w:val="nl-BE"/>
          </w:rPr>
          <w:t>https://ec.europa.eu/jrc/en/publication/eur-scientific-and-technical-research-reports/towards-review-ec-recommendation-definition-term-nanomaterial-part-1-compilation-information</w:t>
        </w:r>
      </w:hyperlink>
    </w:p>
    <w:p w14:paraId="441532E8" w14:textId="7B6543CB" w:rsidR="0075184B" w:rsidRPr="00591D0C" w:rsidRDefault="0075184B" w:rsidP="0075184B">
      <w:pPr>
        <w:rPr>
          <w:lang w:val="nl-BE"/>
        </w:rPr>
      </w:pPr>
      <w:r w:rsidRPr="002A5C80">
        <w:rPr>
          <w:lang w:val="nl-BE"/>
        </w:rPr>
        <w:t xml:space="preserve">11. </w:t>
      </w:r>
      <w:hyperlink r:id="rId44" w:history="1">
        <w:r w:rsidRPr="00591D0C">
          <w:rPr>
            <w:lang w:val="nl-BE"/>
          </w:rPr>
          <w:t>https://ec.europa.eu/jrc/en/publication/eur-scientific-and-technical-research-reports/towards-review-ec-recommendation-definition-term-nanomaterial-part-2-assessment-collected</w:t>
        </w:r>
      </w:hyperlink>
      <w:r w:rsidRPr="00591D0C">
        <w:rPr>
          <w:lang w:val="nl-BE"/>
        </w:rPr>
        <w:t xml:space="preserve"> </w:t>
      </w:r>
    </w:p>
    <w:p w14:paraId="7C4EBD41" w14:textId="76E6C305" w:rsidR="0075184B" w:rsidRPr="00591D0C" w:rsidRDefault="0075184B" w:rsidP="0075184B">
      <w:pPr>
        <w:rPr>
          <w:lang w:val="nl-BE"/>
        </w:rPr>
      </w:pPr>
      <w:r w:rsidRPr="002A5C80">
        <w:rPr>
          <w:lang w:val="nl-BE"/>
        </w:rPr>
        <w:t xml:space="preserve">12. </w:t>
      </w:r>
      <w:hyperlink r:id="rId45" w:history="1">
        <w:r w:rsidRPr="00591D0C">
          <w:rPr>
            <w:lang w:val="nl-BE"/>
          </w:rPr>
          <w:t>https://ec.europa.eu/jrc/en/publication/eur-scientific-and-technical-research-reports/towards-review-ec-recommendation-definition-term-nanomaterial-part-3-scientific-technical</w:t>
        </w:r>
      </w:hyperlink>
    </w:p>
    <w:p w14:paraId="73BF51AF" w14:textId="0DD495D3" w:rsidR="0075184B" w:rsidRPr="00591D0C" w:rsidRDefault="0075184B" w:rsidP="0075184B">
      <w:pPr>
        <w:rPr>
          <w:lang w:val="nl-BE"/>
        </w:rPr>
      </w:pPr>
      <w:r w:rsidRPr="002A5C80">
        <w:rPr>
          <w:lang w:val="nl-BE"/>
        </w:rPr>
        <w:t xml:space="preserve">13. </w:t>
      </w:r>
      <w:hyperlink r:id="rId46" w:history="1">
        <w:r w:rsidRPr="00591D0C">
          <w:rPr>
            <w:lang w:val="nl-BE"/>
          </w:rPr>
          <w:t>https://euon.echa.europa.eu/echa-s-activities-on-nanomaterials-under-reach-and-clp</w:t>
        </w:r>
      </w:hyperlink>
    </w:p>
    <w:p w14:paraId="0DAD9625" w14:textId="2F846EA2" w:rsidR="0075184B" w:rsidRPr="00591D0C" w:rsidRDefault="0075184B" w:rsidP="0075184B">
      <w:pPr>
        <w:rPr>
          <w:lang w:val="nl-BE"/>
        </w:rPr>
      </w:pPr>
      <w:r w:rsidRPr="002A5C80">
        <w:rPr>
          <w:lang w:val="nl-BE"/>
        </w:rPr>
        <w:t xml:space="preserve">14. </w:t>
      </w:r>
      <w:hyperlink r:id="rId47" w:history="1">
        <w:r w:rsidRPr="00591D0C">
          <w:rPr>
            <w:lang w:val="nl-BE"/>
          </w:rPr>
          <w:t>https://publications.europa.eu/en/publication-detail/-/publication/f50687f9-5764-4fe1-8f80-69d1dfa65bc9/language-nl</w:t>
        </w:r>
      </w:hyperlink>
    </w:p>
    <w:p w14:paraId="5765CEC0" w14:textId="0695126C" w:rsidR="0075184B" w:rsidRPr="00591D0C" w:rsidRDefault="0075184B" w:rsidP="0075184B">
      <w:pPr>
        <w:rPr>
          <w:lang w:val="nl-BE"/>
        </w:rPr>
      </w:pPr>
      <w:r w:rsidRPr="002A5C80">
        <w:rPr>
          <w:lang w:val="nl-BE"/>
        </w:rPr>
        <w:t xml:space="preserve">15. </w:t>
      </w:r>
      <w:hyperlink r:id="rId48" w:history="1">
        <w:r w:rsidRPr="00591D0C">
          <w:rPr>
            <w:lang w:val="nl-BE"/>
          </w:rPr>
          <w:t>https://publications.europa.eu/nl/publication-detail/-/publication/d42fe639-b080-11e6-aab7-01aa75ed71a1</w:t>
        </w:r>
      </w:hyperlink>
    </w:p>
    <w:p w14:paraId="77B97643" w14:textId="1FF07D59" w:rsidR="0075184B" w:rsidRPr="004F3B34" w:rsidRDefault="0075184B" w:rsidP="0075184B">
      <w:pPr>
        <w:rPr>
          <w:lang w:val="nl-BE"/>
        </w:rPr>
      </w:pPr>
      <w:r w:rsidRPr="004F3B34">
        <w:rPr>
          <w:lang w:val="nl-BE"/>
        </w:rPr>
        <w:t xml:space="preserve">16. </w:t>
      </w:r>
      <w:hyperlink r:id="rId49" w:history="1">
        <w:r w:rsidRPr="004F3B34">
          <w:rPr>
            <w:lang w:val="nl-BE"/>
          </w:rPr>
          <w:t xml:space="preserve">http://ec.europa.eu/growth/sectors/ </w:t>
        </w:r>
        <w:proofErr w:type="spellStart"/>
        <w:r w:rsidRPr="004F3B34">
          <w:rPr>
            <w:lang w:val="nl-BE"/>
          </w:rPr>
          <w:t>chemicals</w:t>
        </w:r>
        <w:proofErr w:type="spellEnd"/>
        <w:r w:rsidRPr="004F3B34">
          <w:rPr>
            <w:lang w:val="nl-BE"/>
          </w:rPr>
          <w:t>/reach/</w:t>
        </w:r>
        <w:proofErr w:type="spellStart"/>
        <w:r w:rsidRPr="004F3B34">
          <w:rPr>
            <w:lang w:val="nl-BE"/>
          </w:rPr>
          <w:t>nanomaterials_nl</w:t>
        </w:r>
        <w:proofErr w:type="spellEnd"/>
      </w:hyperlink>
    </w:p>
    <w:p w14:paraId="20FAD25E" w14:textId="68057714" w:rsidR="0075184B" w:rsidRPr="00591D0C" w:rsidRDefault="0075184B" w:rsidP="0075184B">
      <w:pPr>
        <w:rPr>
          <w:lang w:val="nl-BE"/>
        </w:rPr>
      </w:pPr>
      <w:r w:rsidRPr="004F3B34">
        <w:rPr>
          <w:lang w:val="nl-BE"/>
        </w:rPr>
        <w:t xml:space="preserve">17. </w:t>
      </w:r>
      <w:hyperlink r:id="rId50" w:history="1">
        <w:r w:rsidRPr="00591D0C">
          <w:rPr>
            <w:lang w:val="nl-BE"/>
          </w:rPr>
          <w:t>https://euon.echa.europa.eu/</w:t>
        </w:r>
      </w:hyperlink>
    </w:p>
    <w:p w14:paraId="51651486" w14:textId="34B61980" w:rsidR="0075184B" w:rsidRPr="004F3B34" w:rsidRDefault="0075184B" w:rsidP="0075184B">
      <w:pPr>
        <w:rPr>
          <w:lang w:val="nl-BE"/>
        </w:rPr>
      </w:pPr>
      <w:r w:rsidRPr="004F3B34">
        <w:rPr>
          <w:lang w:val="nl-BE"/>
        </w:rPr>
        <w:t xml:space="preserve">18. </w:t>
      </w:r>
      <w:hyperlink r:id="rId51" w:history="1">
        <w:r w:rsidRPr="004F3B34">
          <w:rPr>
            <w:lang w:val="nl-BE"/>
          </w:rPr>
          <w:t>https://euon.echa.europa.eu/nl/national-reporting-schemes</w:t>
        </w:r>
      </w:hyperlink>
    </w:p>
    <w:p w14:paraId="2DD1313F" w14:textId="48FD182B" w:rsidR="0075184B" w:rsidRPr="00BD15C9" w:rsidRDefault="0075184B" w:rsidP="0075184B">
      <w:pPr>
        <w:rPr>
          <w:lang w:val="en-GB"/>
        </w:rPr>
      </w:pPr>
      <w:r w:rsidRPr="00BD15C9">
        <w:rPr>
          <w:lang w:val="en-GB"/>
        </w:rPr>
        <w:t xml:space="preserve">19. </w:t>
      </w:r>
      <w:hyperlink r:id="rId52" w:history="1">
        <w:r w:rsidRPr="00BD15C9">
          <w:rPr>
            <w:lang w:val="en-GB"/>
          </w:rPr>
          <w:t>https://www.researchgate.net/</w:t>
        </w:r>
      </w:hyperlink>
      <w:r w:rsidRPr="00BD15C9">
        <w:rPr>
          <w:lang w:val="en-GB"/>
        </w:rPr>
        <w:t xml:space="preserve">publication /253638973_Study_of_the_scope_of_a_Belgian_national_register_for_nanomaterials_and_products_ </w:t>
      </w:r>
      <w:proofErr w:type="spellStart"/>
      <w:r w:rsidRPr="00BD15C9">
        <w:rPr>
          <w:lang w:val="en-GB"/>
        </w:rPr>
        <w:t>containing_nanomaterials</w:t>
      </w:r>
      <w:proofErr w:type="spellEnd"/>
    </w:p>
    <w:p w14:paraId="4D5B0C30" w14:textId="30950D34" w:rsidR="0075184B" w:rsidRPr="00BD15C9" w:rsidRDefault="0075184B" w:rsidP="0075184B">
      <w:pPr>
        <w:rPr>
          <w:lang w:val="es-ES"/>
        </w:rPr>
      </w:pPr>
      <w:r w:rsidRPr="00BD15C9">
        <w:rPr>
          <w:lang w:val="es-ES"/>
        </w:rPr>
        <w:t xml:space="preserve">20. </w:t>
      </w:r>
      <w:hyperlink w:history="1">
        <w:r w:rsidRPr="00BD15C9">
          <w:rPr>
            <w:lang w:val="es-ES"/>
          </w:rPr>
          <w:t>https://www.health.belgium.be /</w:t>
        </w:r>
        <w:proofErr w:type="spellStart"/>
        <w:r w:rsidRPr="00BD15C9">
          <w:rPr>
            <w:lang w:val="es-ES"/>
          </w:rPr>
          <w:t>nl</w:t>
        </w:r>
        <w:proofErr w:type="spellEnd"/>
        <w:r w:rsidRPr="00BD15C9">
          <w:rPr>
            <w:lang w:val="es-ES"/>
          </w:rPr>
          <w:t>/nano-kb-20140527</w:t>
        </w:r>
      </w:hyperlink>
    </w:p>
    <w:p w14:paraId="715B16F9" w14:textId="612846BA" w:rsidR="008D380E" w:rsidRPr="00BD15C9" w:rsidRDefault="0075184B" w:rsidP="0075184B">
      <w:pPr>
        <w:rPr>
          <w:lang w:val="fr-FR"/>
        </w:rPr>
      </w:pPr>
      <w:r w:rsidRPr="00BD15C9">
        <w:rPr>
          <w:lang w:val="fr-FR"/>
        </w:rPr>
        <w:t xml:space="preserve">21. </w:t>
      </w:r>
      <w:hyperlink r:id="rId53" w:history="1">
        <w:r w:rsidRPr="00BD15C9">
          <w:rPr>
            <w:lang w:val="fr-FR"/>
          </w:rPr>
          <w:t>www.nanoregistration.be</w:t>
        </w:r>
      </w:hyperlink>
    </w:p>
    <w:p w14:paraId="5656D599" w14:textId="612E284F" w:rsidR="00F23CD3" w:rsidRPr="00BD15C9" w:rsidRDefault="00F23CD3" w:rsidP="00F23CD3">
      <w:pPr>
        <w:rPr>
          <w:lang w:val="fr-FR"/>
        </w:rPr>
      </w:pPr>
      <w:r w:rsidRPr="00BD15C9">
        <w:rPr>
          <w:lang w:val="fr-FR"/>
        </w:rPr>
        <w:lastRenderedPageBreak/>
        <w:t xml:space="preserve">22. « Manuel pratique : comment soumettre un enregistrement », via </w:t>
      </w:r>
      <w:hyperlink r:id="rId54" w:history="1">
        <w:r w:rsidRPr="00BD15C9">
          <w:rPr>
            <w:lang w:val="fr-FR"/>
          </w:rPr>
          <w:t>www.nanoregistration.be</w:t>
        </w:r>
      </w:hyperlink>
    </w:p>
    <w:p w14:paraId="5C4D1F94" w14:textId="42CD3744" w:rsidR="00F23CD3" w:rsidRPr="00591D0C" w:rsidRDefault="00F23CD3" w:rsidP="00F23CD3">
      <w:pPr>
        <w:rPr>
          <w:lang w:val="fr-FR"/>
        </w:rPr>
      </w:pPr>
      <w:r w:rsidRPr="00BD15C9">
        <w:rPr>
          <w:lang w:val="fr-FR"/>
        </w:rPr>
        <w:t xml:space="preserve">23. </w:t>
      </w:r>
      <w:hyperlink r:id="rId55" w:history="1">
        <w:r w:rsidRPr="00591D0C">
          <w:rPr>
            <w:lang w:val="fr-FR"/>
          </w:rPr>
          <w:t>https://www.echa.europa.eu/</w:t>
        </w:r>
      </w:hyperlink>
    </w:p>
    <w:p w14:paraId="28138B1B" w14:textId="77777777" w:rsidR="00F23CD3" w:rsidRPr="00591D0C" w:rsidRDefault="00F23CD3" w:rsidP="0075184B">
      <w:pPr>
        <w:rPr>
          <w:lang w:val="fr-FR"/>
        </w:rPr>
      </w:pPr>
    </w:p>
    <w:p w14:paraId="55729098" w14:textId="3E416B62" w:rsidR="0075184B" w:rsidRPr="00591D0C" w:rsidRDefault="0075184B" w:rsidP="006A4F3F">
      <w:pPr>
        <w:jc w:val="both"/>
        <w:rPr>
          <w:lang w:val="fr-FR"/>
        </w:rPr>
        <w:sectPr w:rsidR="0075184B" w:rsidRPr="00591D0C" w:rsidSect="00806AFE">
          <w:headerReference w:type="default" r:id="rId56"/>
          <w:footerReference w:type="default" r:id="rId57"/>
          <w:headerReference w:type="first" r:id="rId58"/>
          <w:footerReference w:type="first" r:id="rId59"/>
          <w:pgSz w:w="12240" w:h="15840"/>
          <w:pgMar w:top="1440" w:right="1440" w:bottom="1440" w:left="1440" w:header="708" w:footer="708" w:gutter="0"/>
          <w:cols w:space="708"/>
          <w:titlePg/>
          <w:docGrid w:linePitch="360"/>
        </w:sectPr>
      </w:pPr>
    </w:p>
    <w:p w14:paraId="0598F1C8" w14:textId="53B593E1" w:rsidR="00601844" w:rsidRPr="00BD15C9" w:rsidRDefault="001A3C39" w:rsidP="00BB22C7">
      <w:pPr>
        <w:pStyle w:val="Titre1"/>
        <w:rPr>
          <w:lang w:val="fr-FR"/>
        </w:rPr>
      </w:pPr>
      <w:bookmarkStart w:id="87" w:name="_Toc76034197"/>
      <w:r w:rsidRPr="00BD15C9">
        <w:rPr>
          <w:lang w:val="fr-FR"/>
        </w:rPr>
        <w:lastRenderedPageBreak/>
        <w:t>Annexe : liste des substances enregistrées</w:t>
      </w:r>
      <w:bookmarkEnd w:id="87"/>
    </w:p>
    <w:tbl>
      <w:tblPr>
        <w:tblW w:w="9360" w:type="dxa"/>
        <w:tblLook w:val="04A0" w:firstRow="1" w:lastRow="0" w:firstColumn="1" w:lastColumn="0" w:noHBand="0" w:noVBand="1"/>
      </w:tblPr>
      <w:tblGrid>
        <w:gridCol w:w="9360"/>
      </w:tblGrid>
      <w:tr w:rsidR="00A00C78" w:rsidRPr="007F1FE2" w14:paraId="5FC634F1" w14:textId="77777777" w:rsidTr="00384923">
        <w:trPr>
          <w:trHeight w:val="288"/>
        </w:trPr>
        <w:tc>
          <w:tcPr>
            <w:tcW w:w="9360" w:type="dxa"/>
            <w:tcBorders>
              <w:top w:val="nil"/>
              <w:left w:val="nil"/>
              <w:bottom w:val="nil"/>
              <w:right w:val="nil"/>
            </w:tcBorders>
            <w:shd w:val="clear" w:color="auto" w:fill="auto"/>
            <w:noWrap/>
            <w:vAlign w:val="bottom"/>
          </w:tcPr>
          <w:p w14:paraId="2F4E0944" w14:textId="77777777" w:rsidR="00A00C78" w:rsidRPr="007F1FE2" w:rsidRDefault="00A00C78" w:rsidP="00384923">
            <w:pPr>
              <w:spacing w:after="0" w:line="240" w:lineRule="auto"/>
              <w:rPr>
                <w:rFonts w:eastAsia="Times New Roman" w:cs="Calibri"/>
                <w:color w:val="000000"/>
                <w:lang w:val="fr-BE"/>
              </w:rPr>
            </w:pPr>
          </w:p>
        </w:tc>
      </w:tr>
    </w:tbl>
    <w:tbl>
      <w:tblPr>
        <w:tblStyle w:val="Tableausimple5"/>
        <w:tblW w:w="12469" w:type="dxa"/>
        <w:tblInd w:w="5" w:type="dxa"/>
        <w:tblLook w:val="04A0" w:firstRow="1" w:lastRow="0" w:firstColumn="1" w:lastColumn="0" w:noHBand="0" w:noVBand="1"/>
      </w:tblPr>
      <w:tblGrid>
        <w:gridCol w:w="1696"/>
        <w:gridCol w:w="1701"/>
        <w:gridCol w:w="5954"/>
        <w:gridCol w:w="1559"/>
        <w:gridCol w:w="1559"/>
      </w:tblGrid>
      <w:tr w:rsidR="007F1FE2" w:rsidRPr="00EA2350" w14:paraId="452D8D2B" w14:textId="77777777" w:rsidTr="00FC2E7F">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1696" w:type="dxa"/>
            <w:noWrap/>
            <w:hideMark/>
          </w:tcPr>
          <w:p w14:paraId="50F16CA3" w14:textId="77777777" w:rsidR="007F1FE2" w:rsidRPr="00EA2350" w:rsidRDefault="007F1FE2" w:rsidP="00FC2E7F">
            <w:pPr>
              <w:jc w:val="center"/>
              <w:rPr>
                <w:rFonts w:ascii="Calibri" w:eastAsia="Times New Roman" w:hAnsi="Calibri" w:cs="Calibri"/>
                <w:b/>
                <w:bCs/>
                <w:color w:val="000000"/>
                <w:lang w:val="en-US"/>
              </w:rPr>
            </w:pPr>
            <w:r w:rsidRPr="00EA2350">
              <w:rPr>
                <w:rFonts w:ascii="Calibri" w:eastAsia="Times New Roman" w:hAnsi="Calibri" w:cs="Calibri"/>
                <w:b/>
                <w:bCs/>
                <w:color w:val="000000"/>
                <w:lang w:val="en-US"/>
              </w:rPr>
              <w:t>CAS Number</w:t>
            </w:r>
          </w:p>
        </w:tc>
        <w:tc>
          <w:tcPr>
            <w:tcW w:w="1701" w:type="dxa"/>
            <w:noWrap/>
            <w:hideMark/>
          </w:tcPr>
          <w:p w14:paraId="58E17ABC" w14:textId="77777777" w:rsidR="007F1FE2" w:rsidRPr="00EA2350" w:rsidRDefault="007F1FE2" w:rsidP="00FC2E7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lang w:val="en-US"/>
              </w:rPr>
            </w:pPr>
            <w:r w:rsidRPr="00EA2350">
              <w:rPr>
                <w:rFonts w:ascii="Calibri" w:eastAsia="Times New Roman" w:hAnsi="Calibri" w:cs="Calibri"/>
                <w:b/>
                <w:bCs/>
                <w:color w:val="000000"/>
                <w:lang w:val="en-US"/>
              </w:rPr>
              <w:t>EC Number</w:t>
            </w:r>
          </w:p>
        </w:tc>
        <w:tc>
          <w:tcPr>
            <w:tcW w:w="5954" w:type="dxa"/>
            <w:noWrap/>
            <w:hideMark/>
          </w:tcPr>
          <w:p w14:paraId="5D2E701D" w14:textId="77777777" w:rsidR="007F1FE2" w:rsidRPr="00EA2350" w:rsidRDefault="007F1FE2" w:rsidP="00FC2E7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lang w:val="en-US"/>
              </w:rPr>
            </w:pPr>
            <w:r w:rsidRPr="00EA2350">
              <w:rPr>
                <w:rFonts w:ascii="Calibri" w:eastAsia="Times New Roman" w:hAnsi="Calibri" w:cs="Calibri"/>
                <w:b/>
                <w:bCs/>
                <w:lang w:val="en-US"/>
              </w:rPr>
              <w:t>Chemical names used in the registration</w:t>
            </w:r>
          </w:p>
        </w:tc>
        <w:tc>
          <w:tcPr>
            <w:tcW w:w="1559" w:type="dxa"/>
            <w:noWrap/>
            <w:hideMark/>
          </w:tcPr>
          <w:p w14:paraId="598FDF00" w14:textId="77777777" w:rsidR="007F1FE2" w:rsidRPr="00EA2350" w:rsidRDefault="007F1FE2" w:rsidP="00FC2E7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lang w:val="en-US"/>
              </w:rPr>
            </w:pPr>
            <w:r w:rsidRPr="00EA2350">
              <w:rPr>
                <w:rFonts w:ascii="Calibri" w:eastAsia="Times New Roman" w:hAnsi="Calibri" w:cs="Calibri"/>
                <w:b/>
                <w:bCs/>
                <w:color w:val="000000"/>
                <w:lang w:val="en-US"/>
              </w:rPr>
              <w:t>Tonnage</w:t>
            </w:r>
          </w:p>
        </w:tc>
        <w:tc>
          <w:tcPr>
            <w:tcW w:w="1559" w:type="dxa"/>
            <w:noWrap/>
            <w:hideMark/>
          </w:tcPr>
          <w:p w14:paraId="7F6AF45D" w14:textId="7FABB5EE" w:rsidR="007F1FE2" w:rsidRPr="00EA2350" w:rsidRDefault="007F1FE2" w:rsidP="00FC2E7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lang w:val="en-US"/>
              </w:rPr>
            </w:pPr>
            <w:r w:rsidRPr="00EA2350">
              <w:rPr>
                <w:rFonts w:ascii="Calibri" w:eastAsia="Times New Roman" w:hAnsi="Calibri" w:cs="Calibri"/>
                <w:b/>
                <w:bCs/>
                <w:color w:val="000000"/>
                <w:lang w:val="en-US"/>
              </w:rPr>
              <w:t>NACE Codes</w:t>
            </w:r>
            <w:r>
              <w:rPr>
                <w:rStyle w:val="Appelnotedebasdep"/>
                <w:rFonts w:ascii="Calibri" w:eastAsia="Times New Roman" w:hAnsi="Calibri" w:cs="Calibri"/>
                <w:b/>
                <w:bCs/>
                <w:color w:val="000000"/>
                <w:lang w:val="en-US"/>
              </w:rPr>
              <w:footnoteReference w:id="1"/>
            </w:r>
          </w:p>
        </w:tc>
      </w:tr>
      <w:tr w:rsidR="007F1FE2" w:rsidRPr="00EA2350" w14:paraId="2876A811" w14:textId="77777777" w:rsidTr="00FC2E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7F8D8E59"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81-48-1</w:t>
            </w:r>
          </w:p>
        </w:tc>
        <w:tc>
          <w:tcPr>
            <w:tcW w:w="1701" w:type="dxa"/>
            <w:noWrap/>
            <w:hideMark/>
          </w:tcPr>
          <w:p w14:paraId="749AE377" w14:textId="77777777" w:rsidR="007F1FE2" w:rsidRPr="00EA2350" w:rsidRDefault="007F1FE2" w:rsidP="00FC2E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201-353-5</w:t>
            </w:r>
          </w:p>
        </w:tc>
        <w:tc>
          <w:tcPr>
            <w:tcW w:w="5954" w:type="dxa"/>
            <w:noWrap/>
            <w:hideMark/>
          </w:tcPr>
          <w:p w14:paraId="7515453D"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1-hydroxy-4-(p-</w:t>
            </w:r>
            <w:proofErr w:type="spellStart"/>
            <w:r w:rsidRPr="00EA2350">
              <w:rPr>
                <w:rFonts w:ascii="Calibri" w:eastAsia="Times New Roman" w:hAnsi="Calibri" w:cs="Calibri"/>
                <w:color w:val="000000"/>
                <w:lang w:val="en-US"/>
              </w:rPr>
              <w:t>toluidino</w:t>
            </w:r>
            <w:proofErr w:type="spellEnd"/>
            <w:r w:rsidRPr="00EA2350">
              <w:rPr>
                <w:rFonts w:ascii="Calibri" w:eastAsia="Times New Roman" w:hAnsi="Calibri" w:cs="Calibri"/>
                <w:color w:val="000000"/>
                <w:lang w:val="en-US"/>
              </w:rPr>
              <w:t>)anthraquinone</w:t>
            </w:r>
          </w:p>
        </w:tc>
        <w:tc>
          <w:tcPr>
            <w:tcW w:w="1559" w:type="dxa"/>
            <w:noWrap/>
            <w:hideMark/>
          </w:tcPr>
          <w:p w14:paraId="4C0E1C7C"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5467AD78" w14:textId="77777777" w:rsidR="007F1FE2" w:rsidRPr="00EA2350" w:rsidRDefault="007F1FE2" w:rsidP="00FC2E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7F1FE2" w:rsidRPr="00EA2350" w14:paraId="3131DDD9" w14:textId="77777777" w:rsidTr="00FC2E7F">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6B1A54FD"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116-75-6</w:t>
            </w:r>
          </w:p>
        </w:tc>
        <w:tc>
          <w:tcPr>
            <w:tcW w:w="1701" w:type="dxa"/>
            <w:noWrap/>
            <w:hideMark/>
          </w:tcPr>
          <w:p w14:paraId="6C3B4C51" w14:textId="77777777" w:rsidR="007F1FE2" w:rsidRPr="00EA2350" w:rsidRDefault="007F1FE2" w:rsidP="00FC2E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204-155-7</w:t>
            </w:r>
          </w:p>
        </w:tc>
        <w:tc>
          <w:tcPr>
            <w:tcW w:w="5954" w:type="dxa"/>
            <w:noWrap/>
            <w:hideMark/>
          </w:tcPr>
          <w:p w14:paraId="39EBBA89"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1,4-bis(</w:t>
            </w:r>
            <w:proofErr w:type="spellStart"/>
            <w:r w:rsidRPr="00EA2350">
              <w:rPr>
                <w:rFonts w:ascii="Calibri" w:eastAsia="Times New Roman" w:hAnsi="Calibri" w:cs="Calibri"/>
                <w:color w:val="000000"/>
                <w:lang w:val="en-US"/>
              </w:rPr>
              <w:t>mesitylamino</w:t>
            </w:r>
            <w:proofErr w:type="spellEnd"/>
            <w:r w:rsidRPr="00EA2350">
              <w:rPr>
                <w:rFonts w:ascii="Calibri" w:eastAsia="Times New Roman" w:hAnsi="Calibri" w:cs="Calibri"/>
                <w:color w:val="000000"/>
                <w:lang w:val="en-US"/>
              </w:rPr>
              <w:t>)anthraquinone</w:t>
            </w:r>
          </w:p>
        </w:tc>
        <w:tc>
          <w:tcPr>
            <w:tcW w:w="1559" w:type="dxa"/>
            <w:noWrap/>
            <w:hideMark/>
          </w:tcPr>
          <w:p w14:paraId="235FDE08"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0,1 - 1t</w:t>
            </w:r>
          </w:p>
        </w:tc>
        <w:tc>
          <w:tcPr>
            <w:tcW w:w="1559" w:type="dxa"/>
            <w:noWrap/>
            <w:hideMark/>
          </w:tcPr>
          <w:p w14:paraId="2FD59E97" w14:textId="77777777" w:rsidR="007F1FE2" w:rsidRPr="00EA2350" w:rsidRDefault="007F1FE2" w:rsidP="00FC2E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7F1FE2" w:rsidRPr="00EA2350" w14:paraId="4FA813C2" w14:textId="77777777" w:rsidTr="00FC2E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6118A340" w14:textId="77777777" w:rsidR="007F1FE2" w:rsidRPr="00EA2350" w:rsidRDefault="007F1FE2" w:rsidP="00FC2E7F">
            <w:pPr>
              <w:jc w:val="center"/>
              <w:rPr>
                <w:rFonts w:ascii="Calibri" w:eastAsia="Times New Roman" w:hAnsi="Calibri" w:cs="Calibri"/>
                <w:b/>
                <w:bCs/>
                <w:color w:val="000000"/>
                <w:sz w:val="22"/>
                <w:lang w:val="en-US"/>
              </w:rPr>
            </w:pPr>
          </w:p>
        </w:tc>
        <w:tc>
          <w:tcPr>
            <w:tcW w:w="1701" w:type="dxa"/>
            <w:noWrap/>
            <w:hideMark/>
          </w:tcPr>
          <w:p w14:paraId="093BAACA" w14:textId="77777777" w:rsidR="007F1FE2" w:rsidRPr="00EA2350" w:rsidRDefault="007F1FE2" w:rsidP="00FC2E7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5113C75F"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SOLVENT BLUE 104</w:t>
            </w:r>
          </w:p>
        </w:tc>
        <w:tc>
          <w:tcPr>
            <w:tcW w:w="1559" w:type="dxa"/>
            <w:noWrap/>
            <w:hideMark/>
          </w:tcPr>
          <w:p w14:paraId="7ED465FE"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3559C35A"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r>
      <w:tr w:rsidR="007F1FE2" w:rsidRPr="00EA2350" w14:paraId="0F485DFF" w14:textId="77777777" w:rsidTr="00FC2E7F">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7E0ADEED"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128-80-3</w:t>
            </w:r>
          </w:p>
        </w:tc>
        <w:tc>
          <w:tcPr>
            <w:tcW w:w="1701" w:type="dxa"/>
            <w:noWrap/>
            <w:hideMark/>
          </w:tcPr>
          <w:p w14:paraId="0217280E" w14:textId="77777777" w:rsidR="007F1FE2" w:rsidRPr="00EA2350" w:rsidRDefault="007F1FE2" w:rsidP="00FC2E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204-909-5</w:t>
            </w:r>
          </w:p>
        </w:tc>
        <w:tc>
          <w:tcPr>
            <w:tcW w:w="5954" w:type="dxa"/>
            <w:noWrap/>
            <w:hideMark/>
          </w:tcPr>
          <w:p w14:paraId="4D686199"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1,4-Bis(p-</w:t>
            </w:r>
            <w:proofErr w:type="spellStart"/>
            <w:r w:rsidRPr="00EA2350">
              <w:rPr>
                <w:rFonts w:ascii="Calibri" w:eastAsia="Times New Roman" w:hAnsi="Calibri" w:cs="Calibri"/>
                <w:color w:val="000000"/>
                <w:lang w:val="en-US"/>
              </w:rPr>
              <w:t>tolylamino</w:t>
            </w:r>
            <w:proofErr w:type="spellEnd"/>
            <w:r w:rsidRPr="00EA2350">
              <w:rPr>
                <w:rFonts w:ascii="Calibri" w:eastAsia="Times New Roman" w:hAnsi="Calibri" w:cs="Calibri"/>
                <w:color w:val="000000"/>
                <w:lang w:val="en-US"/>
              </w:rPr>
              <w:t>)anthraquinone</w:t>
            </w:r>
          </w:p>
        </w:tc>
        <w:tc>
          <w:tcPr>
            <w:tcW w:w="1559" w:type="dxa"/>
            <w:noWrap/>
            <w:hideMark/>
          </w:tcPr>
          <w:p w14:paraId="3875137C"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7E7951E9" w14:textId="77777777" w:rsidR="007F1FE2" w:rsidRPr="00EA2350" w:rsidRDefault="007F1FE2" w:rsidP="00FC2E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7F1FE2" w:rsidRPr="00EA2350" w14:paraId="360CBC03" w14:textId="77777777" w:rsidTr="00FC2E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664AA6F9"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144-55-8</w:t>
            </w:r>
          </w:p>
        </w:tc>
        <w:tc>
          <w:tcPr>
            <w:tcW w:w="1701" w:type="dxa"/>
            <w:noWrap/>
            <w:hideMark/>
          </w:tcPr>
          <w:p w14:paraId="58F48628" w14:textId="77777777" w:rsidR="007F1FE2" w:rsidRPr="00EA2350" w:rsidRDefault="007F1FE2" w:rsidP="00FC2E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205-633-8</w:t>
            </w:r>
          </w:p>
        </w:tc>
        <w:tc>
          <w:tcPr>
            <w:tcW w:w="5954" w:type="dxa"/>
            <w:noWrap/>
            <w:hideMark/>
          </w:tcPr>
          <w:p w14:paraId="37CB955B"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Sodium Bicarbonate</w:t>
            </w:r>
          </w:p>
        </w:tc>
        <w:tc>
          <w:tcPr>
            <w:tcW w:w="1559" w:type="dxa"/>
            <w:noWrap/>
            <w:hideMark/>
          </w:tcPr>
          <w:p w14:paraId="182DA252"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&gt;1000t</w:t>
            </w:r>
          </w:p>
        </w:tc>
        <w:tc>
          <w:tcPr>
            <w:tcW w:w="1559" w:type="dxa"/>
            <w:noWrap/>
            <w:hideMark/>
          </w:tcPr>
          <w:p w14:paraId="29B8EA99" w14:textId="77777777" w:rsidR="007F1FE2" w:rsidRPr="00EA2350" w:rsidRDefault="007F1FE2" w:rsidP="00FC2E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w:t>
            </w:r>
          </w:p>
        </w:tc>
      </w:tr>
      <w:tr w:rsidR="007F1FE2" w:rsidRPr="00EA2350" w14:paraId="6A9A8208" w14:textId="77777777" w:rsidTr="00FC2E7F">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21957D0F"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147-14-8</w:t>
            </w:r>
          </w:p>
        </w:tc>
        <w:tc>
          <w:tcPr>
            <w:tcW w:w="1701" w:type="dxa"/>
            <w:noWrap/>
            <w:hideMark/>
          </w:tcPr>
          <w:p w14:paraId="7EEB643D" w14:textId="77777777" w:rsidR="007F1FE2" w:rsidRPr="00EA2350" w:rsidRDefault="007F1FE2" w:rsidP="00FC2E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205-685-1</w:t>
            </w:r>
          </w:p>
        </w:tc>
        <w:tc>
          <w:tcPr>
            <w:tcW w:w="5954" w:type="dxa"/>
            <w:noWrap/>
            <w:hideMark/>
          </w:tcPr>
          <w:p w14:paraId="2771766B"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29H,31H-phthalocyaninato(2-)-N29,N30,N31,N32 copper</w:t>
            </w:r>
          </w:p>
        </w:tc>
        <w:tc>
          <w:tcPr>
            <w:tcW w:w="1559" w:type="dxa"/>
            <w:noWrap/>
            <w:hideMark/>
          </w:tcPr>
          <w:p w14:paraId="46D89CE5"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&gt;1000t</w:t>
            </w:r>
          </w:p>
        </w:tc>
        <w:tc>
          <w:tcPr>
            <w:tcW w:w="1559" w:type="dxa"/>
            <w:noWrap/>
            <w:hideMark/>
          </w:tcPr>
          <w:p w14:paraId="7F07D59A" w14:textId="77777777" w:rsidR="007F1FE2" w:rsidRPr="00EA2350" w:rsidRDefault="007F1FE2" w:rsidP="00FC2E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7F1FE2" w:rsidRPr="00EA2350" w14:paraId="332CB66E" w14:textId="77777777" w:rsidTr="00FC2E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447B6E4F" w14:textId="77777777" w:rsidR="007F1FE2" w:rsidRPr="00EA2350" w:rsidRDefault="007F1FE2" w:rsidP="00FC2E7F">
            <w:pPr>
              <w:jc w:val="center"/>
              <w:rPr>
                <w:rFonts w:ascii="Calibri" w:eastAsia="Times New Roman" w:hAnsi="Calibri" w:cs="Calibri"/>
                <w:b/>
                <w:bCs/>
                <w:color w:val="000000"/>
                <w:sz w:val="22"/>
                <w:lang w:val="en-US"/>
              </w:rPr>
            </w:pPr>
          </w:p>
        </w:tc>
        <w:tc>
          <w:tcPr>
            <w:tcW w:w="1701" w:type="dxa"/>
            <w:noWrap/>
            <w:hideMark/>
          </w:tcPr>
          <w:p w14:paraId="4E439AC6" w14:textId="77777777" w:rsidR="007F1FE2" w:rsidRPr="00EA2350" w:rsidRDefault="007F1FE2" w:rsidP="00FC2E7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1295821D"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C.I. Pigment Blue 15</w:t>
            </w:r>
          </w:p>
        </w:tc>
        <w:tc>
          <w:tcPr>
            <w:tcW w:w="1559" w:type="dxa"/>
            <w:noWrap/>
            <w:hideMark/>
          </w:tcPr>
          <w:p w14:paraId="0CAD4065"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6D8C1C75" w14:textId="77777777" w:rsidR="007F1FE2" w:rsidRPr="00EA2350" w:rsidRDefault="007F1FE2" w:rsidP="00FC2E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20120</w:t>
            </w:r>
          </w:p>
        </w:tc>
      </w:tr>
      <w:tr w:rsidR="007F1FE2" w:rsidRPr="00EA2350" w14:paraId="3BB6875D" w14:textId="77777777" w:rsidTr="00FC2E7F">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555F729A" w14:textId="77777777" w:rsidR="007F1FE2" w:rsidRPr="00EA2350" w:rsidRDefault="007F1FE2" w:rsidP="00FC2E7F">
            <w:pPr>
              <w:jc w:val="center"/>
              <w:rPr>
                <w:rFonts w:ascii="Calibri" w:eastAsia="Times New Roman" w:hAnsi="Calibri" w:cs="Calibri"/>
                <w:b/>
                <w:bCs/>
                <w:color w:val="000000"/>
                <w:sz w:val="22"/>
                <w:lang w:val="en-US"/>
              </w:rPr>
            </w:pPr>
          </w:p>
        </w:tc>
        <w:tc>
          <w:tcPr>
            <w:tcW w:w="1701" w:type="dxa"/>
            <w:noWrap/>
            <w:hideMark/>
          </w:tcPr>
          <w:p w14:paraId="49BC5337" w14:textId="77777777" w:rsidR="007F1FE2" w:rsidRPr="00EA2350" w:rsidRDefault="007F1FE2" w:rsidP="00FC2E7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58D13394"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Pigment Blue 15</w:t>
            </w:r>
          </w:p>
        </w:tc>
        <w:tc>
          <w:tcPr>
            <w:tcW w:w="1559" w:type="dxa"/>
            <w:noWrap/>
            <w:hideMark/>
          </w:tcPr>
          <w:p w14:paraId="6CB4A35B"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68EBDE28" w14:textId="77777777" w:rsidR="007F1FE2" w:rsidRPr="00EA2350" w:rsidRDefault="007F1FE2" w:rsidP="00FC2E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20590</w:t>
            </w:r>
          </w:p>
        </w:tc>
      </w:tr>
      <w:tr w:rsidR="007F1FE2" w:rsidRPr="00EA2350" w14:paraId="5467A20F" w14:textId="77777777" w:rsidTr="00FC2E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6473C4AA" w14:textId="77777777" w:rsidR="007F1FE2" w:rsidRPr="00EA2350" w:rsidRDefault="007F1FE2" w:rsidP="00FC2E7F">
            <w:pPr>
              <w:jc w:val="center"/>
              <w:rPr>
                <w:rFonts w:ascii="Calibri" w:eastAsia="Times New Roman" w:hAnsi="Calibri" w:cs="Calibri"/>
                <w:b/>
                <w:bCs/>
                <w:color w:val="000000"/>
                <w:sz w:val="22"/>
                <w:lang w:val="en-US"/>
              </w:rPr>
            </w:pPr>
          </w:p>
        </w:tc>
        <w:tc>
          <w:tcPr>
            <w:tcW w:w="1701" w:type="dxa"/>
            <w:noWrap/>
            <w:hideMark/>
          </w:tcPr>
          <w:p w14:paraId="484C8B58" w14:textId="77777777" w:rsidR="007F1FE2" w:rsidRPr="00EA2350" w:rsidRDefault="007F1FE2" w:rsidP="00FC2E7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3B8A83CA"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Pigment Blue 15.3</w:t>
            </w:r>
          </w:p>
        </w:tc>
        <w:tc>
          <w:tcPr>
            <w:tcW w:w="1559" w:type="dxa"/>
            <w:noWrap/>
            <w:hideMark/>
          </w:tcPr>
          <w:p w14:paraId="4BEEA789"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1D9E13BB" w14:textId="77777777" w:rsidR="007F1FE2" w:rsidRPr="00EA2350" w:rsidRDefault="007F1FE2" w:rsidP="00FC2E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203</w:t>
            </w:r>
          </w:p>
        </w:tc>
      </w:tr>
      <w:tr w:rsidR="007F1FE2" w:rsidRPr="00EA2350" w14:paraId="329C85E6" w14:textId="77777777" w:rsidTr="00FC2E7F">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26C0EAF9" w14:textId="77777777" w:rsidR="007F1FE2" w:rsidRPr="00EA2350" w:rsidRDefault="007F1FE2" w:rsidP="00FC2E7F">
            <w:pPr>
              <w:jc w:val="center"/>
              <w:rPr>
                <w:rFonts w:ascii="Calibri" w:eastAsia="Times New Roman" w:hAnsi="Calibri" w:cs="Calibri"/>
                <w:b/>
                <w:bCs/>
                <w:color w:val="000000"/>
                <w:sz w:val="22"/>
                <w:lang w:val="en-US"/>
              </w:rPr>
            </w:pPr>
          </w:p>
        </w:tc>
        <w:tc>
          <w:tcPr>
            <w:tcW w:w="1701" w:type="dxa"/>
            <w:noWrap/>
            <w:hideMark/>
          </w:tcPr>
          <w:p w14:paraId="52031DE9" w14:textId="77777777" w:rsidR="007F1FE2" w:rsidRPr="00EA2350" w:rsidRDefault="007F1FE2" w:rsidP="00FC2E7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5C9F4A1C"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Pigment Blue 15:1</w:t>
            </w:r>
          </w:p>
        </w:tc>
        <w:tc>
          <w:tcPr>
            <w:tcW w:w="1559" w:type="dxa"/>
            <w:noWrap/>
            <w:hideMark/>
          </w:tcPr>
          <w:p w14:paraId="65EB0589"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04405228"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r>
      <w:tr w:rsidR="007F1FE2" w:rsidRPr="00EA2350" w14:paraId="3D99D8D4" w14:textId="77777777" w:rsidTr="00FC2E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39C99954"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471-34-1</w:t>
            </w:r>
          </w:p>
        </w:tc>
        <w:tc>
          <w:tcPr>
            <w:tcW w:w="1701" w:type="dxa"/>
            <w:noWrap/>
            <w:hideMark/>
          </w:tcPr>
          <w:p w14:paraId="060BFE04" w14:textId="77777777" w:rsidR="007F1FE2" w:rsidRPr="00EA2350" w:rsidRDefault="007F1FE2" w:rsidP="00FC2E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207-439-9</w:t>
            </w:r>
          </w:p>
        </w:tc>
        <w:tc>
          <w:tcPr>
            <w:tcW w:w="5954" w:type="dxa"/>
            <w:noWrap/>
            <w:hideMark/>
          </w:tcPr>
          <w:p w14:paraId="151C9268"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Calcium Carbonate</w:t>
            </w:r>
          </w:p>
        </w:tc>
        <w:tc>
          <w:tcPr>
            <w:tcW w:w="1559" w:type="dxa"/>
            <w:noWrap/>
            <w:hideMark/>
          </w:tcPr>
          <w:p w14:paraId="0429670B"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&gt;1000t</w:t>
            </w:r>
          </w:p>
        </w:tc>
        <w:tc>
          <w:tcPr>
            <w:tcW w:w="1559" w:type="dxa"/>
            <w:noWrap/>
            <w:hideMark/>
          </w:tcPr>
          <w:p w14:paraId="4362BA82" w14:textId="77777777" w:rsidR="007F1FE2" w:rsidRPr="00EA2350" w:rsidRDefault="007F1FE2" w:rsidP="00FC2E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811101</w:t>
            </w:r>
          </w:p>
        </w:tc>
      </w:tr>
      <w:tr w:rsidR="007F1FE2" w:rsidRPr="00EA2350" w14:paraId="7A06CB8E" w14:textId="77777777" w:rsidTr="00FC2E7F">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5220216B" w14:textId="77777777" w:rsidR="007F1FE2" w:rsidRPr="00EA2350" w:rsidRDefault="007F1FE2" w:rsidP="00FC2E7F">
            <w:pPr>
              <w:jc w:val="center"/>
              <w:rPr>
                <w:rFonts w:ascii="Calibri" w:eastAsia="Times New Roman" w:hAnsi="Calibri" w:cs="Calibri"/>
                <w:b/>
                <w:bCs/>
                <w:color w:val="000000"/>
                <w:sz w:val="22"/>
                <w:lang w:val="en-US"/>
              </w:rPr>
            </w:pPr>
          </w:p>
        </w:tc>
        <w:tc>
          <w:tcPr>
            <w:tcW w:w="1701" w:type="dxa"/>
            <w:noWrap/>
            <w:hideMark/>
          </w:tcPr>
          <w:p w14:paraId="35AEEEFF" w14:textId="77777777" w:rsidR="007F1FE2" w:rsidRPr="00EA2350" w:rsidRDefault="007F1FE2" w:rsidP="00FC2E7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13138069"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Precipit</w:t>
            </w:r>
            <w:r>
              <w:rPr>
                <w:rFonts w:ascii="Calibri" w:eastAsia="Times New Roman" w:hAnsi="Calibri" w:cs="Calibri"/>
                <w:color w:val="000000"/>
                <w:lang w:val="en-US"/>
              </w:rPr>
              <w:t>at</w:t>
            </w:r>
            <w:r w:rsidRPr="00EA2350">
              <w:rPr>
                <w:rFonts w:ascii="Calibri" w:eastAsia="Times New Roman" w:hAnsi="Calibri" w:cs="Calibri"/>
                <w:color w:val="000000"/>
                <w:lang w:val="en-US"/>
              </w:rPr>
              <w:t>ed calcium carbonate</w:t>
            </w:r>
          </w:p>
        </w:tc>
        <w:tc>
          <w:tcPr>
            <w:tcW w:w="1559" w:type="dxa"/>
            <w:noWrap/>
            <w:hideMark/>
          </w:tcPr>
          <w:p w14:paraId="6E31F277"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0D2FB386" w14:textId="77777777" w:rsidR="007F1FE2" w:rsidRPr="00EA2350" w:rsidRDefault="007F1FE2" w:rsidP="00FC2E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899001</w:t>
            </w:r>
          </w:p>
        </w:tc>
      </w:tr>
      <w:tr w:rsidR="007F1FE2" w:rsidRPr="00EA2350" w14:paraId="1B3FBAAE" w14:textId="77777777" w:rsidTr="00FC2E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71BC0968"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522-75-8</w:t>
            </w:r>
          </w:p>
        </w:tc>
        <w:tc>
          <w:tcPr>
            <w:tcW w:w="1701" w:type="dxa"/>
            <w:noWrap/>
            <w:hideMark/>
          </w:tcPr>
          <w:p w14:paraId="55C1E0AD" w14:textId="77777777" w:rsidR="007F1FE2" w:rsidRPr="00EA2350" w:rsidRDefault="007F1FE2" w:rsidP="00FC2E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208-336-1</w:t>
            </w:r>
          </w:p>
        </w:tc>
        <w:tc>
          <w:tcPr>
            <w:tcW w:w="5954" w:type="dxa"/>
            <w:noWrap/>
            <w:hideMark/>
          </w:tcPr>
          <w:p w14:paraId="09D53D78"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2-(3-Oxobenzo[b]thien-2(3H)-</w:t>
            </w:r>
            <w:proofErr w:type="spellStart"/>
            <w:r w:rsidRPr="00EA2350">
              <w:rPr>
                <w:rFonts w:ascii="Calibri" w:eastAsia="Times New Roman" w:hAnsi="Calibri" w:cs="Calibri"/>
                <w:color w:val="000000"/>
                <w:lang w:val="en-US"/>
              </w:rPr>
              <w:t>ylidene</w:t>
            </w:r>
            <w:proofErr w:type="spellEnd"/>
            <w:r w:rsidRPr="00EA2350">
              <w:rPr>
                <w:rFonts w:ascii="Calibri" w:eastAsia="Times New Roman" w:hAnsi="Calibri" w:cs="Calibri"/>
                <w:color w:val="000000"/>
                <w:lang w:val="en-US"/>
              </w:rPr>
              <w:t>)-benzo[b]thiophene-3(2H)-one</w:t>
            </w:r>
          </w:p>
        </w:tc>
        <w:tc>
          <w:tcPr>
            <w:tcW w:w="1559" w:type="dxa"/>
            <w:noWrap/>
            <w:hideMark/>
          </w:tcPr>
          <w:p w14:paraId="54A3D84B"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2CAD9BD3" w14:textId="77777777" w:rsidR="007F1FE2" w:rsidRPr="00EA2350" w:rsidRDefault="007F1FE2" w:rsidP="00FC2E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7F1FE2" w:rsidRPr="00EA2350" w14:paraId="719C936E" w14:textId="77777777" w:rsidTr="00FC2E7F">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76E9748F"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574-93-6</w:t>
            </w:r>
          </w:p>
        </w:tc>
        <w:tc>
          <w:tcPr>
            <w:tcW w:w="1701" w:type="dxa"/>
            <w:noWrap/>
            <w:hideMark/>
          </w:tcPr>
          <w:p w14:paraId="7529797F" w14:textId="77777777" w:rsidR="007F1FE2" w:rsidRPr="00EA2350" w:rsidRDefault="007F1FE2" w:rsidP="00FC2E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209-378-3</w:t>
            </w:r>
          </w:p>
        </w:tc>
        <w:tc>
          <w:tcPr>
            <w:tcW w:w="5954" w:type="dxa"/>
            <w:noWrap/>
            <w:hideMark/>
          </w:tcPr>
          <w:p w14:paraId="5326FE89"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 xml:space="preserve">29H,31H-phthalocyanine </w:t>
            </w:r>
          </w:p>
        </w:tc>
        <w:tc>
          <w:tcPr>
            <w:tcW w:w="1559" w:type="dxa"/>
            <w:noWrap/>
            <w:hideMark/>
          </w:tcPr>
          <w:p w14:paraId="19FFC249"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0,1 - 1t</w:t>
            </w:r>
          </w:p>
        </w:tc>
        <w:tc>
          <w:tcPr>
            <w:tcW w:w="1559" w:type="dxa"/>
            <w:noWrap/>
            <w:hideMark/>
          </w:tcPr>
          <w:p w14:paraId="03CD2F4F"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p>
        </w:tc>
      </w:tr>
      <w:tr w:rsidR="007F1FE2" w:rsidRPr="00EA2350" w14:paraId="07AA5D90" w14:textId="77777777" w:rsidTr="00FC2E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1ED0E9D6"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980-26-7</w:t>
            </w:r>
          </w:p>
        </w:tc>
        <w:tc>
          <w:tcPr>
            <w:tcW w:w="1701" w:type="dxa"/>
            <w:noWrap/>
            <w:hideMark/>
          </w:tcPr>
          <w:p w14:paraId="4FA7686B" w14:textId="77777777" w:rsidR="007F1FE2" w:rsidRPr="00EA2350" w:rsidRDefault="007F1FE2" w:rsidP="00FC2E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213-561-3</w:t>
            </w:r>
          </w:p>
        </w:tc>
        <w:tc>
          <w:tcPr>
            <w:tcW w:w="5954" w:type="dxa"/>
            <w:noWrap/>
            <w:hideMark/>
          </w:tcPr>
          <w:p w14:paraId="645DBB1E"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5,12-dihydro-2,9-dimethylquino[2,3-b]acridine-7,14-dione</w:t>
            </w:r>
          </w:p>
        </w:tc>
        <w:tc>
          <w:tcPr>
            <w:tcW w:w="1559" w:type="dxa"/>
            <w:noWrap/>
            <w:hideMark/>
          </w:tcPr>
          <w:p w14:paraId="7AE05D77"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1-10t</w:t>
            </w:r>
          </w:p>
        </w:tc>
        <w:tc>
          <w:tcPr>
            <w:tcW w:w="1559" w:type="dxa"/>
            <w:noWrap/>
            <w:hideMark/>
          </w:tcPr>
          <w:p w14:paraId="0C6E89D5" w14:textId="77777777" w:rsidR="007F1FE2" w:rsidRPr="00EA2350" w:rsidRDefault="007F1FE2" w:rsidP="00FC2E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7F1FE2" w:rsidRPr="00EA2350" w14:paraId="5E90ABA8" w14:textId="77777777" w:rsidTr="00FC2E7F">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2DD42518" w14:textId="77777777" w:rsidR="007F1FE2" w:rsidRPr="00EA2350" w:rsidRDefault="007F1FE2" w:rsidP="00FC2E7F">
            <w:pPr>
              <w:jc w:val="center"/>
              <w:rPr>
                <w:rFonts w:ascii="Calibri" w:eastAsia="Times New Roman" w:hAnsi="Calibri" w:cs="Calibri"/>
                <w:b/>
                <w:bCs/>
                <w:color w:val="000000"/>
                <w:sz w:val="22"/>
                <w:lang w:val="en-US"/>
              </w:rPr>
            </w:pPr>
          </w:p>
        </w:tc>
        <w:tc>
          <w:tcPr>
            <w:tcW w:w="1701" w:type="dxa"/>
            <w:noWrap/>
            <w:hideMark/>
          </w:tcPr>
          <w:p w14:paraId="3E9FE402" w14:textId="77777777" w:rsidR="007F1FE2" w:rsidRPr="00EA2350" w:rsidRDefault="007F1FE2" w:rsidP="00FC2E7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16FAF5D9"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Pigment Red 122</w:t>
            </w:r>
          </w:p>
        </w:tc>
        <w:tc>
          <w:tcPr>
            <w:tcW w:w="1559" w:type="dxa"/>
            <w:noWrap/>
            <w:hideMark/>
          </w:tcPr>
          <w:p w14:paraId="34B6467F"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4FBB469C"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r>
      <w:tr w:rsidR="007F1FE2" w:rsidRPr="00EA2350" w14:paraId="15A0C3BB" w14:textId="77777777" w:rsidTr="00FC2E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6F1635D4"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1047-16-1</w:t>
            </w:r>
          </w:p>
        </w:tc>
        <w:tc>
          <w:tcPr>
            <w:tcW w:w="1701" w:type="dxa"/>
            <w:noWrap/>
            <w:hideMark/>
          </w:tcPr>
          <w:p w14:paraId="421BF223" w14:textId="77777777" w:rsidR="007F1FE2" w:rsidRPr="00EA2350" w:rsidRDefault="007F1FE2" w:rsidP="00FC2E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213-879-2</w:t>
            </w:r>
          </w:p>
        </w:tc>
        <w:tc>
          <w:tcPr>
            <w:tcW w:w="5954" w:type="dxa"/>
            <w:noWrap/>
            <w:hideMark/>
          </w:tcPr>
          <w:p w14:paraId="452506C0"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5,12-dihydroquino[2,3-b]acridine-7,14-dione</w:t>
            </w:r>
          </w:p>
        </w:tc>
        <w:tc>
          <w:tcPr>
            <w:tcW w:w="1559" w:type="dxa"/>
            <w:noWrap/>
            <w:hideMark/>
          </w:tcPr>
          <w:p w14:paraId="3880CC04"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1-10t</w:t>
            </w:r>
          </w:p>
        </w:tc>
        <w:tc>
          <w:tcPr>
            <w:tcW w:w="1559" w:type="dxa"/>
            <w:noWrap/>
            <w:hideMark/>
          </w:tcPr>
          <w:p w14:paraId="401F8E3E" w14:textId="77777777" w:rsidR="007F1FE2" w:rsidRPr="00EA2350" w:rsidRDefault="007F1FE2" w:rsidP="00FC2E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w:t>
            </w:r>
          </w:p>
        </w:tc>
      </w:tr>
      <w:tr w:rsidR="007F1FE2" w:rsidRPr="00EA2350" w14:paraId="67639EA2" w14:textId="77777777" w:rsidTr="00FC2E7F">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5381A34A" w14:textId="77777777" w:rsidR="007F1FE2" w:rsidRPr="00EA2350" w:rsidRDefault="007F1FE2" w:rsidP="00FC2E7F">
            <w:pPr>
              <w:jc w:val="center"/>
              <w:rPr>
                <w:rFonts w:ascii="Calibri" w:eastAsia="Times New Roman" w:hAnsi="Calibri" w:cs="Calibri"/>
                <w:b/>
                <w:bCs/>
                <w:color w:val="000000"/>
                <w:sz w:val="22"/>
                <w:lang w:val="en-US"/>
              </w:rPr>
            </w:pPr>
          </w:p>
        </w:tc>
        <w:tc>
          <w:tcPr>
            <w:tcW w:w="1701" w:type="dxa"/>
            <w:noWrap/>
            <w:hideMark/>
          </w:tcPr>
          <w:p w14:paraId="2F623D3A" w14:textId="77777777" w:rsidR="007F1FE2" w:rsidRPr="00EA2350" w:rsidRDefault="007F1FE2" w:rsidP="00FC2E7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66D3B0C3"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Pigment Violet 19</w:t>
            </w:r>
          </w:p>
        </w:tc>
        <w:tc>
          <w:tcPr>
            <w:tcW w:w="1559" w:type="dxa"/>
            <w:noWrap/>
            <w:hideMark/>
          </w:tcPr>
          <w:p w14:paraId="623108BF"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0E297469" w14:textId="77777777" w:rsidR="007F1FE2" w:rsidRPr="00EA2350" w:rsidRDefault="007F1FE2" w:rsidP="00FC2E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7F1FE2" w:rsidRPr="00EA2350" w14:paraId="3F02F97A" w14:textId="77777777" w:rsidTr="00FC2E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73C9996B"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1306-06-5</w:t>
            </w:r>
          </w:p>
        </w:tc>
        <w:tc>
          <w:tcPr>
            <w:tcW w:w="1701" w:type="dxa"/>
            <w:noWrap/>
            <w:hideMark/>
          </w:tcPr>
          <w:p w14:paraId="180FA5A5" w14:textId="77777777" w:rsidR="007F1FE2" w:rsidRPr="00EA2350" w:rsidRDefault="007F1FE2" w:rsidP="00FC2E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215-145-7</w:t>
            </w:r>
          </w:p>
        </w:tc>
        <w:tc>
          <w:tcPr>
            <w:tcW w:w="5954" w:type="dxa"/>
            <w:noWrap/>
            <w:hideMark/>
          </w:tcPr>
          <w:p w14:paraId="2B526384"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Hydroxyapatite</w:t>
            </w:r>
          </w:p>
        </w:tc>
        <w:tc>
          <w:tcPr>
            <w:tcW w:w="1559" w:type="dxa"/>
            <w:noWrap/>
            <w:hideMark/>
          </w:tcPr>
          <w:p w14:paraId="12C077C0"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1-10t</w:t>
            </w:r>
          </w:p>
        </w:tc>
        <w:tc>
          <w:tcPr>
            <w:tcW w:w="1559" w:type="dxa"/>
            <w:noWrap/>
            <w:hideMark/>
          </w:tcPr>
          <w:p w14:paraId="7CBECE72" w14:textId="77777777" w:rsidR="007F1FE2" w:rsidRPr="00EA2350" w:rsidRDefault="007F1FE2" w:rsidP="00FC2E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w:t>
            </w:r>
          </w:p>
        </w:tc>
      </w:tr>
      <w:tr w:rsidR="007F1FE2" w:rsidRPr="00EA2350" w14:paraId="7C39E7A7" w14:textId="77777777" w:rsidTr="00FC2E7F">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7029A624"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1306-38-3</w:t>
            </w:r>
          </w:p>
        </w:tc>
        <w:tc>
          <w:tcPr>
            <w:tcW w:w="1701" w:type="dxa"/>
            <w:noWrap/>
            <w:hideMark/>
          </w:tcPr>
          <w:p w14:paraId="08D7B7B4" w14:textId="77777777" w:rsidR="007F1FE2" w:rsidRPr="00EA2350" w:rsidRDefault="007F1FE2" w:rsidP="00FC2E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215-150-4</w:t>
            </w:r>
          </w:p>
        </w:tc>
        <w:tc>
          <w:tcPr>
            <w:tcW w:w="5954" w:type="dxa"/>
            <w:noWrap/>
            <w:hideMark/>
          </w:tcPr>
          <w:p w14:paraId="56AF3B59"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Cerium dioxide</w:t>
            </w:r>
          </w:p>
        </w:tc>
        <w:tc>
          <w:tcPr>
            <w:tcW w:w="1559" w:type="dxa"/>
            <w:noWrap/>
            <w:hideMark/>
          </w:tcPr>
          <w:p w14:paraId="1B849FB3"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0,1 - 1t</w:t>
            </w:r>
          </w:p>
        </w:tc>
        <w:tc>
          <w:tcPr>
            <w:tcW w:w="1559" w:type="dxa"/>
            <w:noWrap/>
            <w:hideMark/>
          </w:tcPr>
          <w:p w14:paraId="49EF4BC0" w14:textId="77777777" w:rsidR="007F1FE2" w:rsidRPr="00EA2350" w:rsidRDefault="007F1FE2" w:rsidP="00FC2E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2059</w:t>
            </w:r>
          </w:p>
        </w:tc>
      </w:tr>
      <w:tr w:rsidR="007F1FE2" w:rsidRPr="00EA2350" w14:paraId="7E371F0C" w14:textId="77777777" w:rsidTr="00FC2E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5478E8E1"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1309-37-1</w:t>
            </w:r>
          </w:p>
        </w:tc>
        <w:tc>
          <w:tcPr>
            <w:tcW w:w="1701" w:type="dxa"/>
            <w:noWrap/>
            <w:hideMark/>
          </w:tcPr>
          <w:p w14:paraId="3D8AD947" w14:textId="77777777" w:rsidR="007F1FE2" w:rsidRPr="00EA2350" w:rsidRDefault="007F1FE2" w:rsidP="00FC2E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215-168-2</w:t>
            </w:r>
          </w:p>
        </w:tc>
        <w:tc>
          <w:tcPr>
            <w:tcW w:w="5954" w:type="dxa"/>
            <w:noWrap/>
            <w:hideMark/>
          </w:tcPr>
          <w:p w14:paraId="12BE54F5"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Diiron trioxide</w:t>
            </w:r>
          </w:p>
        </w:tc>
        <w:tc>
          <w:tcPr>
            <w:tcW w:w="1559" w:type="dxa"/>
            <w:noWrap/>
            <w:hideMark/>
          </w:tcPr>
          <w:p w14:paraId="2ACDFE84"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&gt;1000t</w:t>
            </w:r>
          </w:p>
        </w:tc>
        <w:tc>
          <w:tcPr>
            <w:tcW w:w="1559" w:type="dxa"/>
            <w:noWrap/>
            <w:hideMark/>
          </w:tcPr>
          <w:p w14:paraId="3BA9DAAE" w14:textId="77777777" w:rsidR="007F1FE2" w:rsidRPr="00EA2350" w:rsidRDefault="007F1FE2" w:rsidP="00FC2E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20120</w:t>
            </w:r>
          </w:p>
        </w:tc>
      </w:tr>
      <w:tr w:rsidR="007F1FE2" w:rsidRPr="00EA2350" w14:paraId="53724F41" w14:textId="77777777" w:rsidTr="00FC2E7F">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23AF0766" w14:textId="77777777" w:rsidR="007F1FE2" w:rsidRPr="00EA2350" w:rsidRDefault="007F1FE2" w:rsidP="00FC2E7F">
            <w:pPr>
              <w:jc w:val="center"/>
              <w:rPr>
                <w:rFonts w:ascii="Calibri" w:eastAsia="Times New Roman" w:hAnsi="Calibri" w:cs="Calibri"/>
                <w:b/>
                <w:bCs/>
                <w:color w:val="000000"/>
                <w:sz w:val="22"/>
                <w:lang w:val="en-US"/>
              </w:rPr>
            </w:pPr>
          </w:p>
        </w:tc>
        <w:tc>
          <w:tcPr>
            <w:tcW w:w="1701" w:type="dxa"/>
            <w:noWrap/>
            <w:hideMark/>
          </w:tcPr>
          <w:p w14:paraId="0CBB873C" w14:textId="77777777" w:rsidR="007F1FE2" w:rsidRPr="00EA2350" w:rsidRDefault="007F1FE2" w:rsidP="00FC2E7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113FBE99"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Pigment Red 101</w:t>
            </w:r>
          </w:p>
        </w:tc>
        <w:tc>
          <w:tcPr>
            <w:tcW w:w="1559" w:type="dxa"/>
            <w:noWrap/>
            <w:hideMark/>
          </w:tcPr>
          <w:p w14:paraId="557FB717"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1F9FE073" w14:textId="77777777" w:rsidR="007F1FE2" w:rsidRPr="00EA2350" w:rsidRDefault="007F1FE2" w:rsidP="00FC2E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7F1FE2" w:rsidRPr="00EA2350" w14:paraId="2B269598" w14:textId="77777777" w:rsidTr="00FC2E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63574249"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1309-38-2</w:t>
            </w:r>
          </w:p>
        </w:tc>
        <w:tc>
          <w:tcPr>
            <w:tcW w:w="1701" w:type="dxa"/>
            <w:noWrap/>
            <w:hideMark/>
          </w:tcPr>
          <w:p w14:paraId="2596C3E9" w14:textId="77777777" w:rsidR="007F1FE2" w:rsidRPr="00EA2350" w:rsidRDefault="007F1FE2" w:rsidP="00FC2E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215-169-8</w:t>
            </w:r>
          </w:p>
        </w:tc>
        <w:tc>
          <w:tcPr>
            <w:tcW w:w="5954" w:type="dxa"/>
            <w:noWrap/>
            <w:hideMark/>
          </w:tcPr>
          <w:p w14:paraId="23E68FDF"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Magnetite</w:t>
            </w:r>
          </w:p>
        </w:tc>
        <w:tc>
          <w:tcPr>
            <w:tcW w:w="1559" w:type="dxa"/>
            <w:noWrap/>
            <w:hideMark/>
          </w:tcPr>
          <w:p w14:paraId="5F2A29C3"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0,1 - 1t</w:t>
            </w:r>
          </w:p>
        </w:tc>
        <w:tc>
          <w:tcPr>
            <w:tcW w:w="1559" w:type="dxa"/>
            <w:noWrap/>
            <w:hideMark/>
          </w:tcPr>
          <w:p w14:paraId="6F91102E" w14:textId="77777777" w:rsidR="007F1FE2" w:rsidRPr="00EA2350" w:rsidRDefault="007F1FE2" w:rsidP="00FC2E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46720</w:t>
            </w:r>
          </w:p>
        </w:tc>
      </w:tr>
      <w:tr w:rsidR="007F1FE2" w:rsidRPr="00EA2350" w14:paraId="5A2051DF" w14:textId="77777777" w:rsidTr="00FC2E7F">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0245BCD1"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1314-13-2</w:t>
            </w:r>
          </w:p>
        </w:tc>
        <w:tc>
          <w:tcPr>
            <w:tcW w:w="1701" w:type="dxa"/>
            <w:noWrap/>
            <w:hideMark/>
          </w:tcPr>
          <w:p w14:paraId="4869542C" w14:textId="77777777" w:rsidR="007F1FE2" w:rsidRPr="00EA2350" w:rsidRDefault="007F1FE2" w:rsidP="00FC2E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215-222-5</w:t>
            </w:r>
          </w:p>
        </w:tc>
        <w:tc>
          <w:tcPr>
            <w:tcW w:w="5954" w:type="dxa"/>
            <w:noWrap/>
            <w:hideMark/>
          </w:tcPr>
          <w:p w14:paraId="0BCF0950"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Zinc oxide</w:t>
            </w:r>
          </w:p>
        </w:tc>
        <w:tc>
          <w:tcPr>
            <w:tcW w:w="1559" w:type="dxa"/>
            <w:noWrap/>
            <w:hideMark/>
          </w:tcPr>
          <w:p w14:paraId="20A4E6B4"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10-100t</w:t>
            </w:r>
          </w:p>
        </w:tc>
        <w:tc>
          <w:tcPr>
            <w:tcW w:w="1559" w:type="dxa"/>
            <w:noWrap/>
            <w:hideMark/>
          </w:tcPr>
          <w:p w14:paraId="71335A69" w14:textId="77777777" w:rsidR="007F1FE2" w:rsidRPr="00EA2350" w:rsidRDefault="007F1FE2" w:rsidP="00FC2E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2016001</w:t>
            </w:r>
          </w:p>
        </w:tc>
      </w:tr>
      <w:tr w:rsidR="007F1FE2" w:rsidRPr="00EA2350" w14:paraId="16C2910B" w14:textId="77777777" w:rsidTr="00FC2E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24F1CF39"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1314-23-4</w:t>
            </w:r>
          </w:p>
        </w:tc>
        <w:tc>
          <w:tcPr>
            <w:tcW w:w="1701" w:type="dxa"/>
            <w:noWrap/>
            <w:hideMark/>
          </w:tcPr>
          <w:p w14:paraId="6BA7972B" w14:textId="77777777" w:rsidR="007F1FE2" w:rsidRPr="00EA2350" w:rsidRDefault="007F1FE2" w:rsidP="00FC2E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215-227-2</w:t>
            </w:r>
          </w:p>
        </w:tc>
        <w:tc>
          <w:tcPr>
            <w:tcW w:w="5954" w:type="dxa"/>
            <w:noWrap/>
            <w:hideMark/>
          </w:tcPr>
          <w:p w14:paraId="175F482E"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Zirconium oxide</w:t>
            </w:r>
          </w:p>
        </w:tc>
        <w:tc>
          <w:tcPr>
            <w:tcW w:w="1559" w:type="dxa"/>
            <w:noWrap/>
            <w:hideMark/>
          </w:tcPr>
          <w:p w14:paraId="3D60D46B"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1-10t</w:t>
            </w:r>
          </w:p>
        </w:tc>
        <w:tc>
          <w:tcPr>
            <w:tcW w:w="1559" w:type="dxa"/>
            <w:noWrap/>
            <w:hideMark/>
          </w:tcPr>
          <w:p w14:paraId="46C1E031" w14:textId="77777777" w:rsidR="007F1FE2" w:rsidRPr="00EA2350" w:rsidRDefault="007F1FE2" w:rsidP="00FC2E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20590</w:t>
            </w:r>
          </w:p>
        </w:tc>
      </w:tr>
      <w:tr w:rsidR="007F1FE2" w:rsidRPr="00EA2350" w14:paraId="7CB68006" w14:textId="77777777" w:rsidTr="00FC2E7F">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41431349"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1328-53-6</w:t>
            </w:r>
          </w:p>
        </w:tc>
        <w:tc>
          <w:tcPr>
            <w:tcW w:w="1701" w:type="dxa"/>
            <w:noWrap/>
            <w:hideMark/>
          </w:tcPr>
          <w:p w14:paraId="4547AB84" w14:textId="77777777" w:rsidR="007F1FE2" w:rsidRPr="00EA2350" w:rsidRDefault="007F1FE2" w:rsidP="00FC2E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215-524-7</w:t>
            </w:r>
          </w:p>
        </w:tc>
        <w:tc>
          <w:tcPr>
            <w:tcW w:w="5954" w:type="dxa"/>
            <w:noWrap/>
            <w:hideMark/>
          </w:tcPr>
          <w:p w14:paraId="698BB22E"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proofErr w:type="spellStart"/>
            <w:r w:rsidRPr="00EA2350">
              <w:rPr>
                <w:rFonts w:ascii="Calibri" w:eastAsia="Times New Roman" w:hAnsi="Calibri" w:cs="Calibri"/>
                <w:color w:val="000000"/>
                <w:lang w:val="en-US"/>
              </w:rPr>
              <w:t>Polychloro</w:t>
            </w:r>
            <w:proofErr w:type="spellEnd"/>
            <w:r w:rsidRPr="00EA2350">
              <w:rPr>
                <w:rFonts w:ascii="Calibri" w:eastAsia="Times New Roman" w:hAnsi="Calibri" w:cs="Calibri"/>
                <w:color w:val="000000"/>
                <w:lang w:val="en-US"/>
              </w:rPr>
              <w:t xml:space="preserve"> copper phthalocyanine</w:t>
            </w:r>
          </w:p>
        </w:tc>
        <w:tc>
          <w:tcPr>
            <w:tcW w:w="1559" w:type="dxa"/>
            <w:noWrap/>
            <w:hideMark/>
          </w:tcPr>
          <w:p w14:paraId="2F3F76A3"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100-1000t</w:t>
            </w:r>
          </w:p>
        </w:tc>
        <w:tc>
          <w:tcPr>
            <w:tcW w:w="1559" w:type="dxa"/>
            <w:noWrap/>
            <w:hideMark/>
          </w:tcPr>
          <w:p w14:paraId="30B72295" w14:textId="77777777" w:rsidR="007F1FE2" w:rsidRPr="00EA2350" w:rsidRDefault="007F1FE2" w:rsidP="00FC2E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20590</w:t>
            </w:r>
          </w:p>
        </w:tc>
      </w:tr>
      <w:tr w:rsidR="007F1FE2" w:rsidRPr="00EA2350" w14:paraId="2A2FAA1A" w14:textId="77777777" w:rsidTr="00FC2E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005A547A" w14:textId="77777777" w:rsidR="007F1FE2" w:rsidRPr="00EA2350" w:rsidRDefault="007F1FE2" w:rsidP="00FC2E7F">
            <w:pPr>
              <w:jc w:val="center"/>
              <w:rPr>
                <w:rFonts w:ascii="Calibri" w:eastAsia="Times New Roman" w:hAnsi="Calibri" w:cs="Calibri"/>
                <w:b/>
                <w:bCs/>
                <w:color w:val="000000"/>
                <w:sz w:val="22"/>
                <w:lang w:val="en-US"/>
              </w:rPr>
            </w:pPr>
          </w:p>
        </w:tc>
        <w:tc>
          <w:tcPr>
            <w:tcW w:w="1701" w:type="dxa"/>
            <w:noWrap/>
            <w:hideMark/>
          </w:tcPr>
          <w:p w14:paraId="24678E2F" w14:textId="77777777" w:rsidR="007F1FE2" w:rsidRPr="00EA2350" w:rsidRDefault="007F1FE2" w:rsidP="00FC2E7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33C66DF4"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Pigment Green 7</w:t>
            </w:r>
          </w:p>
        </w:tc>
        <w:tc>
          <w:tcPr>
            <w:tcW w:w="1559" w:type="dxa"/>
            <w:noWrap/>
            <w:hideMark/>
          </w:tcPr>
          <w:p w14:paraId="5E74F970"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489228AF" w14:textId="77777777" w:rsidR="007F1FE2" w:rsidRPr="00EA2350" w:rsidRDefault="007F1FE2" w:rsidP="00FC2E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w:t>
            </w:r>
          </w:p>
        </w:tc>
      </w:tr>
      <w:tr w:rsidR="007F1FE2" w:rsidRPr="00EA2350" w14:paraId="09F141E6" w14:textId="77777777" w:rsidTr="00FC2E7F">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019D69D6" w14:textId="77777777" w:rsidR="007F1FE2" w:rsidRPr="00EA2350" w:rsidRDefault="007F1FE2" w:rsidP="00FC2E7F">
            <w:pPr>
              <w:jc w:val="center"/>
              <w:rPr>
                <w:rFonts w:ascii="Calibri" w:eastAsia="Times New Roman" w:hAnsi="Calibri" w:cs="Calibri"/>
                <w:b/>
                <w:bCs/>
                <w:color w:val="000000"/>
                <w:sz w:val="22"/>
                <w:lang w:val="en-US"/>
              </w:rPr>
            </w:pPr>
          </w:p>
        </w:tc>
        <w:tc>
          <w:tcPr>
            <w:tcW w:w="1701" w:type="dxa"/>
            <w:noWrap/>
            <w:hideMark/>
          </w:tcPr>
          <w:p w14:paraId="0EF1E7AC" w14:textId="77777777" w:rsidR="007F1FE2" w:rsidRPr="00EA2350" w:rsidRDefault="007F1FE2" w:rsidP="00FC2E7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71517C69"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copper-phthalocyanine pigment, halogenated</w:t>
            </w:r>
          </w:p>
        </w:tc>
        <w:tc>
          <w:tcPr>
            <w:tcW w:w="1559" w:type="dxa"/>
            <w:noWrap/>
            <w:hideMark/>
          </w:tcPr>
          <w:p w14:paraId="5E1EC60F"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5DA1240F"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r>
      <w:tr w:rsidR="007F1FE2" w:rsidRPr="00EA2350" w14:paraId="4FE8FEF2" w14:textId="77777777" w:rsidTr="00FC2E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0779BDFE"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1333-86-4</w:t>
            </w:r>
          </w:p>
        </w:tc>
        <w:tc>
          <w:tcPr>
            <w:tcW w:w="1701" w:type="dxa"/>
            <w:noWrap/>
            <w:hideMark/>
          </w:tcPr>
          <w:p w14:paraId="647A7DE8" w14:textId="77777777" w:rsidR="007F1FE2" w:rsidRPr="00EA2350" w:rsidRDefault="007F1FE2" w:rsidP="00FC2E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215-609-9</w:t>
            </w:r>
          </w:p>
        </w:tc>
        <w:tc>
          <w:tcPr>
            <w:tcW w:w="5954" w:type="dxa"/>
            <w:noWrap/>
            <w:hideMark/>
          </w:tcPr>
          <w:p w14:paraId="4A3D15CE"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Carbon Black</w:t>
            </w:r>
          </w:p>
        </w:tc>
        <w:tc>
          <w:tcPr>
            <w:tcW w:w="1559" w:type="dxa"/>
            <w:noWrap/>
            <w:hideMark/>
          </w:tcPr>
          <w:p w14:paraId="247A6896"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&gt;1000t</w:t>
            </w:r>
          </w:p>
        </w:tc>
        <w:tc>
          <w:tcPr>
            <w:tcW w:w="1559" w:type="dxa"/>
            <w:noWrap/>
            <w:hideMark/>
          </w:tcPr>
          <w:p w14:paraId="070B19CA" w14:textId="77777777" w:rsidR="007F1FE2" w:rsidRPr="00EA2350" w:rsidRDefault="007F1FE2" w:rsidP="00FC2E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w:t>
            </w:r>
          </w:p>
        </w:tc>
      </w:tr>
      <w:tr w:rsidR="007F1FE2" w:rsidRPr="00EA2350" w14:paraId="2B02C3FF" w14:textId="77777777" w:rsidTr="00FC2E7F">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38897C55"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1344-00-9</w:t>
            </w:r>
          </w:p>
        </w:tc>
        <w:tc>
          <w:tcPr>
            <w:tcW w:w="1701" w:type="dxa"/>
            <w:noWrap/>
            <w:hideMark/>
          </w:tcPr>
          <w:p w14:paraId="0D738A5F" w14:textId="77777777" w:rsidR="007F1FE2" w:rsidRPr="00EA2350" w:rsidRDefault="007F1FE2" w:rsidP="00FC2E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215-684-8</w:t>
            </w:r>
          </w:p>
        </w:tc>
        <w:tc>
          <w:tcPr>
            <w:tcW w:w="5954" w:type="dxa"/>
            <w:noWrap/>
            <w:hideMark/>
          </w:tcPr>
          <w:p w14:paraId="2490088C"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 xml:space="preserve">Silicic Acid, </w:t>
            </w:r>
            <w:proofErr w:type="spellStart"/>
            <w:r w:rsidRPr="00EA2350">
              <w:rPr>
                <w:rFonts w:ascii="Calibri" w:eastAsia="Times New Roman" w:hAnsi="Calibri" w:cs="Calibri"/>
                <w:color w:val="000000"/>
                <w:lang w:val="en-US"/>
              </w:rPr>
              <w:t>Aluminium</w:t>
            </w:r>
            <w:proofErr w:type="spellEnd"/>
            <w:r w:rsidRPr="00EA2350">
              <w:rPr>
                <w:rFonts w:ascii="Calibri" w:eastAsia="Times New Roman" w:hAnsi="Calibri" w:cs="Calibri"/>
                <w:color w:val="000000"/>
                <w:lang w:val="en-US"/>
              </w:rPr>
              <w:t xml:space="preserve"> Salt</w:t>
            </w:r>
          </w:p>
        </w:tc>
        <w:tc>
          <w:tcPr>
            <w:tcW w:w="1559" w:type="dxa"/>
            <w:noWrap/>
            <w:hideMark/>
          </w:tcPr>
          <w:p w14:paraId="44A4B8E1"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10-100t</w:t>
            </w:r>
          </w:p>
        </w:tc>
        <w:tc>
          <w:tcPr>
            <w:tcW w:w="1559" w:type="dxa"/>
            <w:noWrap/>
            <w:hideMark/>
          </w:tcPr>
          <w:p w14:paraId="7E55574B" w14:textId="77777777" w:rsidR="007F1FE2" w:rsidRPr="00EA2350" w:rsidRDefault="007F1FE2" w:rsidP="00FC2E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w:t>
            </w:r>
          </w:p>
        </w:tc>
      </w:tr>
      <w:tr w:rsidR="007F1FE2" w:rsidRPr="00EA2350" w14:paraId="16623720" w14:textId="77777777" w:rsidTr="00FC2E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2425C8E8" w14:textId="77777777" w:rsidR="007F1FE2" w:rsidRPr="00EA2350" w:rsidRDefault="007F1FE2" w:rsidP="00FC2E7F">
            <w:pPr>
              <w:jc w:val="center"/>
              <w:rPr>
                <w:rFonts w:ascii="Calibri" w:eastAsia="Times New Roman" w:hAnsi="Calibri" w:cs="Calibri"/>
                <w:b/>
                <w:bCs/>
                <w:color w:val="000000"/>
                <w:sz w:val="22"/>
                <w:lang w:val="en-US"/>
              </w:rPr>
            </w:pPr>
          </w:p>
        </w:tc>
        <w:tc>
          <w:tcPr>
            <w:tcW w:w="1701" w:type="dxa"/>
            <w:noWrap/>
            <w:hideMark/>
          </w:tcPr>
          <w:p w14:paraId="589939C2" w14:textId="77777777" w:rsidR="007F1FE2" w:rsidRPr="00EA2350" w:rsidRDefault="007F1FE2" w:rsidP="00FC2E7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09499A47"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Silicic acid, aluminum sodium salt</w:t>
            </w:r>
          </w:p>
        </w:tc>
        <w:tc>
          <w:tcPr>
            <w:tcW w:w="1559" w:type="dxa"/>
            <w:noWrap/>
            <w:hideMark/>
          </w:tcPr>
          <w:p w14:paraId="67B03E41"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6F5120BF" w14:textId="77777777" w:rsidR="007F1FE2" w:rsidRPr="00EA2350" w:rsidRDefault="007F1FE2" w:rsidP="00FC2E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20590</w:t>
            </w:r>
          </w:p>
        </w:tc>
      </w:tr>
      <w:tr w:rsidR="007F1FE2" w:rsidRPr="00EA2350" w14:paraId="492CA26D" w14:textId="77777777" w:rsidTr="00FC2E7F">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50E9844A"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1344-28-1</w:t>
            </w:r>
          </w:p>
        </w:tc>
        <w:tc>
          <w:tcPr>
            <w:tcW w:w="1701" w:type="dxa"/>
            <w:noWrap/>
            <w:hideMark/>
          </w:tcPr>
          <w:p w14:paraId="2984F788" w14:textId="77777777" w:rsidR="007F1FE2" w:rsidRPr="00EA2350" w:rsidRDefault="007F1FE2" w:rsidP="00FC2E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215-691-6</w:t>
            </w:r>
          </w:p>
        </w:tc>
        <w:tc>
          <w:tcPr>
            <w:tcW w:w="5954" w:type="dxa"/>
            <w:noWrap/>
            <w:hideMark/>
          </w:tcPr>
          <w:p w14:paraId="6D18DE6A"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proofErr w:type="spellStart"/>
            <w:r w:rsidRPr="00EA2350">
              <w:rPr>
                <w:rFonts w:ascii="Calibri" w:eastAsia="Times New Roman" w:hAnsi="Calibri" w:cs="Calibri"/>
                <w:color w:val="000000"/>
                <w:lang w:val="en-US"/>
              </w:rPr>
              <w:t>aluminium</w:t>
            </w:r>
            <w:proofErr w:type="spellEnd"/>
            <w:r w:rsidRPr="00EA2350">
              <w:rPr>
                <w:rFonts w:ascii="Calibri" w:eastAsia="Times New Roman" w:hAnsi="Calibri" w:cs="Calibri"/>
                <w:color w:val="000000"/>
                <w:lang w:val="en-US"/>
              </w:rPr>
              <w:t xml:space="preserve"> oxide</w:t>
            </w:r>
          </w:p>
        </w:tc>
        <w:tc>
          <w:tcPr>
            <w:tcW w:w="1559" w:type="dxa"/>
            <w:noWrap/>
            <w:hideMark/>
          </w:tcPr>
          <w:p w14:paraId="6E1989AF"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10-100t</w:t>
            </w:r>
          </w:p>
        </w:tc>
        <w:tc>
          <w:tcPr>
            <w:tcW w:w="1559" w:type="dxa"/>
            <w:noWrap/>
            <w:hideMark/>
          </w:tcPr>
          <w:p w14:paraId="64C3DE1B" w14:textId="77777777" w:rsidR="007F1FE2" w:rsidRPr="00EA2350" w:rsidRDefault="007F1FE2" w:rsidP="00FC2E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82</w:t>
            </w:r>
          </w:p>
        </w:tc>
      </w:tr>
      <w:tr w:rsidR="007F1FE2" w:rsidRPr="00EA2350" w14:paraId="0085BA6B" w14:textId="77777777" w:rsidTr="00FC2E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506009A9" w14:textId="77777777" w:rsidR="007F1FE2" w:rsidRPr="00EA2350" w:rsidRDefault="007F1FE2" w:rsidP="00FC2E7F">
            <w:pPr>
              <w:jc w:val="center"/>
              <w:rPr>
                <w:rFonts w:ascii="Calibri" w:eastAsia="Times New Roman" w:hAnsi="Calibri" w:cs="Calibri"/>
                <w:b/>
                <w:bCs/>
                <w:color w:val="000000"/>
                <w:sz w:val="22"/>
                <w:lang w:val="en-US"/>
              </w:rPr>
            </w:pPr>
          </w:p>
        </w:tc>
        <w:tc>
          <w:tcPr>
            <w:tcW w:w="1701" w:type="dxa"/>
            <w:noWrap/>
            <w:hideMark/>
          </w:tcPr>
          <w:p w14:paraId="0F5F7EFA" w14:textId="77777777" w:rsidR="007F1FE2" w:rsidRPr="00EA2350" w:rsidRDefault="007F1FE2" w:rsidP="00FC2E7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5D96E37B"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Fumed metal oxide - Aluminum oxide</w:t>
            </w:r>
          </w:p>
        </w:tc>
        <w:tc>
          <w:tcPr>
            <w:tcW w:w="1559" w:type="dxa"/>
            <w:noWrap/>
            <w:hideMark/>
          </w:tcPr>
          <w:p w14:paraId="00A1DB66"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5C6A993E" w14:textId="77777777" w:rsidR="007F1FE2" w:rsidRPr="00EA2350" w:rsidRDefault="007F1FE2" w:rsidP="00FC2E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4675101</w:t>
            </w:r>
          </w:p>
        </w:tc>
      </w:tr>
      <w:tr w:rsidR="007F1FE2" w:rsidRPr="00EA2350" w14:paraId="03514857" w14:textId="77777777" w:rsidTr="00FC2E7F">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254D401D"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1345-16-0</w:t>
            </w:r>
          </w:p>
        </w:tc>
        <w:tc>
          <w:tcPr>
            <w:tcW w:w="1701" w:type="dxa"/>
            <w:noWrap/>
            <w:hideMark/>
          </w:tcPr>
          <w:p w14:paraId="1FA15694" w14:textId="77777777" w:rsidR="007F1FE2" w:rsidRPr="00EA2350" w:rsidRDefault="007F1FE2" w:rsidP="00FC2E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310-193-6</w:t>
            </w:r>
          </w:p>
        </w:tc>
        <w:tc>
          <w:tcPr>
            <w:tcW w:w="5954" w:type="dxa"/>
            <w:noWrap/>
            <w:hideMark/>
          </w:tcPr>
          <w:p w14:paraId="0B833A08"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Cobalt aluminate blue spinel</w:t>
            </w:r>
          </w:p>
        </w:tc>
        <w:tc>
          <w:tcPr>
            <w:tcW w:w="1559" w:type="dxa"/>
            <w:noWrap/>
            <w:hideMark/>
          </w:tcPr>
          <w:p w14:paraId="445600F6"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326FBA77"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p>
        </w:tc>
      </w:tr>
      <w:tr w:rsidR="007F1FE2" w:rsidRPr="00EA2350" w14:paraId="415C003C" w14:textId="77777777" w:rsidTr="00FC2E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6050F4AA"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2319-55-3</w:t>
            </w:r>
          </w:p>
        </w:tc>
        <w:tc>
          <w:tcPr>
            <w:tcW w:w="1701" w:type="dxa"/>
            <w:noWrap/>
            <w:hideMark/>
          </w:tcPr>
          <w:p w14:paraId="1CC70D68" w14:textId="77777777" w:rsidR="007F1FE2" w:rsidRPr="00EA2350" w:rsidRDefault="007F1FE2" w:rsidP="00FC2E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778-242-5</w:t>
            </w:r>
          </w:p>
        </w:tc>
        <w:tc>
          <w:tcPr>
            <w:tcW w:w="5954" w:type="dxa"/>
            <w:noWrap/>
            <w:hideMark/>
          </w:tcPr>
          <w:p w14:paraId="1B5A0BA0"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 xml:space="preserve">Short tangled multi-wall carbon nanotubes obtained by catalytical chemical </w:t>
            </w:r>
            <w:proofErr w:type="spellStart"/>
            <w:r w:rsidRPr="00EA2350">
              <w:rPr>
                <w:rFonts w:ascii="Calibri" w:eastAsia="Times New Roman" w:hAnsi="Calibri" w:cs="Calibri"/>
                <w:color w:val="000000"/>
                <w:lang w:val="en-US"/>
              </w:rPr>
              <w:t>vapour</w:t>
            </w:r>
            <w:proofErr w:type="spellEnd"/>
            <w:r w:rsidRPr="00EA2350">
              <w:rPr>
                <w:rFonts w:ascii="Calibri" w:eastAsia="Times New Roman" w:hAnsi="Calibri" w:cs="Calibri"/>
                <w:color w:val="000000"/>
                <w:lang w:val="en-US"/>
              </w:rPr>
              <w:t xml:space="preserve"> deposition</w:t>
            </w:r>
          </w:p>
        </w:tc>
        <w:tc>
          <w:tcPr>
            <w:tcW w:w="1559" w:type="dxa"/>
            <w:noWrap/>
            <w:hideMark/>
          </w:tcPr>
          <w:p w14:paraId="687CBF7B"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1-10t</w:t>
            </w:r>
          </w:p>
        </w:tc>
        <w:tc>
          <w:tcPr>
            <w:tcW w:w="1559" w:type="dxa"/>
            <w:noWrap/>
            <w:hideMark/>
          </w:tcPr>
          <w:p w14:paraId="14CAC108" w14:textId="77777777" w:rsidR="007F1FE2" w:rsidRPr="00EA2350" w:rsidRDefault="007F1FE2" w:rsidP="00FC2E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20590</w:t>
            </w:r>
          </w:p>
        </w:tc>
      </w:tr>
      <w:tr w:rsidR="007F1FE2" w:rsidRPr="00EA2350" w14:paraId="4F6D297D" w14:textId="77777777" w:rsidTr="00FC2E7F">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0181DDB6"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2786-76-7</w:t>
            </w:r>
          </w:p>
        </w:tc>
        <w:tc>
          <w:tcPr>
            <w:tcW w:w="1701" w:type="dxa"/>
            <w:noWrap/>
            <w:hideMark/>
          </w:tcPr>
          <w:p w14:paraId="6E232F69" w14:textId="77777777" w:rsidR="007F1FE2" w:rsidRPr="00EA2350" w:rsidRDefault="007F1FE2" w:rsidP="00FC2E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220-509-3</w:t>
            </w:r>
          </w:p>
        </w:tc>
        <w:tc>
          <w:tcPr>
            <w:tcW w:w="5954" w:type="dxa"/>
            <w:noWrap/>
            <w:hideMark/>
          </w:tcPr>
          <w:p w14:paraId="56DEB400"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C.I. Pigment Red 170</w:t>
            </w:r>
          </w:p>
        </w:tc>
        <w:tc>
          <w:tcPr>
            <w:tcW w:w="1559" w:type="dxa"/>
            <w:noWrap/>
            <w:hideMark/>
          </w:tcPr>
          <w:p w14:paraId="38AC35BF"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4196C0BF" w14:textId="77777777" w:rsidR="007F1FE2" w:rsidRPr="00EA2350" w:rsidRDefault="007F1FE2" w:rsidP="00FC2E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20120</w:t>
            </w:r>
          </w:p>
        </w:tc>
      </w:tr>
      <w:tr w:rsidR="007F1FE2" w:rsidRPr="00EA2350" w14:paraId="28191E7A" w14:textId="77777777" w:rsidTr="00FC2E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29DD92E7"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3049-71-6</w:t>
            </w:r>
          </w:p>
        </w:tc>
        <w:tc>
          <w:tcPr>
            <w:tcW w:w="1701" w:type="dxa"/>
            <w:noWrap/>
            <w:hideMark/>
          </w:tcPr>
          <w:p w14:paraId="34597060" w14:textId="77777777" w:rsidR="007F1FE2" w:rsidRPr="00EA2350" w:rsidRDefault="007F1FE2" w:rsidP="00FC2E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221-264-5</w:t>
            </w:r>
          </w:p>
        </w:tc>
        <w:tc>
          <w:tcPr>
            <w:tcW w:w="5954" w:type="dxa"/>
            <w:noWrap/>
            <w:hideMark/>
          </w:tcPr>
          <w:p w14:paraId="6638DF26"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Pigment Red 178</w:t>
            </w:r>
          </w:p>
        </w:tc>
        <w:tc>
          <w:tcPr>
            <w:tcW w:w="1559" w:type="dxa"/>
            <w:noWrap/>
            <w:hideMark/>
          </w:tcPr>
          <w:p w14:paraId="2ED5B190"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5709A559" w14:textId="77777777" w:rsidR="007F1FE2" w:rsidRPr="00EA2350" w:rsidRDefault="007F1FE2" w:rsidP="00FC2E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7F1FE2" w:rsidRPr="00EA2350" w14:paraId="7E2BFFFB" w14:textId="77777777" w:rsidTr="00FC2E7F">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66B2EB4F"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3089-17-6</w:t>
            </w:r>
          </w:p>
        </w:tc>
        <w:tc>
          <w:tcPr>
            <w:tcW w:w="1701" w:type="dxa"/>
            <w:noWrap/>
            <w:hideMark/>
          </w:tcPr>
          <w:p w14:paraId="78FA305B" w14:textId="77777777" w:rsidR="007F1FE2" w:rsidRPr="00EA2350" w:rsidRDefault="007F1FE2" w:rsidP="00FC2E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221-424-4</w:t>
            </w:r>
          </w:p>
        </w:tc>
        <w:tc>
          <w:tcPr>
            <w:tcW w:w="5954" w:type="dxa"/>
            <w:noWrap/>
            <w:hideMark/>
          </w:tcPr>
          <w:p w14:paraId="311DFA29"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2,9-Dichlor-5,12-dihydroquino[2,3-b]acridine-7,14-dione</w:t>
            </w:r>
          </w:p>
        </w:tc>
        <w:tc>
          <w:tcPr>
            <w:tcW w:w="1559" w:type="dxa"/>
            <w:noWrap/>
            <w:hideMark/>
          </w:tcPr>
          <w:p w14:paraId="6612CE55"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7A82921B" w14:textId="77777777" w:rsidR="007F1FE2" w:rsidRPr="00EA2350" w:rsidRDefault="007F1FE2" w:rsidP="00FC2E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7F1FE2" w:rsidRPr="00EA2350" w14:paraId="1C115B9C" w14:textId="77777777" w:rsidTr="00FC2E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790828DB"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3520-72-7</w:t>
            </w:r>
          </w:p>
        </w:tc>
        <w:tc>
          <w:tcPr>
            <w:tcW w:w="1701" w:type="dxa"/>
            <w:noWrap/>
            <w:hideMark/>
          </w:tcPr>
          <w:p w14:paraId="49145052" w14:textId="77777777" w:rsidR="007F1FE2" w:rsidRPr="00EA2350" w:rsidRDefault="007F1FE2" w:rsidP="00FC2E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222-530-3</w:t>
            </w:r>
          </w:p>
        </w:tc>
        <w:tc>
          <w:tcPr>
            <w:tcW w:w="5954" w:type="dxa"/>
            <w:noWrap/>
            <w:hideMark/>
          </w:tcPr>
          <w:p w14:paraId="2B5A2FE2"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C.I. Pigment Orange 13</w:t>
            </w:r>
          </w:p>
        </w:tc>
        <w:tc>
          <w:tcPr>
            <w:tcW w:w="1559" w:type="dxa"/>
            <w:noWrap/>
            <w:hideMark/>
          </w:tcPr>
          <w:p w14:paraId="3DEBBFA0"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1-10t</w:t>
            </w:r>
          </w:p>
        </w:tc>
        <w:tc>
          <w:tcPr>
            <w:tcW w:w="1559" w:type="dxa"/>
            <w:noWrap/>
            <w:hideMark/>
          </w:tcPr>
          <w:p w14:paraId="182344C1" w14:textId="77777777" w:rsidR="007F1FE2" w:rsidRPr="00EA2350" w:rsidRDefault="007F1FE2" w:rsidP="00FC2E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20120</w:t>
            </w:r>
          </w:p>
        </w:tc>
      </w:tr>
      <w:tr w:rsidR="007F1FE2" w:rsidRPr="00EA2350" w14:paraId="308E3285" w14:textId="77777777" w:rsidTr="00FC2E7F">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60F42BB0"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3905-19-9</w:t>
            </w:r>
          </w:p>
        </w:tc>
        <w:tc>
          <w:tcPr>
            <w:tcW w:w="1701" w:type="dxa"/>
            <w:noWrap/>
            <w:hideMark/>
          </w:tcPr>
          <w:p w14:paraId="123CEBBD" w14:textId="77777777" w:rsidR="007F1FE2" w:rsidRPr="00EA2350" w:rsidRDefault="007F1FE2" w:rsidP="00FC2E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223-460-6</w:t>
            </w:r>
          </w:p>
        </w:tc>
        <w:tc>
          <w:tcPr>
            <w:tcW w:w="5954" w:type="dxa"/>
            <w:noWrap/>
            <w:hideMark/>
          </w:tcPr>
          <w:p w14:paraId="462C5B3F"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N,N'-Phenylene-1,4-bis[4-[(2,5-dichlorophenyl)azo]-3- hydroxynaphthalene-2-carboxamide]</w:t>
            </w:r>
          </w:p>
        </w:tc>
        <w:tc>
          <w:tcPr>
            <w:tcW w:w="1559" w:type="dxa"/>
            <w:noWrap/>
            <w:hideMark/>
          </w:tcPr>
          <w:p w14:paraId="2EB55276"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7D2932C9" w14:textId="77777777" w:rsidR="007F1FE2" w:rsidRPr="00EA2350" w:rsidRDefault="007F1FE2" w:rsidP="00FC2E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7F1FE2" w:rsidRPr="00EA2350" w14:paraId="4E441003" w14:textId="77777777" w:rsidTr="00FC2E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5A34E890"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4051-63-2</w:t>
            </w:r>
          </w:p>
        </w:tc>
        <w:tc>
          <w:tcPr>
            <w:tcW w:w="1701" w:type="dxa"/>
            <w:noWrap/>
            <w:hideMark/>
          </w:tcPr>
          <w:p w14:paraId="3ACACAC2" w14:textId="77777777" w:rsidR="007F1FE2" w:rsidRPr="00EA2350" w:rsidRDefault="007F1FE2" w:rsidP="00FC2E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223-754-4</w:t>
            </w:r>
          </w:p>
        </w:tc>
        <w:tc>
          <w:tcPr>
            <w:tcW w:w="5954" w:type="dxa"/>
            <w:noWrap/>
            <w:hideMark/>
          </w:tcPr>
          <w:p w14:paraId="10D14447"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4,4'-diamino[1,1'-bianthracene]-9,9',10,10'-tetraone</w:t>
            </w:r>
          </w:p>
        </w:tc>
        <w:tc>
          <w:tcPr>
            <w:tcW w:w="1559" w:type="dxa"/>
            <w:noWrap/>
            <w:hideMark/>
          </w:tcPr>
          <w:p w14:paraId="47351C6D"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0,1 - 1t</w:t>
            </w:r>
          </w:p>
        </w:tc>
        <w:tc>
          <w:tcPr>
            <w:tcW w:w="1559" w:type="dxa"/>
            <w:noWrap/>
            <w:hideMark/>
          </w:tcPr>
          <w:p w14:paraId="5B906A1F" w14:textId="77777777" w:rsidR="007F1FE2" w:rsidRPr="00EA2350" w:rsidRDefault="007F1FE2" w:rsidP="00FC2E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20120</w:t>
            </w:r>
          </w:p>
        </w:tc>
      </w:tr>
      <w:tr w:rsidR="007F1FE2" w:rsidRPr="00EA2350" w14:paraId="08FFA286" w14:textId="77777777" w:rsidTr="00FC2E7F">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24271A62" w14:textId="77777777" w:rsidR="007F1FE2" w:rsidRPr="00EA2350" w:rsidRDefault="007F1FE2" w:rsidP="00FC2E7F">
            <w:pPr>
              <w:jc w:val="center"/>
              <w:rPr>
                <w:rFonts w:ascii="Calibri" w:eastAsia="Times New Roman" w:hAnsi="Calibri" w:cs="Calibri"/>
                <w:b/>
                <w:bCs/>
                <w:color w:val="000000"/>
                <w:sz w:val="22"/>
                <w:lang w:val="en-US"/>
              </w:rPr>
            </w:pPr>
          </w:p>
        </w:tc>
        <w:tc>
          <w:tcPr>
            <w:tcW w:w="1701" w:type="dxa"/>
            <w:noWrap/>
            <w:hideMark/>
          </w:tcPr>
          <w:p w14:paraId="0B2BEC89" w14:textId="77777777" w:rsidR="007F1FE2" w:rsidRPr="00EA2350" w:rsidRDefault="007F1FE2" w:rsidP="00FC2E7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2F1DE976"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C.I. Pigment Red 177</w:t>
            </w:r>
          </w:p>
        </w:tc>
        <w:tc>
          <w:tcPr>
            <w:tcW w:w="1559" w:type="dxa"/>
            <w:noWrap/>
            <w:hideMark/>
          </w:tcPr>
          <w:p w14:paraId="2992155B"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644A1474"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r>
      <w:tr w:rsidR="007F1FE2" w:rsidRPr="00EA2350" w14:paraId="38CDE8DA" w14:textId="77777777" w:rsidTr="00FC2E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520AB63C"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4702-90-3</w:t>
            </w:r>
          </w:p>
        </w:tc>
        <w:tc>
          <w:tcPr>
            <w:tcW w:w="1701" w:type="dxa"/>
            <w:noWrap/>
            <w:hideMark/>
          </w:tcPr>
          <w:p w14:paraId="7FFE078A" w14:textId="77777777" w:rsidR="007F1FE2" w:rsidRPr="00EA2350" w:rsidRDefault="007F1FE2" w:rsidP="00FC2E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225-184-1</w:t>
            </w:r>
          </w:p>
        </w:tc>
        <w:tc>
          <w:tcPr>
            <w:tcW w:w="5954" w:type="dxa"/>
            <w:noWrap/>
            <w:hideMark/>
          </w:tcPr>
          <w:p w14:paraId="4F7440FA"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4,4'-methylylidenebis(5-methyl-2-phenyl-2,4-dihydro-3H-pyrazol-3-one)</w:t>
            </w:r>
          </w:p>
        </w:tc>
        <w:tc>
          <w:tcPr>
            <w:tcW w:w="1559" w:type="dxa"/>
            <w:noWrap/>
            <w:hideMark/>
          </w:tcPr>
          <w:p w14:paraId="39ED9CCC"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6BA5201D" w14:textId="77777777" w:rsidR="007F1FE2" w:rsidRPr="00EA2350" w:rsidRDefault="007F1FE2" w:rsidP="00FC2E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7F1FE2" w:rsidRPr="00EA2350" w14:paraId="31BB4EA0" w14:textId="77777777" w:rsidTr="00FC2E7F">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4E6AD7D3"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4948-15-6</w:t>
            </w:r>
          </w:p>
        </w:tc>
        <w:tc>
          <w:tcPr>
            <w:tcW w:w="1701" w:type="dxa"/>
            <w:noWrap/>
            <w:hideMark/>
          </w:tcPr>
          <w:p w14:paraId="73E69151" w14:textId="77777777" w:rsidR="007F1FE2" w:rsidRPr="00EA2350" w:rsidRDefault="007F1FE2" w:rsidP="00FC2E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225-590-9</w:t>
            </w:r>
          </w:p>
        </w:tc>
        <w:tc>
          <w:tcPr>
            <w:tcW w:w="5954" w:type="dxa"/>
            <w:noWrap/>
            <w:hideMark/>
          </w:tcPr>
          <w:p w14:paraId="6F61BE31"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2,9-bis(3,5-dimethylphenyl)anthra[2,1,9-def:6,5,10-d'e'f']diisoquinoline-1,3,8,10(2H,9H)-tetrone</w:t>
            </w:r>
          </w:p>
        </w:tc>
        <w:tc>
          <w:tcPr>
            <w:tcW w:w="1559" w:type="dxa"/>
            <w:noWrap/>
            <w:hideMark/>
          </w:tcPr>
          <w:p w14:paraId="13CA620D"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0,1 - 1t</w:t>
            </w:r>
          </w:p>
        </w:tc>
        <w:tc>
          <w:tcPr>
            <w:tcW w:w="1559" w:type="dxa"/>
            <w:noWrap/>
            <w:hideMark/>
          </w:tcPr>
          <w:p w14:paraId="56205720" w14:textId="77777777" w:rsidR="007F1FE2" w:rsidRPr="00EA2350" w:rsidRDefault="007F1FE2" w:rsidP="00FC2E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7F1FE2" w:rsidRPr="00EA2350" w14:paraId="5080EB5B" w14:textId="77777777" w:rsidTr="00FC2E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79C42E75" w14:textId="77777777" w:rsidR="007F1FE2" w:rsidRPr="00EA2350" w:rsidRDefault="007F1FE2" w:rsidP="00FC2E7F">
            <w:pPr>
              <w:jc w:val="center"/>
              <w:rPr>
                <w:rFonts w:ascii="Calibri" w:eastAsia="Times New Roman" w:hAnsi="Calibri" w:cs="Calibri"/>
                <w:b/>
                <w:bCs/>
                <w:color w:val="000000"/>
                <w:sz w:val="22"/>
                <w:lang w:val="en-US"/>
              </w:rPr>
            </w:pPr>
          </w:p>
        </w:tc>
        <w:tc>
          <w:tcPr>
            <w:tcW w:w="1701" w:type="dxa"/>
            <w:noWrap/>
            <w:hideMark/>
          </w:tcPr>
          <w:p w14:paraId="763732A4" w14:textId="77777777" w:rsidR="007F1FE2" w:rsidRPr="00EA2350" w:rsidRDefault="007F1FE2" w:rsidP="00FC2E7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3E9EAC66"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Pigment Red 149</w:t>
            </w:r>
          </w:p>
        </w:tc>
        <w:tc>
          <w:tcPr>
            <w:tcW w:w="1559" w:type="dxa"/>
            <w:noWrap/>
            <w:hideMark/>
          </w:tcPr>
          <w:p w14:paraId="68489168"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42FF2024"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r>
      <w:tr w:rsidR="007F1FE2" w:rsidRPr="00EA2350" w14:paraId="246566C8" w14:textId="77777777" w:rsidTr="00FC2E7F">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7CD1D992"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5102-83-0</w:t>
            </w:r>
          </w:p>
        </w:tc>
        <w:tc>
          <w:tcPr>
            <w:tcW w:w="1701" w:type="dxa"/>
            <w:noWrap/>
            <w:hideMark/>
          </w:tcPr>
          <w:p w14:paraId="1994BC3D" w14:textId="77777777" w:rsidR="007F1FE2" w:rsidRPr="00EA2350" w:rsidRDefault="007F1FE2" w:rsidP="00FC2E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225-822-9</w:t>
            </w:r>
          </w:p>
        </w:tc>
        <w:tc>
          <w:tcPr>
            <w:tcW w:w="5954" w:type="dxa"/>
            <w:noWrap/>
            <w:hideMark/>
          </w:tcPr>
          <w:p w14:paraId="7A062FEC"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2,2'-[(3,3'-dichloro[1,1'-biphenyl]-4,4'-diyl)bis(azo)]bis[N-(2,4-dimethylphenyl)-3-oxobutyramide]</w:t>
            </w:r>
          </w:p>
        </w:tc>
        <w:tc>
          <w:tcPr>
            <w:tcW w:w="1559" w:type="dxa"/>
            <w:noWrap/>
            <w:hideMark/>
          </w:tcPr>
          <w:p w14:paraId="5A6960AD"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10-100t</w:t>
            </w:r>
          </w:p>
        </w:tc>
        <w:tc>
          <w:tcPr>
            <w:tcW w:w="1559" w:type="dxa"/>
            <w:noWrap/>
            <w:hideMark/>
          </w:tcPr>
          <w:p w14:paraId="17AEB513" w14:textId="77777777" w:rsidR="007F1FE2" w:rsidRPr="00EA2350" w:rsidRDefault="007F1FE2" w:rsidP="00FC2E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7F1FE2" w:rsidRPr="00EA2350" w14:paraId="0475DB15" w14:textId="77777777" w:rsidTr="00FC2E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6124C811" w14:textId="77777777" w:rsidR="007F1FE2" w:rsidRPr="00EA2350" w:rsidRDefault="007F1FE2" w:rsidP="00FC2E7F">
            <w:pPr>
              <w:jc w:val="center"/>
              <w:rPr>
                <w:rFonts w:ascii="Calibri" w:eastAsia="Times New Roman" w:hAnsi="Calibri" w:cs="Calibri"/>
                <w:b/>
                <w:bCs/>
                <w:color w:val="000000"/>
                <w:sz w:val="22"/>
                <w:lang w:val="en-US"/>
              </w:rPr>
            </w:pPr>
          </w:p>
        </w:tc>
        <w:tc>
          <w:tcPr>
            <w:tcW w:w="1701" w:type="dxa"/>
            <w:noWrap/>
            <w:hideMark/>
          </w:tcPr>
          <w:p w14:paraId="5B1C23F8" w14:textId="77777777" w:rsidR="007F1FE2" w:rsidRPr="00EA2350" w:rsidRDefault="007F1FE2" w:rsidP="00FC2E7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619CBB3B"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C.I. Pigment Yellow 13</w:t>
            </w:r>
          </w:p>
        </w:tc>
        <w:tc>
          <w:tcPr>
            <w:tcW w:w="1559" w:type="dxa"/>
            <w:noWrap/>
            <w:hideMark/>
          </w:tcPr>
          <w:p w14:paraId="54C7B3FA"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0C506D18" w14:textId="77777777" w:rsidR="007F1FE2" w:rsidRPr="00EA2350" w:rsidRDefault="007F1FE2" w:rsidP="00FC2E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20120</w:t>
            </w:r>
          </w:p>
        </w:tc>
      </w:tr>
      <w:tr w:rsidR="007F1FE2" w:rsidRPr="00EA2350" w14:paraId="6897B546" w14:textId="77777777" w:rsidTr="00FC2E7F">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3862724C"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5160-02-1</w:t>
            </w:r>
          </w:p>
        </w:tc>
        <w:tc>
          <w:tcPr>
            <w:tcW w:w="1701" w:type="dxa"/>
            <w:noWrap/>
            <w:hideMark/>
          </w:tcPr>
          <w:p w14:paraId="33C793E5" w14:textId="77777777" w:rsidR="007F1FE2" w:rsidRPr="00EA2350" w:rsidRDefault="007F1FE2" w:rsidP="00FC2E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225-935-3</w:t>
            </w:r>
          </w:p>
        </w:tc>
        <w:tc>
          <w:tcPr>
            <w:tcW w:w="5954" w:type="dxa"/>
            <w:noWrap/>
            <w:hideMark/>
          </w:tcPr>
          <w:p w14:paraId="0A817A35"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Pigment Red 53:1</w:t>
            </w:r>
          </w:p>
        </w:tc>
        <w:tc>
          <w:tcPr>
            <w:tcW w:w="1559" w:type="dxa"/>
            <w:noWrap/>
            <w:hideMark/>
          </w:tcPr>
          <w:p w14:paraId="2439F7B5"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10-100t</w:t>
            </w:r>
          </w:p>
        </w:tc>
        <w:tc>
          <w:tcPr>
            <w:tcW w:w="1559" w:type="dxa"/>
            <w:noWrap/>
            <w:hideMark/>
          </w:tcPr>
          <w:p w14:paraId="5EE093EC" w14:textId="77777777" w:rsidR="007F1FE2" w:rsidRPr="00EA2350" w:rsidRDefault="007F1FE2" w:rsidP="00FC2E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20590</w:t>
            </w:r>
          </w:p>
        </w:tc>
      </w:tr>
      <w:tr w:rsidR="007F1FE2" w:rsidRPr="00EA2350" w14:paraId="47676367" w14:textId="77777777" w:rsidTr="00FC2E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1F1237E4"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5280-66-0</w:t>
            </w:r>
          </w:p>
        </w:tc>
        <w:tc>
          <w:tcPr>
            <w:tcW w:w="1701" w:type="dxa"/>
            <w:noWrap/>
            <w:hideMark/>
          </w:tcPr>
          <w:p w14:paraId="18F6EA2A" w14:textId="77777777" w:rsidR="007F1FE2" w:rsidRPr="00EA2350" w:rsidRDefault="007F1FE2" w:rsidP="00FC2E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226-102-7</w:t>
            </w:r>
          </w:p>
        </w:tc>
        <w:tc>
          <w:tcPr>
            <w:tcW w:w="5954" w:type="dxa"/>
            <w:noWrap/>
            <w:hideMark/>
          </w:tcPr>
          <w:p w14:paraId="538219E9"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C.I. Pigment Red 48:4</w:t>
            </w:r>
          </w:p>
        </w:tc>
        <w:tc>
          <w:tcPr>
            <w:tcW w:w="1559" w:type="dxa"/>
            <w:noWrap/>
            <w:hideMark/>
          </w:tcPr>
          <w:p w14:paraId="4128D284"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1-10t</w:t>
            </w:r>
          </w:p>
        </w:tc>
        <w:tc>
          <w:tcPr>
            <w:tcW w:w="1559" w:type="dxa"/>
            <w:noWrap/>
            <w:hideMark/>
          </w:tcPr>
          <w:p w14:paraId="5620E7BF" w14:textId="77777777" w:rsidR="007F1FE2" w:rsidRPr="00EA2350" w:rsidRDefault="007F1FE2" w:rsidP="00FC2E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20120</w:t>
            </w:r>
          </w:p>
        </w:tc>
      </w:tr>
      <w:tr w:rsidR="007F1FE2" w:rsidRPr="00EA2350" w14:paraId="2698B036" w14:textId="77777777" w:rsidTr="00FC2E7F">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645D382A"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5280-68-2</w:t>
            </w:r>
          </w:p>
        </w:tc>
        <w:tc>
          <w:tcPr>
            <w:tcW w:w="1701" w:type="dxa"/>
            <w:noWrap/>
            <w:hideMark/>
          </w:tcPr>
          <w:p w14:paraId="6740839D" w14:textId="77777777" w:rsidR="007F1FE2" w:rsidRPr="00EA2350" w:rsidRDefault="007F1FE2" w:rsidP="00FC2E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226-103-2</w:t>
            </w:r>
          </w:p>
        </w:tc>
        <w:tc>
          <w:tcPr>
            <w:tcW w:w="5954" w:type="dxa"/>
            <w:noWrap/>
            <w:hideMark/>
          </w:tcPr>
          <w:p w14:paraId="31060E81"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C.I. Pigment Red 146</w:t>
            </w:r>
          </w:p>
        </w:tc>
        <w:tc>
          <w:tcPr>
            <w:tcW w:w="1559" w:type="dxa"/>
            <w:noWrap/>
            <w:hideMark/>
          </w:tcPr>
          <w:p w14:paraId="506736FD"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1-10t</w:t>
            </w:r>
          </w:p>
        </w:tc>
        <w:tc>
          <w:tcPr>
            <w:tcW w:w="1559" w:type="dxa"/>
            <w:noWrap/>
            <w:hideMark/>
          </w:tcPr>
          <w:p w14:paraId="22B576BB" w14:textId="77777777" w:rsidR="007F1FE2" w:rsidRPr="00EA2350" w:rsidRDefault="007F1FE2" w:rsidP="00FC2E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20120</w:t>
            </w:r>
          </w:p>
        </w:tc>
      </w:tr>
      <w:tr w:rsidR="007F1FE2" w:rsidRPr="00EA2350" w14:paraId="6520949F" w14:textId="77777777" w:rsidTr="00FC2E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4AACDE02"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5468-75-7</w:t>
            </w:r>
          </w:p>
        </w:tc>
        <w:tc>
          <w:tcPr>
            <w:tcW w:w="1701" w:type="dxa"/>
            <w:noWrap/>
            <w:hideMark/>
          </w:tcPr>
          <w:p w14:paraId="64CDDD1F" w14:textId="77777777" w:rsidR="007F1FE2" w:rsidRPr="00EA2350" w:rsidRDefault="007F1FE2" w:rsidP="00FC2E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226-789-3</w:t>
            </w:r>
          </w:p>
        </w:tc>
        <w:tc>
          <w:tcPr>
            <w:tcW w:w="5954" w:type="dxa"/>
            <w:noWrap/>
            <w:hideMark/>
          </w:tcPr>
          <w:p w14:paraId="48A8EBC4"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C.I. Pigment Yellow 14</w:t>
            </w:r>
          </w:p>
        </w:tc>
        <w:tc>
          <w:tcPr>
            <w:tcW w:w="1559" w:type="dxa"/>
            <w:noWrap/>
            <w:hideMark/>
          </w:tcPr>
          <w:p w14:paraId="1369A190"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1-10t</w:t>
            </w:r>
          </w:p>
        </w:tc>
        <w:tc>
          <w:tcPr>
            <w:tcW w:w="1559" w:type="dxa"/>
            <w:noWrap/>
            <w:hideMark/>
          </w:tcPr>
          <w:p w14:paraId="5667BF3E" w14:textId="77777777" w:rsidR="007F1FE2" w:rsidRPr="00EA2350" w:rsidRDefault="007F1FE2" w:rsidP="00FC2E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20120</w:t>
            </w:r>
          </w:p>
        </w:tc>
      </w:tr>
      <w:tr w:rsidR="007F1FE2" w:rsidRPr="00EA2350" w14:paraId="02A5ABAC" w14:textId="77777777" w:rsidTr="00FC2E7F">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2DF29591"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5521-31-3</w:t>
            </w:r>
          </w:p>
        </w:tc>
        <w:tc>
          <w:tcPr>
            <w:tcW w:w="1701" w:type="dxa"/>
            <w:noWrap/>
            <w:hideMark/>
          </w:tcPr>
          <w:p w14:paraId="4E60B48A" w14:textId="77777777" w:rsidR="007F1FE2" w:rsidRPr="00EA2350" w:rsidRDefault="007F1FE2" w:rsidP="00FC2E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226-866-1</w:t>
            </w:r>
          </w:p>
        </w:tc>
        <w:tc>
          <w:tcPr>
            <w:tcW w:w="5954" w:type="dxa"/>
            <w:noWrap/>
            <w:hideMark/>
          </w:tcPr>
          <w:p w14:paraId="6EFAFC4E"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C.I. Pigment Red 179</w:t>
            </w:r>
          </w:p>
        </w:tc>
        <w:tc>
          <w:tcPr>
            <w:tcW w:w="1559" w:type="dxa"/>
            <w:noWrap/>
            <w:hideMark/>
          </w:tcPr>
          <w:p w14:paraId="2DAE24F0"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0CCBD48C" w14:textId="77777777" w:rsidR="007F1FE2" w:rsidRPr="00EA2350" w:rsidRDefault="007F1FE2" w:rsidP="00FC2E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7F1FE2" w:rsidRPr="00EA2350" w14:paraId="67E2B325" w14:textId="77777777" w:rsidTr="00FC2E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28B78A6D"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5567-15-7</w:t>
            </w:r>
          </w:p>
        </w:tc>
        <w:tc>
          <w:tcPr>
            <w:tcW w:w="1701" w:type="dxa"/>
            <w:noWrap/>
            <w:hideMark/>
          </w:tcPr>
          <w:p w14:paraId="24464022" w14:textId="77777777" w:rsidR="007F1FE2" w:rsidRPr="00EA2350" w:rsidRDefault="007F1FE2" w:rsidP="00FC2E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226-939-8</w:t>
            </w:r>
          </w:p>
        </w:tc>
        <w:tc>
          <w:tcPr>
            <w:tcW w:w="5954" w:type="dxa"/>
            <w:noWrap/>
            <w:hideMark/>
          </w:tcPr>
          <w:p w14:paraId="36171C3D"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C.I. Pigment Yellow 83</w:t>
            </w:r>
          </w:p>
        </w:tc>
        <w:tc>
          <w:tcPr>
            <w:tcW w:w="1559" w:type="dxa"/>
            <w:noWrap/>
            <w:hideMark/>
          </w:tcPr>
          <w:p w14:paraId="2FA3195E"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0,1 - 1t</w:t>
            </w:r>
          </w:p>
        </w:tc>
        <w:tc>
          <w:tcPr>
            <w:tcW w:w="1559" w:type="dxa"/>
            <w:noWrap/>
            <w:hideMark/>
          </w:tcPr>
          <w:p w14:paraId="1F10F062" w14:textId="77777777" w:rsidR="007F1FE2" w:rsidRPr="00EA2350" w:rsidRDefault="007F1FE2" w:rsidP="00FC2E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20120</w:t>
            </w:r>
          </w:p>
        </w:tc>
      </w:tr>
      <w:tr w:rsidR="007F1FE2" w:rsidRPr="00EA2350" w14:paraId="0BD53796" w14:textId="77777777" w:rsidTr="00FC2E7F">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7EFF8095"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5580-57-4</w:t>
            </w:r>
          </w:p>
        </w:tc>
        <w:tc>
          <w:tcPr>
            <w:tcW w:w="1701" w:type="dxa"/>
            <w:noWrap/>
            <w:hideMark/>
          </w:tcPr>
          <w:p w14:paraId="2AF4D4C8" w14:textId="77777777" w:rsidR="007F1FE2" w:rsidRPr="00EA2350" w:rsidRDefault="007F1FE2" w:rsidP="00FC2E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226-970-7</w:t>
            </w:r>
          </w:p>
        </w:tc>
        <w:tc>
          <w:tcPr>
            <w:tcW w:w="5954" w:type="dxa"/>
            <w:noWrap/>
            <w:hideMark/>
          </w:tcPr>
          <w:p w14:paraId="0D93D1DA"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3,3'-[(2-chloro-5-methyl-p-phenylene)bis[imino(1-acetyl-2-oxoethylene)azo]]bis[4-chloro-N-(3-chloro-o-tolyl)benzamide]</w:t>
            </w:r>
          </w:p>
        </w:tc>
        <w:tc>
          <w:tcPr>
            <w:tcW w:w="1559" w:type="dxa"/>
            <w:noWrap/>
            <w:hideMark/>
          </w:tcPr>
          <w:p w14:paraId="7AE65FD3"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0,1 - 1t</w:t>
            </w:r>
          </w:p>
        </w:tc>
        <w:tc>
          <w:tcPr>
            <w:tcW w:w="1559" w:type="dxa"/>
            <w:noWrap/>
            <w:hideMark/>
          </w:tcPr>
          <w:p w14:paraId="72F7145D" w14:textId="77777777" w:rsidR="007F1FE2" w:rsidRPr="00EA2350" w:rsidRDefault="007F1FE2" w:rsidP="00FC2E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7F1FE2" w:rsidRPr="00EA2350" w14:paraId="76E46029" w14:textId="77777777" w:rsidTr="00FC2E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0DC23C74" w14:textId="77777777" w:rsidR="007F1FE2" w:rsidRPr="00EA2350" w:rsidRDefault="007F1FE2" w:rsidP="00FC2E7F">
            <w:pPr>
              <w:jc w:val="center"/>
              <w:rPr>
                <w:rFonts w:ascii="Calibri" w:eastAsia="Times New Roman" w:hAnsi="Calibri" w:cs="Calibri"/>
                <w:b/>
                <w:bCs/>
                <w:color w:val="000000"/>
                <w:sz w:val="22"/>
                <w:lang w:val="en-US"/>
              </w:rPr>
            </w:pPr>
          </w:p>
        </w:tc>
        <w:tc>
          <w:tcPr>
            <w:tcW w:w="1701" w:type="dxa"/>
            <w:noWrap/>
            <w:hideMark/>
          </w:tcPr>
          <w:p w14:paraId="6F95E223" w14:textId="77777777" w:rsidR="007F1FE2" w:rsidRPr="00EA2350" w:rsidRDefault="007F1FE2" w:rsidP="00FC2E7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64115B2A"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Pigment Yellow 93</w:t>
            </w:r>
          </w:p>
        </w:tc>
        <w:tc>
          <w:tcPr>
            <w:tcW w:w="1559" w:type="dxa"/>
            <w:noWrap/>
            <w:hideMark/>
          </w:tcPr>
          <w:p w14:paraId="08E33D3E"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10B124FB"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r>
      <w:tr w:rsidR="007F1FE2" w:rsidRPr="00EA2350" w14:paraId="061BD239" w14:textId="77777777" w:rsidTr="00FC2E7F">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324A00D4"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5590-18-1</w:t>
            </w:r>
          </w:p>
        </w:tc>
        <w:tc>
          <w:tcPr>
            <w:tcW w:w="1701" w:type="dxa"/>
            <w:noWrap/>
            <w:hideMark/>
          </w:tcPr>
          <w:p w14:paraId="5C0E8946" w14:textId="77777777" w:rsidR="007F1FE2" w:rsidRPr="00EA2350" w:rsidRDefault="007F1FE2" w:rsidP="00FC2E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226-999-5</w:t>
            </w:r>
          </w:p>
        </w:tc>
        <w:tc>
          <w:tcPr>
            <w:tcW w:w="5954" w:type="dxa"/>
            <w:noWrap/>
            <w:hideMark/>
          </w:tcPr>
          <w:p w14:paraId="34B52E7A"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Pigment Yellow 110</w:t>
            </w:r>
          </w:p>
        </w:tc>
        <w:tc>
          <w:tcPr>
            <w:tcW w:w="1559" w:type="dxa"/>
            <w:noWrap/>
            <w:hideMark/>
          </w:tcPr>
          <w:p w14:paraId="25C4D550"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0,1 - 1t</w:t>
            </w:r>
          </w:p>
        </w:tc>
        <w:tc>
          <w:tcPr>
            <w:tcW w:w="1559" w:type="dxa"/>
            <w:noWrap/>
            <w:hideMark/>
          </w:tcPr>
          <w:p w14:paraId="0B38337C" w14:textId="77777777" w:rsidR="007F1FE2" w:rsidRPr="00EA2350" w:rsidRDefault="007F1FE2" w:rsidP="00FC2E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203</w:t>
            </w:r>
          </w:p>
        </w:tc>
      </w:tr>
      <w:tr w:rsidR="007F1FE2" w:rsidRPr="00EA2350" w14:paraId="47FC822B" w14:textId="77777777" w:rsidTr="00FC2E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745C94B1"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6041-94-7</w:t>
            </w:r>
          </w:p>
        </w:tc>
        <w:tc>
          <w:tcPr>
            <w:tcW w:w="1701" w:type="dxa"/>
            <w:noWrap/>
            <w:hideMark/>
          </w:tcPr>
          <w:p w14:paraId="1EC14F27" w14:textId="77777777" w:rsidR="007F1FE2" w:rsidRPr="00EA2350" w:rsidRDefault="007F1FE2" w:rsidP="00FC2E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227-930-1</w:t>
            </w:r>
          </w:p>
        </w:tc>
        <w:tc>
          <w:tcPr>
            <w:tcW w:w="5954" w:type="dxa"/>
            <w:noWrap/>
            <w:hideMark/>
          </w:tcPr>
          <w:p w14:paraId="79064097"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C.I. Pigment Red 2</w:t>
            </w:r>
          </w:p>
        </w:tc>
        <w:tc>
          <w:tcPr>
            <w:tcW w:w="1559" w:type="dxa"/>
            <w:noWrap/>
            <w:hideMark/>
          </w:tcPr>
          <w:p w14:paraId="7FE8CE3F"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0,1 - 1t</w:t>
            </w:r>
          </w:p>
        </w:tc>
        <w:tc>
          <w:tcPr>
            <w:tcW w:w="1559" w:type="dxa"/>
            <w:noWrap/>
            <w:hideMark/>
          </w:tcPr>
          <w:p w14:paraId="213D4E96" w14:textId="77777777" w:rsidR="007F1FE2" w:rsidRPr="00EA2350" w:rsidRDefault="007F1FE2" w:rsidP="00FC2E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20120</w:t>
            </w:r>
          </w:p>
        </w:tc>
      </w:tr>
      <w:tr w:rsidR="007F1FE2" w:rsidRPr="00EA2350" w14:paraId="049B67C3" w14:textId="77777777" w:rsidTr="00FC2E7F">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3D1A95DF"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6358-30-1</w:t>
            </w:r>
          </w:p>
        </w:tc>
        <w:tc>
          <w:tcPr>
            <w:tcW w:w="1701" w:type="dxa"/>
            <w:noWrap/>
            <w:hideMark/>
          </w:tcPr>
          <w:p w14:paraId="3FF45538" w14:textId="77777777" w:rsidR="007F1FE2" w:rsidRPr="00EA2350" w:rsidRDefault="007F1FE2" w:rsidP="00FC2E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228-767-9</w:t>
            </w:r>
          </w:p>
        </w:tc>
        <w:tc>
          <w:tcPr>
            <w:tcW w:w="5954" w:type="dxa"/>
            <w:noWrap/>
            <w:hideMark/>
          </w:tcPr>
          <w:p w14:paraId="1B760A94"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8,18-dichloro-5,15-diethyl-5,15-dihydrodiindolo[3,2-b:3',2'-m]triphenodioxazine</w:t>
            </w:r>
          </w:p>
        </w:tc>
        <w:tc>
          <w:tcPr>
            <w:tcW w:w="1559" w:type="dxa"/>
            <w:noWrap/>
            <w:hideMark/>
          </w:tcPr>
          <w:p w14:paraId="1A80A350"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5405FBD8" w14:textId="77777777" w:rsidR="007F1FE2" w:rsidRPr="00EA2350" w:rsidRDefault="007F1FE2" w:rsidP="00FC2E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7F1FE2" w:rsidRPr="00EA2350" w14:paraId="6577CFE3" w14:textId="77777777" w:rsidTr="00FC2E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58E85298"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6358-31-2</w:t>
            </w:r>
          </w:p>
        </w:tc>
        <w:tc>
          <w:tcPr>
            <w:tcW w:w="1701" w:type="dxa"/>
            <w:noWrap/>
            <w:hideMark/>
          </w:tcPr>
          <w:p w14:paraId="63B5783E" w14:textId="77777777" w:rsidR="007F1FE2" w:rsidRPr="00EA2350" w:rsidRDefault="007F1FE2" w:rsidP="00FC2E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228-768-4</w:t>
            </w:r>
          </w:p>
        </w:tc>
        <w:tc>
          <w:tcPr>
            <w:tcW w:w="5954" w:type="dxa"/>
            <w:noWrap/>
            <w:hideMark/>
          </w:tcPr>
          <w:p w14:paraId="43D2D95C"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C.I. Pigment Yellow 74</w:t>
            </w:r>
          </w:p>
        </w:tc>
        <w:tc>
          <w:tcPr>
            <w:tcW w:w="1559" w:type="dxa"/>
            <w:noWrap/>
            <w:hideMark/>
          </w:tcPr>
          <w:p w14:paraId="0AE97B69"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3A302E95" w14:textId="77777777" w:rsidR="007F1FE2" w:rsidRPr="00EA2350" w:rsidRDefault="007F1FE2" w:rsidP="00FC2E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20120</w:t>
            </w:r>
          </w:p>
        </w:tc>
      </w:tr>
      <w:tr w:rsidR="007F1FE2" w:rsidRPr="00EA2350" w14:paraId="3599DE42" w14:textId="77777777" w:rsidTr="00FC2E7F">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406F156D"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6486-23-3</w:t>
            </w:r>
          </w:p>
        </w:tc>
        <w:tc>
          <w:tcPr>
            <w:tcW w:w="1701" w:type="dxa"/>
            <w:noWrap/>
            <w:hideMark/>
          </w:tcPr>
          <w:p w14:paraId="0095C7E6" w14:textId="77777777" w:rsidR="007F1FE2" w:rsidRPr="00EA2350" w:rsidRDefault="007F1FE2" w:rsidP="00FC2E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229-355-1</w:t>
            </w:r>
          </w:p>
        </w:tc>
        <w:tc>
          <w:tcPr>
            <w:tcW w:w="5954" w:type="dxa"/>
            <w:noWrap/>
            <w:hideMark/>
          </w:tcPr>
          <w:p w14:paraId="0D22791B"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C.I. Pigment Yellow 3</w:t>
            </w:r>
          </w:p>
        </w:tc>
        <w:tc>
          <w:tcPr>
            <w:tcW w:w="1559" w:type="dxa"/>
            <w:noWrap/>
            <w:hideMark/>
          </w:tcPr>
          <w:p w14:paraId="7E8CBD46"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7846222C" w14:textId="77777777" w:rsidR="007F1FE2" w:rsidRPr="00EA2350" w:rsidRDefault="007F1FE2" w:rsidP="00FC2E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20120</w:t>
            </w:r>
          </w:p>
        </w:tc>
      </w:tr>
      <w:tr w:rsidR="007F1FE2" w:rsidRPr="00EA2350" w14:paraId="746948C0" w14:textId="77777777" w:rsidTr="00FC2E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6AF04F95"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6829-22-7</w:t>
            </w:r>
          </w:p>
        </w:tc>
        <w:tc>
          <w:tcPr>
            <w:tcW w:w="1701" w:type="dxa"/>
            <w:noWrap/>
            <w:hideMark/>
          </w:tcPr>
          <w:p w14:paraId="2029FD85" w14:textId="77777777" w:rsidR="007F1FE2" w:rsidRPr="00EA2350" w:rsidRDefault="007F1FE2" w:rsidP="00FC2E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229-904-5</w:t>
            </w:r>
          </w:p>
        </w:tc>
        <w:tc>
          <w:tcPr>
            <w:tcW w:w="5954" w:type="dxa"/>
            <w:noWrap/>
            <w:hideMark/>
          </w:tcPr>
          <w:p w14:paraId="05EF8A7F"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14H-benz[4,5]</w:t>
            </w:r>
            <w:proofErr w:type="spellStart"/>
            <w:r w:rsidRPr="00EA2350">
              <w:rPr>
                <w:rFonts w:ascii="Calibri" w:eastAsia="Times New Roman" w:hAnsi="Calibri" w:cs="Calibri"/>
                <w:color w:val="000000"/>
                <w:lang w:val="en-US"/>
              </w:rPr>
              <w:t>isoquino</w:t>
            </w:r>
            <w:proofErr w:type="spellEnd"/>
            <w:r w:rsidRPr="00EA2350">
              <w:rPr>
                <w:rFonts w:ascii="Calibri" w:eastAsia="Times New Roman" w:hAnsi="Calibri" w:cs="Calibri"/>
                <w:color w:val="000000"/>
                <w:lang w:val="en-US"/>
              </w:rPr>
              <w:t>[2,1-a]perimidin-14-one</w:t>
            </w:r>
          </w:p>
        </w:tc>
        <w:tc>
          <w:tcPr>
            <w:tcW w:w="1559" w:type="dxa"/>
            <w:noWrap/>
            <w:hideMark/>
          </w:tcPr>
          <w:p w14:paraId="51A0DFEF"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23BBBDB3" w14:textId="77777777" w:rsidR="007F1FE2" w:rsidRPr="00EA2350" w:rsidRDefault="007F1FE2" w:rsidP="00FC2E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7F1FE2" w:rsidRPr="00EA2350" w14:paraId="07A84745" w14:textId="77777777" w:rsidTr="00FC2E7F">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0618EDF5"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6925-69-5</w:t>
            </w:r>
          </w:p>
        </w:tc>
        <w:tc>
          <w:tcPr>
            <w:tcW w:w="1701" w:type="dxa"/>
            <w:noWrap/>
            <w:hideMark/>
          </w:tcPr>
          <w:p w14:paraId="056D7B64" w14:textId="77777777" w:rsidR="007F1FE2" w:rsidRPr="00EA2350" w:rsidRDefault="007F1FE2" w:rsidP="00FC2E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230-049-5</w:t>
            </w:r>
          </w:p>
        </w:tc>
        <w:tc>
          <w:tcPr>
            <w:tcW w:w="5954" w:type="dxa"/>
            <w:noWrap/>
            <w:hideMark/>
          </w:tcPr>
          <w:p w14:paraId="54236552"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12H-Phthaloperin-12-one</w:t>
            </w:r>
          </w:p>
        </w:tc>
        <w:tc>
          <w:tcPr>
            <w:tcW w:w="1559" w:type="dxa"/>
            <w:noWrap/>
            <w:hideMark/>
          </w:tcPr>
          <w:p w14:paraId="6CF2EB41"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3E380F1B" w14:textId="77777777" w:rsidR="007F1FE2" w:rsidRPr="00EA2350" w:rsidRDefault="007F1FE2" w:rsidP="00FC2E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7F1FE2" w:rsidRPr="00EA2350" w14:paraId="7EBA6C9E" w14:textId="77777777" w:rsidTr="00FC2E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5DC2C7FB"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7023-61-2</w:t>
            </w:r>
          </w:p>
        </w:tc>
        <w:tc>
          <w:tcPr>
            <w:tcW w:w="1701" w:type="dxa"/>
            <w:noWrap/>
            <w:hideMark/>
          </w:tcPr>
          <w:p w14:paraId="147EBE94" w14:textId="77777777" w:rsidR="007F1FE2" w:rsidRPr="00EA2350" w:rsidRDefault="007F1FE2" w:rsidP="00FC2E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230-303-5</w:t>
            </w:r>
          </w:p>
        </w:tc>
        <w:tc>
          <w:tcPr>
            <w:tcW w:w="5954" w:type="dxa"/>
            <w:noWrap/>
            <w:hideMark/>
          </w:tcPr>
          <w:p w14:paraId="5D61F7CD"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C.I. Pigment Red 48:2</w:t>
            </w:r>
          </w:p>
        </w:tc>
        <w:tc>
          <w:tcPr>
            <w:tcW w:w="1559" w:type="dxa"/>
            <w:noWrap/>
            <w:hideMark/>
          </w:tcPr>
          <w:p w14:paraId="126C4A9E"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10-100t</w:t>
            </w:r>
          </w:p>
        </w:tc>
        <w:tc>
          <w:tcPr>
            <w:tcW w:w="1559" w:type="dxa"/>
            <w:noWrap/>
            <w:hideMark/>
          </w:tcPr>
          <w:p w14:paraId="5F774C63" w14:textId="77777777" w:rsidR="007F1FE2" w:rsidRPr="00EA2350" w:rsidRDefault="007F1FE2" w:rsidP="00FC2E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20120</w:t>
            </w:r>
          </w:p>
        </w:tc>
      </w:tr>
      <w:tr w:rsidR="007F1FE2" w:rsidRPr="00EA2350" w14:paraId="09229305" w14:textId="77777777" w:rsidTr="00FC2E7F">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50E5F6DD"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7440-22-4</w:t>
            </w:r>
          </w:p>
        </w:tc>
        <w:tc>
          <w:tcPr>
            <w:tcW w:w="1701" w:type="dxa"/>
            <w:noWrap/>
            <w:hideMark/>
          </w:tcPr>
          <w:p w14:paraId="213C53BB" w14:textId="77777777" w:rsidR="007F1FE2" w:rsidRPr="00EA2350" w:rsidRDefault="007F1FE2" w:rsidP="00FC2E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231-131-3</w:t>
            </w:r>
          </w:p>
        </w:tc>
        <w:tc>
          <w:tcPr>
            <w:tcW w:w="5954" w:type="dxa"/>
            <w:noWrap/>
            <w:hideMark/>
          </w:tcPr>
          <w:p w14:paraId="2264DF70"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Silver</w:t>
            </w:r>
          </w:p>
        </w:tc>
        <w:tc>
          <w:tcPr>
            <w:tcW w:w="1559" w:type="dxa"/>
            <w:noWrap/>
            <w:hideMark/>
          </w:tcPr>
          <w:p w14:paraId="12DC8F80"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3279E3BD" w14:textId="77777777" w:rsidR="007F1FE2" w:rsidRPr="00EA2350" w:rsidRDefault="007F1FE2" w:rsidP="00FC2E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20590</w:t>
            </w:r>
          </w:p>
        </w:tc>
      </w:tr>
      <w:tr w:rsidR="007F1FE2" w:rsidRPr="00EA2350" w14:paraId="60B7E943" w14:textId="77777777" w:rsidTr="00FC2E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0E6ED3A0"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7576-65-0</w:t>
            </w:r>
          </w:p>
        </w:tc>
        <w:tc>
          <w:tcPr>
            <w:tcW w:w="1701" w:type="dxa"/>
            <w:noWrap/>
            <w:hideMark/>
          </w:tcPr>
          <w:p w14:paraId="4CB96C6D" w14:textId="77777777" w:rsidR="007F1FE2" w:rsidRPr="00EA2350" w:rsidRDefault="007F1FE2" w:rsidP="00FC2E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231-474-9</w:t>
            </w:r>
          </w:p>
        </w:tc>
        <w:tc>
          <w:tcPr>
            <w:tcW w:w="5954" w:type="dxa"/>
            <w:noWrap/>
            <w:hideMark/>
          </w:tcPr>
          <w:p w14:paraId="0081807F"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2-(3-hydroxy-2-quinolyl)-1H-indene-1,3(2H)-</w:t>
            </w:r>
            <w:proofErr w:type="spellStart"/>
            <w:r w:rsidRPr="00EA2350">
              <w:rPr>
                <w:rFonts w:ascii="Calibri" w:eastAsia="Times New Roman" w:hAnsi="Calibri" w:cs="Calibri"/>
                <w:color w:val="000000"/>
                <w:lang w:val="en-US"/>
              </w:rPr>
              <w:t>dione</w:t>
            </w:r>
            <w:proofErr w:type="spellEnd"/>
          </w:p>
        </w:tc>
        <w:tc>
          <w:tcPr>
            <w:tcW w:w="1559" w:type="dxa"/>
            <w:noWrap/>
            <w:hideMark/>
          </w:tcPr>
          <w:p w14:paraId="032B3506"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2B9DD317" w14:textId="77777777" w:rsidR="007F1FE2" w:rsidRPr="00EA2350" w:rsidRDefault="007F1FE2" w:rsidP="00FC2E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7F1FE2" w:rsidRPr="00EA2350" w14:paraId="40CD2312" w14:textId="77777777" w:rsidTr="00FC2E7F">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0A7CA0F9" w14:textId="77777777" w:rsidR="007F1FE2" w:rsidRPr="00EA2350" w:rsidRDefault="007F1FE2" w:rsidP="00FC2E7F">
            <w:pPr>
              <w:jc w:val="center"/>
              <w:rPr>
                <w:rFonts w:ascii="Calibri" w:eastAsia="Times New Roman" w:hAnsi="Calibri" w:cs="Calibri"/>
                <w:b/>
                <w:bCs/>
                <w:color w:val="000000"/>
                <w:sz w:val="22"/>
                <w:lang w:val="en-US"/>
              </w:rPr>
            </w:pPr>
          </w:p>
        </w:tc>
        <w:tc>
          <w:tcPr>
            <w:tcW w:w="1701" w:type="dxa"/>
            <w:noWrap/>
            <w:hideMark/>
          </w:tcPr>
          <w:p w14:paraId="6A38225B" w14:textId="77777777" w:rsidR="007F1FE2" w:rsidRPr="00EA2350" w:rsidRDefault="007F1FE2" w:rsidP="00FC2E7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068AFC37"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C.I. Pigment Red 48:1</w:t>
            </w:r>
          </w:p>
        </w:tc>
        <w:tc>
          <w:tcPr>
            <w:tcW w:w="1559" w:type="dxa"/>
            <w:noWrap/>
            <w:hideMark/>
          </w:tcPr>
          <w:p w14:paraId="1CFA86D3"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52131302"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r>
      <w:tr w:rsidR="007F1FE2" w:rsidRPr="00EA2350" w14:paraId="2F7D577A" w14:textId="77777777" w:rsidTr="00FC2E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18C7403C"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7631-86-9</w:t>
            </w:r>
          </w:p>
        </w:tc>
        <w:tc>
          <w:tcPr>
            <w:tcW w:w="1701" w:type="dxa"/>
            <w:noWrap/>
            <w:hideMark/>
          </w:tcPr>
          <w:p w14:paraId="2EF7F758" w14:textId="77777777" w:rsidR="007F1FE2" w:rsidRPr="00EA2350" w:rsidRDefault="007F1FE2" w:rsidP="00FC2E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231-545-4</w:t>
            </w:r>
          </w:p>
        </w:tc>
        <w:tc>
          <w:tcPr>
            <w:tcW w:w="5954" w:type="dxa"/>
            <w:noWrap/>
            <w:hideMark/>
          </w:tcPr>
          <w:p w14:paraId="79D8B19F"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Amorphous silica</w:t>
            </w:r>
          </w:p>
        </w:tc>
        <w:tc>
          <w:tcPr>
            <w:tcW w:w="1559" w:type="dxa"/>
            <w:noWrap/>
            <w:hideMark/>
          </w:tcPr>
          <w:p w14:paraId="09232BFB"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&gt;1000t</w:t>
            </w:r>
          </w:p>
        </w:tc>
        <w:tc>
          <w:tcPr>
            <w:tcW w:w="1559" w:type="dxa"/>
            <w:noWrap/>
            <w:hideMark/>
          </w:tcPr>
          <w:p w14:paraId="255B028B" w14:textId="77777777" w:rsidR="007F1FE2" w:rsidRPr="00EA2350" w:rsidRDefault="007F1FE2" w:rsidP="00FC2E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w:t>
            </w:r>
          </w:p>
        </w:tc>
      </w:tr>
      <w:tr w:rsidR="007F1FE2" w:rsidRPr="00EA2350" w14:paraId="434935E4" w14:textId="77777777" w:rsidTr="00FC2E7F">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7691BA02" w14:textId="77777777" w:rsidR="007F1FE2" w:rsidRPr="00EA2350" w:rsidRDefault="007F1FE2" w:rsidP="00FC2E7F">
            <w:pPr>
              <w:jc w:val="center"/>
              <w:rPr>
                <w:rFonts w:ascii="Calibri" w:eastAsia="Times New Roman" w:hAnsi="Calibri" w:cs="Calibri"/>
                <w:b/>
                <w:bCs/>
                <w:color w:val="000000"/>
                <w:sz w:val="22"/>
                <w:lang w:val="en-US"/>
              </w:rPr>
            </w:pPr>
          </w:p>
        </w:tc>
        <w:tc>
          <w:tcPr>
            <w:tcW w:w="1701" w:type="dxa"/>
            <w:noWrap/>
            <w:hideMark/>
          </w:tcPr>
          <w:p w14:paraId="4F99E4FF" w14:textId="77777777" w:rsidR="007F1FE2" w:rsidRPr="00EA2350" w:rsidRDefault="007F1FE2" w:rsidP="00FC2E7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5DF2F7A8"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Colloidal silica</w:t>
            </w:r>
          </w:p>
        </w:tc>
        <w:tc>
          <w:tcPr>
            <w:tcW w:w="1559" w:type="dxa"/>
            <w:noWrap/>
            <w:hideMark/>
          </w:tcPr>
          <w:p w14:paraId="4D13CCE2"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0BA7E6AD" w14:textId="77777777" w:rsidR="007F1FE2" w:rsidRPr="00EA2350" w:rsidRDefault="007F1FE2" w:rsidP="00FC2E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2030001</w:t>
            </w:r>
          </w:p>
        </w:tc>
      </w:tr>
      <w:tr w:rsidR="007F1FE2" w:rsidRPr="00EA2350" w14:paraId="77EACDF3" w14:textId="77777777" w:rsidTr="00FC2E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6AA54AC3" w14:textId="77777777" w:rsidR="007F1FE2" w:rsidRPr="00EA2350" w:rsidRDefault="007F1FE2" w:rsidP="00FC2E7F">
            <w:pPr>
              <w:jc w:val="center"/>
              <w:rPr>
                <w:rFonts w:ascii="Calibri" w:eastAsia="Times New Roman" w:hAnsi="Calibri" w:cs="Calibri"/>
                <w:b/>
                <w:bCs/>
                <w:color w:val="000000"/>
                <w:sz w:val="22"/>
                <w:lang w:val="en-US"/>
              </w:rPr>
            </w:pPr>
          </w:p>
        </w:tc>
        <w:tc>
          <w:tcPr>
            <w:tcW w:w="1701" w:type="dxa"/>
            <w:noWrap/>
            <w:hideMark/>
          </w:tcPr>
          <w:p w14:paraId="6231F9FF" w14:textId="77777777" w:rsidR="007F1FE2" w:rsidRPr="00EA2350" w:rsidRDefault="007F1FE2" w:rsidP="00FC2E7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32509FB4"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Fumed silica</w:t>
            </w:r>
          </w:p>
        </w:tc>
        <w:tc>
          <w:tcPr>
            <w:tcW w:w="1559" w:type="dxa"/>
            <w:noWrap/>
            <w:hideMark/>
          </w:tcPr>
          <w:p w14:paraId="5A0B7DBA"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05E33166" w14:textId="77777777" w:rsidR="007F1FE2" w:rsidRPr="00EA2350" w:rsidRDefault="007F1FE2" w:rsidP="00FC2E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20590</w:t>
            </w:r>
          </w:p>
        </w:tc>
      </w:tr>
      <w:tr w:rsidR="007F1FE2" w:rsidRPr="00EA2350" w14:paraId="1D905703" w14:textId="77777777" w:rsidTr="00FC2E7F">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05EBD074" w14:textId="77777777" w:rsidR="007F1FE2" w:rsidRPr="00EA2350" w:rsidRDefault="007F1FE2" w:rsidP="00FC2E7F">
            <w:pPr>
              <w:jc w:val="center"/>
              <w:rPr>
                <w:rFonts w:ascii="Calibri" w:eastAsia="Times New Roman" w:hAnsi="Calibri" w:cs="Calibri"/>
                <w:b/>
                <w:bCs/>
                <w:color w:val="000000"/>
                <w:sz w:val="22"/>
                <w:lang w:val="en-US"/>
              </w:rPr>
            </w:pPr>
          </w:p>
        </w:tc>
        <w:tc>
          <w:tcPr>
            <w:tcW w:w="1701" w:type="dxa"/>
            <w:noWrap/>
            <w:hideMark/>
          </w:tcPr>
          <w:p w14:paraId="42A89847" w14:textId="77777777" w:rsidR="007F1FE2" w:rsidRPr="00EA2350" w:rsidRDefault="007F1FE2" w:rsidP="00FC2E7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58E6C717"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 xml:space="preserve">Hydrophilic </w:t>
            </w:r>
            <w:proofErr w:type="spellStart"/>
            <w:r w:rsidRPr="00EA2350">
              <w:rPr>
                <w:rFonts w:ascii="Calibri" w:eastAsia="Times New Roman" w:hAnsi="Calibri" w:cs="Calibri"/>
                <w:color w:val="000000"/>
                <w:lang w:val="en-US"/>
              </w:rPr>
              <w:t>Amourphous</w:t>
            </w:r>
            <w:proofErr w:type="spellEnd"/>
            <w:r w:rsidRPr="00EA2350">
              <w:rPr>
                <w:rFonts w:ascii="Calibri" w:eastAsia="Times New Roman" w:hAnsi="Calibri" w:cs="Calibri"/>
                <w:color w:val="000000"/>
                <w:lang w:val="en-US"/>
              </w:rPr>
              <w:t xml:space="preserve"> fumed silica</w:t>
            </w:r>
          </w:p>
        </w:tc>
        <w:tc>
          <w:tcPr>
            <w:tcW w:w="1559" w:type="dxa"/>
            <w:noWrap/>
            <w:hideMark/>
          </w:tcPr>
          <w:p w14:paraId="28709B64"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03062399" w14:textId="77777777" w:rsidR="007F1FE2" w:rsidRPr="00EA2350" w:rsidRDefault="007F1FE2" w:rsidP="00FC2E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2059</w:t>
            </w:r>
          </w:p>
        </w:tc>
      </w:tr>
      <w:tr w:rsidR="007F1FE2" w:rsidRPr="00EA2350" w14:paraId="420295D4" w14:textId="77777777" w:rsidTr="00FC2E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4566CAEF" w14:textId="77777777" w:rsidR="007F1FE2" w:rsidRPr="00EA2350" w:rsidRDefault="007F1FE2" w:rsidP="00FC2E7F">
            <w:pPr>
              <w:jc w:val="center"/>
              <w:rPr>
                <w:rFonts w:ascii="Calibri" w:eastAsia="Times New Roman" w:hAnsi="Calibri" w:cs="Calibri"/>
                <w:b/>
                <w:bCs/>
                <w:color w:val="000000"/>
                <w:sz w:val="22"/>
                <w:lang w:val="en-US"/>
              </w:rPr>
            </w:pPr>
          </w:p>
        </w:tc>
        <w:tc>
          <w:tcPr>
            <w:tcW w:w="1701" w:type="dxa"/>
            <w:noWrap/>
            <w:hideMark/>
          </w:tcPr>
          <w:p w14:paraId="13841030" w14:textId="77777777" w:rsidR="007F1FE2" w:rsidRPr="00EA2350" w:rsidRDefault="007F1FE2" w:rsidP="00FC2E7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4C6DC15A"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Pure Silica</w:t>
            </w:r>
          </w:p>
        </w:tc>
        <w:tc>
          <w:tcPr>
            <w:tcW w:w="1559" w:type="dxa"/>
            <w:noWrap/>
            <w:hideMark/>
          </w:tcPr>
          <w:p w14:paraId="299F7137"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64C70473" w14:textId="77777777" w:rsidR="007F1FE2" w:rsidRPr="00EA2350" w:rsidRDefault="007F1FE2" w:rsidP="00FC2E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46120</w:t>
            </w:r>
          </w:p>
        </w:tc>
      </w:tr>
      <w:tr w:rsidR="007F1FE2" w:rsidRPr="00EA2350" w14:paraId="76A14E2C" w14:textId="77777777" w:rsidTr="00FC2E7F">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783ACEFD" w14:textId="77777777" w:rsidR="007F1FE2" w:rsidRPr="00EA2350" w:rsidRDefault="007F1FE2" w:rsidP="00FC2E7F">
            <w:pPr>
              <w:jc w:val="center"/>
              <w:rPr>
                <w:rFonts w:ascii="Calibri" w:eastAsia="Times New Roman" w:hAnsi="Calibri" w:cs="Calibri"/>
                <w:b/>
                <w:bCs/>
                <w:color w:val="000000"/>
                <w:sz w:val="22"/>
                <w:lang w:val="en-US"/>
              </w:rPr>
            </w:pPr>
          </w:p>
        </w:tc>
        <w:tc>
          <w:tcPr>
            <w:tcW w:w="1701" w:type="dxa"/>
            <w:noWrap/>
            <w:hideMark/>
          </w:tcPr>
          <w:p w14:paraId="0323AC1C" w14:textId="77777777" w:rsidR="007F1FE2" w:rsidRPr="00EA2350" w:rsidRDefault="007F1FE2" w:rsidP="00FC2E7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0A8E6CBE"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Silica</w:t>
            </w:r>
          </w:p>
        </w:tc>
        <w:tc>
          <w:tcPr>
            <w:tcW w:w="1559" w:type="dxa"/>
            <w:noWrap/>
            <w:hideMark/>
          </w:tcPr>
          <w:p w14:paraId="14EE5BD7"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17461506" w14:textId="77777777" w:rsidR="007F1FE2" w:rsidRPr="00EA2350" w:rsidRDefault="007F1FE2" w:rsidP="00FC2E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46699</w:t>
            </w:r>
          </w:p>
        </w:tc>
      </w:tr>
      <w:tr w:rsidR="007F1FE2" w:rsidRPr="00EA2350" w14:paraId="6313EDCF" w14:textId="77777777" w:rsidTr="00FC2E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2540DF04" w14:textId="77777777" w:rsidR="007F1FE2" w:rsidRPr="00EA2350" w:rsidRDefault="007F1FE2" w:rsidP="00FC2E7F">
            <w:pPr>
              <w:jc w:val="center"/>
              <w:rPr>
                <w:rFonts w:ascii="Calibri" w:eastAsia="Times New Roman" w:hAnsi="Calibri" w:cs="Calibri"/>
                <w:b/>
                <w:bCs/>
                <w:color w:val="000000"/>
                <w:sz w:val="22"/>
                <w:lang w:val="en-US"/>
              </w:rPr>
            </w:pPr>
          </w:p>
        </w:tc>
        <w:tc>
          <w:tcPr>
            <w:tcW w:w="1701" w:type="dxa"/>
            <w:noWrap/>
            <w:hideMark/>
          </w:tcPr>
          <w:p w14:paraId="44B86369" w14:textId="77777777" w:rsidR="007F1FE2" w:rsidRPr="00EA2350" w:rsidRDefault="007F1FE2" w:rsidP="00FC2E7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70CA8D81"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Silica, amorphous, fumed crystalline free</w:t>
            </w:r>
          </w:p>
        </w:tc>
        <w:tc>
          <w:tcPr>
            <w:tcW w:w="1559" w:type="dxa"/>
            <w:noWrap/>
            <w:hideMark/>
          </w:tcPr>
          <w:p w14:paraId="25A39051"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0EE4300C" w14:textId="77777777" w:rsidR="007F1FE2" w:rsidRPr="00EA2350" w:rsidRDefault="007F1FE2" w:rsidP="00FC2E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4333101</w:t>
            </w:r>
          </w:p>
        </w:tc>
      </w:tr>
      <w:tr w:rsidR="007F1FE2" w:rsidRPr="00EA2350" w14:paraId="32A10FFA" w14:textId="77777777" w:rsidTr="00FC2E7F">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0E9719E9" w14:textId="77777777" w:rsidR="007F1FE2" w:rsidRPr="00EA2350" w:rsidRDefault="007F1FE2" w:rsidP="00FC2E7F">
            <w:pPr>
              <w:jc w:val="center"/>
              <w:rPr>
                <w:rFonts w:ascii="Calibri" w:eastAsia="Times New Roman" w:hAnsi="Calibri" w:cs="Calibri"/>
                <w:b/>
                <w:bCs/>
                <w:color w:val="000000"/>
                <w:sz w:val="22"/>
                <w:lang w:val="en-US"/>
              </w:rPr>
            </w:pPr>
          </w:p>
        </w:tc>
        <w:tc>
          <w:tcPr>
            <w:tcW w:w="1701" w:type="dxa"/>
            <w:noWrap/>
            <w:hideMark/>
          </w:tcPr>
          <w:p w14:paraId="55C9AED9" w14:textId="77777777" w:rsidR="007F1FE2" w:rsidRPr="00EA2350" w:rsidRDefault="007F1FE2" w:rsidP="00FC2E7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3545A54E"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Silicon dioxide</w:t>
            </w:r>
          </w:p>
        </w:tc>
        <w:tc>
          <w:tcPr>
            <w:tcW w:w="1559" w:type="dxa"/>
            <w:noWrap/>
            <w:hideMark/>
          </w:tcPr>
          <w:p w14:paraId="4BE37F72"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719D17A5"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r>
      <w:tr w:rsidR="007F1FE2" w:rsidRPr="00EA2350" w14:paraId="5B29E403" w14:textId="77777777" w:rsidTr="00FC2E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67EEA72F" w14:textId="77777777" w:rsidR="007F1FE2" w:rsidRPr="00EA2350" w:rsidRDefault="007F1FE2" w:rsidP="00FC2E7F">
            <w:pPr>
              <w:jc w:val="center"/>
              <w:rPr>
                <w:rFonts w:ascii="Times New Roman" w:eastAsia="Times New Roman" w:hAnsi="Times New Roman" w:cs="Times New Roman"/>
                <w:b/>
                <w:bCs/>
                <w:sz w:val="22"/>
                <w:lang w:val="en-US"/>
              </w:rPr>
            </w:pPr>
          </w:p>
        </w:tc>
        <w:tc>
          <w:tcPr>
            <w:tcW w:w="1701" w:type="dxa"/>
            <w:noWrap/>
            <w:hideMark/>
          </w:tcPr>
          <w:p w14:paraId="4990AD36" w14:textId="77777777" w:rsidR="007F1FE2" w:rsidRPr="00EA2350" w:rsidRDefault="007F1FE2" w:rsidP="00FC2E7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4E51C31D"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Surface treated silica</w:t>
            </w:r>
          </w:p>
        </w:tc>
        <w:tc>
          <w:tcPr>
            <w:tcW w:w="1559" w:type="dxa"/>
            <w:noWrap/>
            <w:hideMark/>
          </w:tcPr>
          <w:p w14:paraId="31B708DA"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55DB5A73"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r>
      <w:tr w:rsidR="007F1FE2" w:rsidRPr="00EA2350" w14:paraId="59E66137" w14:textId="77777777" w:rsidTr="00FC2E7F">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711D390E" w14:textId="77777777" w:rsidR="007F1FE2" w:rsidRPr="00EA2350" w:rsidRDefault="007F1FE2" w:rsidP="00FC2E7F">
            <w:pPr>
              <w:jc w:val="center"/>
              <w:rPr>
                <w:rFonts w:ascii="Times New Roman" w:eastAsia="Times New Roman" w:hAnsi="Times New Roman" w:cs="Times New Roman"/>
                <w:b/>
                <w:bCs/>
                <w:sz w:val="22"/>
                <w:lang w:val="en-US"/>
              </w:rPr>
            </w:pPr>
          </w:p>
        </w:tc>
        <w:tc>
          <w:tcPr>
            <w:tcW w:w="1701" w:type="dxa"/>
            <w:noWrap/>
            <w:hideMark/>
          </w:tcPr>
          <w:p w14:paraId="0922B27E" w14:textId="77777777" w:rsidR="007F1FE2" w:rsidRPr="00EA2350" w:rsidRDefault="007F1FE2" w:rsidP="00FC2E7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13264E8A"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Synthetic Amorphous Silica</w:t>
            </w:r>
          </w:p>
        </w:tc>
        <w:tc>
          <w:tcPr>
            <w:tcW w:w="1559" w:type="dxa"/>
            <w:noWrap/>
            <w:hideMark/>
          </w:tcPr>
          <w:p w14:paraId="3F9FB18A"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6C6AD7D1"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r>
      <w:tr w:rsidR="007F1FE2" w:rsidRPr="00EA2350" w14:paraId="3ED8C851" w14:textId="77777777" w:rsidTr="00FC2E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762C5138"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9002-86-2</w:t>
            </w:r>
          </w:p>
        </w:tc>
        <w:tc>
          <w:tcPr>
            <w:tcW w:w="1701" w:type="dxa"/>
            <w:noWrap/>
            <w:hideMark/>
          </w:tcPr>
          <w:p w14:paraId="1D34D42C" w14:textId="77777777" w:rsidR="007F1FE2" w:rsidRPr="00EA2350" w:rsidRDefault="007F1FE2" w:rsidP="00FC2E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618-338-8</w:t>
            </w:r>
          </w:p>
        </w:tc>
        <w:tc>
          <w:tcPr>
            <w:tcW w:w="5954" w:type="dxa"/>
            <w:noWrap/>
            <w:hideMark/>
          </w:tcPr>
          <w:p w14:paraId="0EBC5528"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polyvinylchloride</w:t>
            </w:r>
          </w:p>
        </w:tc>
        <w:tc>
          <w:tcPr>
            <w:tcW w:w="1559" w:type="dxa"/>
            <w:noWrap/>
            <w:hideMark/>
          </w:tcPr>
          <w:p w14:paraId="6A1BA9B5"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1-10t</w:t>
            </w:r>
          </w:p>
        </w:tc>
        <w:tc>
          <w:tcPr>
            <w:tcW w:w="1559" w:type="dxa"/>
            <w:noWrap/>
            <w:hideMark/>
          </w:tcPr>
          <w:p w14:paraId="424A7E36" w14:textId="77777777" w:rsidR="007F1FE2" w:rsidRPr="00EA2350" w:rsidRDefault="007F1FE2" w:rsidP="00FC2E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w:t>
            </w:r>
          </w:p>
        </w:tc>
      </w:tr>
      <w:tr w:rsidR="007F1FE2" w:rsidRPr="00EA2350" w14:paraId="1D11E56D" w14:textId="77777777" w:rsidTr="00FC2E7F">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1D899814"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12062-81-6</w:t>
            </w:r>
          </w:p>
        </w:tc>
        <w:tc>
          <w:tcPr>
            <w:tcW w:w="1701" w:type="dxa"/>
            <w:noWrap/>
            <w:hideMark/>
          </w:tcPr>
          <w:p w14:paraId="429C0A23" w14:textId="77777777" w:rsidR="007F1FE2" w:rsidRPr="00EA2350" w:rsidRDefault="007F1FE2" w:rsidP="00FC2E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235-049-9</w:t>
            </w:r>
          </w:p>
        </w:tc>
        <w:tc>
          <w:tcPr>
            <w:tcW w:w="5954" w:type="dxa"/>
            <w:noWrap/>
            <w:hideMark/>
          </w:tcPr>
          <w:p w14:paraId="773DB681"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Iron manganese trioxide</w:t>
            </w:r>
          </w:p>
        </w:tc>
        <w:tc>
          <w:tcPr>
            <w:tcW w:w="1559" w:type="dxa"/>
            <w:noWrap/>
            <w:hideMark/>
          </w:tcPr>
          <w:p w14:paraId="158F723F"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1-10t</w:t>
            </w:r>
          </w:p>
        </w:tc>
        <w:tc>
          <w:tcPr>
            <w:tcW w:w="1559" w:type="dxa"/>
            <w:noWrap/>
            <w:hideMark/>
          </w:tcPr>
          <w:p w14:paraId="3B1E8645" w14:textId="77777777" w:rsidR="007F1FE2" w:rsidRPr="00EA2350" w:rsidRDefault="007F1FE2" w:rsidP="00FC2E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7F1FE2" w:rsidRPr="00EA2350" w14:paraId="0A439A58" w14:textId="77777777" w:rsidTr="00FC2E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529B50B3" w14:textId="77777777" w:rsidR="007F1FE2" w:rsidRPr="00EA2350" w:rsidRDefault="007F1FE2" w:rsidP="00FC2E7F">
            <w:pPr>
              <w:jc w:val="center"/>
              <w:rPr>
                <w:rFonts w:ascii="Calibri" w:eastAsia="Times New Roman" w:hAnsi="Calibri" w:cs="Calibri"/>
                <w:b/>
                <w:bCs/>
                <w:color w:val="000000"/>
                <w:sz w:val="22"/>
                <w:lang w:val="en-US"/>
              </w:rPr>
            </w:pPr>
          </w:p>
        </w:tc>
        <w:tc>
          <w:tcPr>
            <w:tcW w:w="1701" w:type="dxa"/>
            <w:noWrap/>
            <w:hideMark/>
          </w:tcPr>
          <w:p w14:paraId="2B73D585" w14:textId="77777777" w:rsidR="007F1FE2" w:rsidRPr="00EA2350" w:rsidRDefault="007F1FE2" w:rsidP="00FC2E7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15D317C6"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Pigment Brown 43</w:t>
            </w:r>
          </w:p>
        </w:tc>
        <w:tc>
          <w:tcPr>
            <w:tcW w:w="1559" w:type="dxa"/>
            <w:noWrap/>
            <w:hideMark/>
          </w:tcPr>
          <w:p w14:paraId="5E43D335"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6B0A6EA5" w14:textId="77777777" w:rsidR="007F1FE2" w:rsidRPr="00EA2350" w:rsidRDefault="007F1FE2" w:rsidP="00FC2E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203</w:t>
            </w:r>
          </w:p>
        </w:tc>
      </w:tr>
      <w:tr w:rsidR="007F1FE2" w:rsidRPr="00EA2350" w14:paraId="422FDEE9" w14:textId="77777777" w:rsidTr="00FC2E7F">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5E84D2BF"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12225-06-8</w:t>
            </w:r>
          </w:p>
        </w:tc>
        <w:tc>
          <w:tcPr>
            <w:tcW w:w="1701" w:type="dxa"/>
            <w:noWrap/>
            <w:hideMark/>
          </w:tcPr>
          <w:p w14:paraId="2895CCBE" w14:textId="77777777" w:rsidR="007F1FE2" w:rsidRPr="00EA2350" w:rsidRDefault="007F1FE2" w:rsidP="00FC2E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235-425-2</w:t>
            </w:r>
          </w:p>
        </w:tc>
        <w:tc>
          <w:tcPr>
            <w:tcW w:w="5954" w:type="dxa"/>
            <w:noWrap/>
            <w:hideMark/>
          </w:tcPr>
          <w:p w14:paraId="15DC6952"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C.I. Pigment Red 176</w:t>
            </w:r>
          </w:p>
        </w:tc>
        <w:tc>
          <w:tcPr>
            <w:tcW w:w="1559" w:type="dxa"/>
            <w:noWrap/>
            <w:hideMark/>
          </w:tcPr>
          <w:p w14:paraId="43C12F87"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6549257B" w14:textId="77777777" w:rsidR="007F1FE2" w:rsidRPr="00EA2350" w:rsidRDefault="007F1FE2" w:rsidP="00FC2E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20120</w:t>
            </w:r>
          </w:p>
        </w:tc>
      </w:tr>
      <w:tr w:rsidR="007F1FE2" w:rsidRPr="00EA2350" w14:paraId="7D499367" w14:textId="77777777" w:rsidTr="00FC2E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41877AD1"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12236-62-3</w:t>
            </w:r>
          </w:p>
        </w:tc>
        <w:tc>
          <w:tcPr>
            <w:tcW w:w="1701" w:type="dxa"/>
            <w:noWrap/>
            <w:hideMark/>
          </w:tcPr>
          <w:p w14:paraId="057F8C88" w14:textId="77777777" w:rsidR="007F1FE2" w:rsidRPr="00EA2350" w:rsidRDefault="007F1FE2" w:rsidP="00FC2E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235-462-4</w:t>
            </w:r>
          </w:p>
        </w:tc>
        <w:tc>
          <w:tcPr>
            <w:tcW w:w="5954" w:type="dxa"/>
            <w:noWrap/>
            <w:hideMark/>
          </w:tcPr>
          <w:p w14:paraId="093EE067"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2-[(4-chloro-2-nitrophenyl)azo]-N-(2,3-dihydro-2-oxo-1H-benzimidazol-5-yl)-3-oxobutyramide</w:t>
            </w:r>
          </w:p>
        </w:tc>
        <w:tc>
          <w:tcPr>
            <w:tcW w:w="1559" w:type="dxa"/>
            <w:noWrap/>
            <w:hideMark/>
          </w:tcPr>
          <w:p w14:paraId="4C337C3A"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6E31885F" w14:textId="77777777" w:rsidR="007F1FE2" w:rsidRPr="00EA2350" w:rsidRDefault="007F1FE2" w:rsidP="00FC2E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7F1FE2" w:rsidRPr="00EA2350" w14:paraId="1BD341CF" w14:textId="77777777" w:rsidTr="00FC2E7F">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0AA8D008"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12671-74-8</w:t>
            </w:r>
          </w:p>
        </w:tc>
        <w:tc>
          <w:tcPr>
            <w:tcW w:w="1701" w:type="dxa"/>
            <w:noWrap/>
            <w:hideMark/>
          </w:tcPr>
          <w:p w14:paraId="09416EE5" w14:textId="77777777" w:rsidR="007F1FE2" w:rsidRPr="00EA2350" w:rsidRDefault="007F1FE2" w:rsidP="00FC2E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248-702-8</w:t>
            </w:r>
          </w:p>
        </w:tc>
        <w:tc>
          <w:tcPr>
            <w:tcW w:w="5954" w:type="dxa"/>
            <w:noWrap/>
            <w:hideMark/>
          </w:tcPr>
          <w:p w14:paraId="2E47EC35"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2-octadecyl-1H-benzo[3,4]isothiochromeno[7,8,1-def]isoquinoline-1,3(2H)-dione</w:t>
            </w:r>
          </w:p>
        </w:tc>
        <w:tc>
          <w:tcPr>
            <w:tcW w:w="1559" w:type="dxa"/>
            <w:noWrap/>
            <w:hideMark/>
          </w:tcPr>
          <w:p w14:paraId="183D7CC1"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09E7C73E" w14:textId="77777777" w:rsidR="007F1FE2" w:rsidRPr="00EA2350" w:rsidRDefault="007F1FE2" w:rsidP="00FC2E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7F1FE2" w:rsidRPr="00EA2350" w14:paraId="53FD1A91" w14:textId="77777777" w:rsidTr="00FC2E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12906317"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12737-27-8</w:t>
            </w:r>
          </w:p>
        </w:tc>
        <w:tc>
          <w:tcPr>
            <w:tcW w:w="1701" w:type="dxa"/>
            <w:noWrap/>
            <w:hideMark/>
          </w:tcPr>
          <w:p w14:paraId="4836285F" w14:textId="77777777" w:rsidR="007F1FE2" w:rsidRPr="00EA2350" w:rsidRDefault="007F1FE2" w:rsidP="00FC2E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235-790-8</w:t>
            </w:r>
          </w:p>
        </w:tc>
        <w:tc>
          <w:tcPr>
            <w:tcW w:w="5954" w:type="dxa"/>
            <w:noWrap/>
            <w:hideMark/>
          </w:tcPr>
          <w:p w14:paraId="60B79522"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Chromium iron oxide</w:t>
            </w:r>
          </w:p>
        </w:tc>
        <w:tc>
          <w:tcPr>
            <w:tcW w:w="1559" w:type="dxa"/>
            <w:noWrap/>
            <w:hideMark/>
          </w:tcPr>
          <w:p w14:paraId="7DE12445"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413972FD" w14:textId="77777777" w:rsidR="007F1FE2" w:rsidRPr="00EA2350" w:rsidRDefault="007F1FE2" w:rsidP="00FC2E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7F1FE2" w:rsidRPr="00EA2350" w14:paraId="44B85874" w14:textId="77777777" w:rsidTr="00FC2E7F">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2FF11188"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13463-67-7</w:t>
            </w:r>
          </w:p>
        </w:tc>
        <w:tc>
          <w:tcPr>
            <w:tcW w:w="1701" w:type="dxa"/>
            <w:noWrap/>
            <w:hideMark/>
          </w:tcPr>
          <w:p w14:paraId="4E3A549D" w14:textId="77777777" w:rsidR="007F1FE2" w:rsidRPr="00EA2350" w:rsidRDefault="007F1FE2" w:rsidP="00FC2E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236-675-5</w:t>
            </w:r>
          </w:p>
        </w:tc>
        <w:tc>
          <w:tcPr>
            <w:tcW w:w="5954" w:type="dxa"/>
            <w:noWrap/>
            <w:hideMark/>
          </w:tcPr>
          <w:p w14:paraId="2ECCEC71"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Titanium dioxide</w:t>
            </w:r>
          </w:p>
        </w:tc>
        <w:tc>
          <w:tcPr>
            <w:tcW w:w="1559" w:type="dxa"/>
            <w:noWrap/>
            <w:hideMark/>
          </w:tcPr>
          <w:p w14:paraId="069789FD"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1-10t</w:t>
            </w:r>
          </w:p>
        </w:tc>
        <w:tc>
          <w:tcPr>
            <w:tcW w:w="1559" w:type="dxa"/>
            <w:noWrap/>
            <w:hideMark/>
          </w:tcPr>
          <w:p w14:paraId="7E9567B4" w14:textId="77777777" w:rsidR="007F1FE2" w:rsidRPr="00EA2350" w:rsidRDefault="007F1FE2" w:rsidP="00FC2E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2030</w:t>
            </w:r>
          </w:p>
        </w:tc>
      </w:tr>
      <w:tr w:rsidR="007F1FE2" w:rsidRPr="00EA2350" w14:paraId="7BCD04F8" w14:textId="77777777" w:rsidTr="00FC2E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6F2641EA" w14:textId="77777777" w:rsidR="007F1FE2" w:rsidRPr="00EA2350" w:rsidRDefault="007F1FE2" w:rsidP="00FC2E7F">
            <w:pPr>
              <w:jc w:val="center"/>
              <w:rPr>
                <w:rFonts w:ascii="Calibri" w:eastAsia="Times New Roman" w:hAnsi="Calibri" w:cs="Calibri"/>
                <w:b/>
                <w:bCs/>
                <w:color w:val="000000"/>
                <w:sz w:val="22"/>
                <w:lang w:val="en-US"/>
              </w:rPr>
            </w:pPr>
          </w:p>
        </w:tc>
        <w:tc>
          <w:tcPr>
            <w:tcW w:w="1701" w:type="dxa"/>
            <w:noWrap/>
            <w:hideMark/>
          </w:tcPr>
          <w:p w14:paraId="29BB9DCD" w14:textId="77777777" w:rsidR="007F1FE2" w:rsidRPr="00EA2350" w:rsidRDefault="007F1FE2" w:rsidP="00FC2E7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1DA19B9D"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 xml:space="preserve">Fumed metal oxide - </w:t>
            </w:r>
            <w:proofErr w:type="spellStart"/>
            <w:r w:rsidRPr="00EA2350">
              <w:rPr>
                <w:rFonts w:ascii="Calibri" w:eastAsia="Times New Roman" w:hAnsi="Calibri" w:cs="Calibri"/>
                <w:color w:val="000000"/>
                <w:lang w:val="en-US"/>
              </w:rPr>
              <w:t>Titaandioxyde</w:t>
            </w:r>
            <w:proofErr w:type="spellEnd"/>
          </w:p>
        </w:tc>
        <w:tc>
          <w:tcPr>
            <w:tcW w:w="1559" w:type="dxa"/>
            <w:noWrap/>
            <w:hideMark/>
          </w:tcPr>
          <w:p w14:paraId="5BDB9D37"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132B3641" w14:textId="77777777" w:rsidR="007F1FE2" w:rsidRPr="00EA2350" w:rsidRDefault="007F1FE2" w:rsidP="00FC2E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4675101</w:t>
            </w:r>
          </w:p>
        </w:tc>
      </w:tr>
      <w:tr w:rsidR="007F1FE2" w:rsidRPr="00EA2350" w14:paraId="55761A55" w14:textId="77777777" w:rsidTr="00FC2E7F">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0344A87E"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13515-40-7</w:t>
            </w:r>
          </w:p>
        </w:tc>
        <w:tc>
          <w:tcPr>
            <w:tcW w:w="1701" w:type="dxa"/>
            <w:noWrap/>
            <w:hideMark/>
          </w:tcPr>
          <w:p w14:paraId="7C0089C4" w14:textId="77777777" w:rsidR="007F1FE2" w:rsidRPr="00EA2350" w:rsidRDefault="007F1FE2" w:rsidP="00FC2E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236-852-7</w:t>
            </w:r>
          </w:p>
        </w:tc>
        <w:tc>
          <w:tcPr>
            <w:tcW w:w="5954" w:type="dxa"/>
            <w:noWrap/>
            <w:hideMark/>
          </w:tcPr>
          <w:p w14:paraId="3BB2138D"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C.I. Pigment Yellow 73</w:t>
            </w:r>
          </w:p>
        </w:tc>
        <w:tc>
          <w:tcPr>
            <w:tcW w:w="1559" w:type="dxa"/>
            <w:noWrap/>
            <w:hideMark/>
          </w:tcPr>
          <w:p w14:paraId="39A4CFA1"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02BE314D" w14:textId="77777777" w:rsidR="007F1FE2" w:rsidRPr="00EA2350" w:rsidRDefault="007F1FE2" w:rsidP="00FC2E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20120</w:t>
            </w:r>
          </w:p>
        </w:tc>
      </w:tr>
      <w:tr w:rsidR="007F1FE2" w:rsidRPr="00EA2350" w14:paraId="4CF12E57" w14:textId="77777777" w:rsidTr="00FC2E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2EDD1409"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14406-71-4</w:t>
            </w:r>
          </w:p>
        </w:tc>
        <w:tc>
          <w:tcPr>
            <w:tcW w:w="1701" w:type="dxa"/>
            <w:noWrap/>
            <w:hideMark/>
          </w:tcPr>
          <w:p w14:paraId="72566FFD" w14:textId="77777777" w:rsidR="007F1FE2" w:rsidRPr="00EA2350" w:rsidRDefault="007F1FE2" w:rsidP="00FC2E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400-870-5</w:t>
            </w:r>
          </w:p>
        </w:tc>
        <w:tc>
          <w:tcPr>
            <w:tcW w:w="5954" w:type="dxa"/>
            <w:noWrap/>
            <w:hideMark/>
          </w:tcPr>
          <w:p w14:paraId="79132B20"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[2,2'-[1,2-phenylenebis(nitrilomethylidyne)]-bis(phenolato)]-N,N',O,O'-nickel(II)</w:t>
            </w:r>
          </w:p>
        </w:tc>
        <w:tc>
          <w:tcPr>
            <w:tcW w:w="1559" w:type="dxa"/>
            <w:noWrap/>
            <w:hideMark/>
          </w:tcPr>
          <w:p w14:paraId="6F6A7251"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61B08BD4" w14:textId="77777777" w:rsidR="007F1FE2" w:rsidRPr="00EA2350" w:rsidRDefault="007F1FE2" w:rsidP="00FC2E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7F1FE2" w:rsidRPr="00EA2350" w14:paraId="643FE47B" w14:textId="77777777" w:rsidTr="00FC2E7F">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5B8B8FC7"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15782-05-5</w:t>
            </w:r>
          </w:p>
        </w:tc>
        <w:tc>
          <w:tcPr>
            <w:tcW w:w="1701" w:type="dxa"/>
            <w:noWrap/>
            <w:hideMark/>
          </w:tcPr>
          <w:p w14:paraId="1417ACC6" w14:textId="77777777" w:rsidR="007F1FE2" w:rsidRPr="00EA2350" w:rsidRDefault="007F1FE2" w:rsidP="00FC2E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239-879-2</w:t>
            </w:r>
          </w:p>
        </w:tc>
        <w:tc>
          <w:tcPr>
            <w:tcW w:w="5954" w:type="dxa"/>
            <w:noWrap/>
            <w:hideMark/>
          </w:tcPr>
          <w:p w14:paraId="6B4BD57C"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C.I. Pigment Red 48:3</w:t>
            </w:r>
          </w:p>
        </w:tc>
        <w:tc>
          <w:tcPr>
            <w:tcW w:w="1559" w:type="dxa"/>
            <w:noWrap/>
            <w:hideMark/>
          </w:tcPr>
          <w:p w14:paraId="5749E0AB"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10-100t</w:t>
            </w:r>
          </w:p>
        </w:tc>
        <w:tc>
          <w:tcPr>
            <w:tcW w:w="1559" w:type="dxa"/>
            <w:noWrap/>
            <w:hideMark/>
          </w:tcPr>
          <w:p w14:paraId="483CEC3E" w14:textId="77777777" w:rsidR="007F1FE2" w:rsidRPr="00EA2350" w:rsidRDefault="007F1FE2" w:rsidP="00FC2E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20120</w:t>
            </w:r>
          </w:p>
        </w:tc>
      </w:tr>
      <w:tr w:rsidR="007F1FE2" w:rsidRPr="00EA2350" w14:paraId="3892C642" w14:textId="77777777" w:rsidTr="00FC2E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022D3A59"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15782-05-5</w:t>
            </w:r>
          </w:p>
        </w:tc>
        <w:tc>
          <w:tcPr>
            <w:tcW w:w="1701" w:type="dxa"/>
            <w:noWrap/>
            <w:hideMark/>
          </w:tcPr>
          <w:p w14:paraId="1C241EE2" w14:textId="77777777" w:rsidR="007F1FE2" w:rsidRPr="00EA2350" w:rsidRDefault="007F1FE2" w:rsidP="00FC2E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239-879-2</w:t>
            </w:r>
          </w:p>
        </w:tc>
        <w:tc>
          <w:tcPr>
            <w:tcW w:w="5954" w:type="dxa"/>
            <w:noWrap/>
            <w:hideMark/>
          </w:tcPr>
          <w:p w14:paraId="30C18093"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Pigment Red 48:3</w:t>
            </w:r>
          </w:p>
        </w:tc>
        <w:tc>
          <w:tcPr>
            <w:tcW w:w="1559" w:type="dxa"/>
            <w:noWrap/>
            <w:hideMark/>
          </w:tcPr>
          <w:p w14:paraId="0A6E41ED"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10-100t</w:t>
            </w:r>
          </w:p>
        </w:tc>
        <w:tc>
          <w:tcPr>
            <w:tcW w:w="1559" w:type="dxa"/>
            <w:noWrap/>
            <w:hideMark/>
          </w:tcPr>
          <w:p w14:paraId="42E3CF41" w14:textId="77777777" w:rsidR="007F1FE2" w:rsidRPr="00EA2350" w:rsidRDefault="007F1FE2" w:rsidP="00FC2E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20590</w:t>
            </w:r>
          </w:p>
        </w:tc>
      </w:tr>
      <w:tr w:rsidR="007F1FE2" w:rsidRPr="00EA2350" w14:paraId="2BAD5521" w14:textId="77777777" w:rsidTr="00FC2E7F">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71CC9D0D"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15793-73-4</w:t>
            </w:r>
          </w:p>
        </w:tc>
        <w:tc>
          <w:tcPr>
            <w:tcW w:w="1701" w:type="dxa"/>
            <w:noWrap/>
            <w:hideMark/>
          </w:tcPr>
          <w:p w14:paraId="51B1FC13" w14:textId="77777777" w:rsidR="007F1FE2" w:rsidRPr="00EA2350" w:rsidRDefault="007F1FE2" w:rsidP="00FC2E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239-898-6</w:t>
            </w:r>
          </w:p>
        </w:tc>
        <w:tc>
          <w:tcPr>
            <w:tcW w:w="5954" w:type="dxa"/>
            <w:noWrap/>
            <w:hideMark/>
          </w:tcPr>
          <w:p w14:paraId="34204496"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4,4'-[(3,3'-dichloro[1,1'-biphenyl]-4,4'-diyl)bis(azo)]bis[2,4-dihydro-5-methyl-2-(p-tolyl)-3H-pyrazol-3-one]</w:t>
            </w:r>
          </w:p>
        </w:tc>
        <w:tc>
          <w:tcPr>
            <w:tcW w:w="1559" w:type="dxa"/>
            <w:noWrap/>
            <w:hideMark/>
          </w:tcPr>
          <w:p w14:paraId="54F4069B"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10-100t</w:t>
            </w:r>
          </w:p>
        </w:tc>
        <w:tc>
          <w:tcPr>
            <w:tcW w:w="1559" w:type="dxa"/>
            <w:noWrap/>
            <w:hideMark/>
          </w:tcPr>
          <w:p w14:paraId="30AE5987" w14:textId="77777777" w:rsidR="007F1FE2" w:rsidRPr="00EA2350" w:rsidRDefault="007F1FE2" w:rsidP="00FC2E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7F1FE2" w:rsidRPr="00EA2350" w14:paraId="42C5D446" w14:textId="77777777" w:rsidTr="00FC2E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33A79899" w14:textId="77777777" w:rsidR="007F1FE2" w:rsidRPr="00EA2350" w:rsidRDefault="007F1FE2" w:rsidP="00FC2E7F">
            <w:pPr>
              <w:jc w:val="center"/>
              <w:rPr>
                <w:rFonts w:ascii="Calibri" w:eastAsia="Times New Roman" w:hAnsi="Calibri" w:cs="Calibri"/>
                <w:b/>
                <w:bCs/>
                <w:color w:val="000000"/>
                <w:sz w:val="22"/>
                <w:lang w:val="en-US"/>
              </w:rPr>
            </w:pPr>
          </w:p>
        </w:tc>
        <w:tc>
          <w:tcPr>
            <w:tcW w:w="1701" w:type="dxa"/>
            <w:noWrap/>
            <w:hideMark/>
          </w:tcPr>
          <w:p w14:paraId="3F95F59B" w14:textId="77777777" w:rsidR="007F1FE2" w:rsidRPr="00EA2350" w:rsidRDefault="007F1FE2" w:rsidP="00FC2E7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76FC14D8"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C.I. Pigment Orange 34</w:t>
            </w:r>
          </w:p>
        </w:tc>
        <w:tc>
          <w:tcPr>
            <w:tcW w:w="1559" w:type="dxa"/>
            <w:noWrap/>
            <w:hideMark/>
          </w:tcPr>
          <w:p w14:paraId="3FB8A4FF"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299E8E4C" w14:textId="77777777" w:rsidR="007F1FE2" w:rsidRPr="00EA2350" w:rsidRDefault="007F1FE2" w:rsidP="00FC2E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20120</w:t>
            </w:r>
          </w:p>
        </w:tc>
      </w:tr>
      <w:tr w:rsidR="007F1FE2" w:rsidRPr="00EA2350" w14:paraId="35956BCA" w14:textId="77777777" w:rsidTr="00FC2E7F">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3A6D5307"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15993-42-7</w:t>
            </w:r>
          </w:p>
        </w:tc>
        <w:tc>
          <w:tcPr>
            <w:tcW w:w="1701" w:type="dxa"/>
            <w:noWrap/>
            <w:hideMark/>
          </w:tcPr>
          <w:p w14:paraId="0F1705F8" w14:textId="77777777" w:rsidR="007F1FE2" w:rsidRPr="00EA2350" w:rsidRDefault="007F1FE2" w:rsidP="00FC2E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240-131-2</w:t>
            </w:r>
          </w:p>
        </w:tc>
        <w:tc>
          <w:tcPr>
            <w:tcW w:w="5954" w:type="dxa"/>
            <w:noWrap/>
            <w:hideMark/>
          </w:tcPr>
          <w:p w14:paraId="014CA715"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C.I. Pigment Yellow 111</w:t>
            </w:r>
          </w:p>
        </w:tc>
        <w:tc>
          <w:tcPr>
            <w:tcW w:w="1559" w:type="dxa"/>
            <w:noWrap/>
            <w:hideMark/>
          </w:tcPr>
          <w:p w14:paraId="74B275A4"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7D580A70" w14:textId="77777777" w:rsidR="007F1FE2" w:rsidRPr="00EA2350" w:rsidRDefault="007F1FE2" w:rsidP="00FC2E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20120</w:t>
            </w:r>
          </w:p>
        </w:tc>
      </w:tr>
      <w:tr w:rsidR="007F1FE2" w:rsidRPr="00EA2350" w14:paraId="1416FD59" w14:textId="77777777" w:rsidTr="00FC2E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4054FD06"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16294-75-0</w:t>
            </w:r>
          </w:p>
        </w:tc>
        <w:tc>
          <w:tcPr>
            <w:tcW w:w="1701" w:type="dxa"/>
            <w:noWrap/>
            <w:hideMark/>
          </w:tcPr>
          <w:p w14:paraId="177BA473" w14:textId="77777777" w:rsidR="007F1FE2" w:rsidRPr="00EA2350" w:rsidRDefault="007F1FE2" w:rsidP="00FC2E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240-385-4</w:t>
            </w:r>
          </w:p>
        </w:tc>
        <w:tc>
          <w:tcPr>
            <w:tcW w:w="5954" w:type="dxa"/>
            <w:noWrap/>
            <w:hideMark/>
          </w:tcPr>
          <w:p w14:paraId="7D609E60"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14H-Anthra(2,1,9-mna)thioxanthen-14-one</w:t>
            </w:r>
          </w:p>
        </w:tc>
        <w:tc>
          <w:tcPr>
            <w:tcW w:w="1559" w:type="dxa"/>
            <w:noWrap/>
            <w:hideMark/>
          </w:tcPr>
          <w:p w14:paraId="7EA8B777"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29935455" w14:textId="77777777" w:rsidR="007F1FE2" w:rsidRPr="00EA2350" w:rsidRDefault="007F1FE2" w:rsidP="00FC2E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7F1FE2" w:rsidRPr="00EA2350" w14:paraId="719BE7AA" w14:textId="77777777" w:rsidTr="00FC2E7F">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51020936"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17354-14-2</w:t>
            </w:r>
          </w:p>
        </w:tc>
        <w:tc>
          <w:tcPr>
            <w:tcW w:w="1701" w:type="dxa"/>
            <w:noWrap/>
            <w:hideMark/>
          </w:tcPr>
          <w:p w14:paraId="56283A34" w14:textId="77777777" w:rsidR="007F1FE2" w:rsidRPr="00EA2350" w:rsidRDefault="007F1FE2" w:rsidP="00FC2E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241-379-4</w:t>
            </w:r>
          </w:p>
        </w:tc>
        <w:tc>
          <w:tcPr>
            <w:tcW w:w="5954" w:type="dxa"/>
            <w:noWrap/>
            <w:hideMark/>
          </w:tcPr>
          <w:p w14:paraId="604DB1B5"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1,4-bis(</w:t>
            </w:r>
            <w:proofErr w:type="spellStart"/>
            <w:r w:rsidRPr="00EA2350">
              <w:rPr>
                <w:rFonts w:ascii="Calibri" w:eastAsia="Times New Roman" w:hAnsi="Calibri" w:cs="Calibri"/>
                <w:color w:val="000000"/>
                <w:lang w:val="en-US"/>
              </w:rPr>
              <w:t>butylamino</w:t>
            </w:r>
            <w:proofErr w:type="spellEnd"/>
            <w:r w:rsidRPr="00EA2350">
              <w:rPr>
                <w:rFonts w:ascii="Calibri" w:eastAsia="Times New Roman" w:hAnsi="Calibri" w:cs="Calibri"/>
                <w:color w:val="000000"/>
                <w:lang w:val="en-US"/>
              </w:rPr>
              <w:t>)anthracene-9,10-dione</w:t>
            </w:r>
          </w:p>
        </w:tc>
        <w:tc>
          <w:tcPr>
            <w:tcW w:w="1559" w:type="dxa"/>
            <w:noWrap/>
            <w:hideMark/>
          </w:tcPr>
          <w:p w14:paraId="1FA75E46"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72D85E05" w14:textId="77777777" w:rsidR="007F1FE2" w:rsidRPr="00EA2350" w:rsidRDefault="007F1FE2" w:rsidP="00FC2E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7F1FE2" w:rsidRPr="00EA2350" w14:paraId="4E592C68" w14:textId="77777777" w:rsidTr="00FC2E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05135CB9"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20749-68-2</w:t>
            </w:r>
          </w:p>
        </w:tc>
        <w:tc>
          <w:tcPr>
            <w:tcW w:w="1701" w:type="dxa"/>
            <w:noWrap/>
            <w:hideMark/>
          </w:tcPr>
          <w:p w14:paraId="52D8D157" w14:textId="77777777" w:rsidR="007F1FE2" w:rsidRPr="00EA2350" w:rsidRDefault="007F1FE2" w:rsidP="00FC2E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244-007-9</w:t>
            </w:r>
          </w:p>
        </w:tc>
        <w:tc>
          <w:tcPr>
            <w:tcW w:w="5954" w:type="dxa"/>
            <w:noWrap/>
            <w:hideMark/>
          </w:tcPr>
          <w:p w14:paraId="62E3CFEB"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 xml:space="preserve">8,9,10,11-tetrachloro-12H-phthaloperin-12-one </w:t>
            </w:r>
          </w:p>
        </w:tc>
        <w:tc>
          <w:tcPr>
            <w:tcW w:w="1559" w:type="dxa"/>
            <w:noWrap/>
            <w:hideMark/>
          </w:tcPr>
          <w:p w14:paraId="58AC57FD"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66B87B25" w14:textId="77777777" w:rsidR="007F1FE2" w:rsidRPr="00EA2350" w:rsidRDefault="007F1FE2" w:rsidP="00FC2E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7F1FE2" w:rsidRPr="00EA2350" w14:paraId="6C823502" w14:textId="77777777" w:rsidTr="00FC2E7F">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4E09762F"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21645-51-2</w:t>
            </w:r>
          </w:p>
        </w:tc>
        <w:tc>
          <w:tcPr>
            <w:tcW w:w="1701" w:type="dxa"/>
            <w:noWrap/>
            <w:hideMark/>
          </w:tcPr>
          <w:p w14:paraId="5C07D232" w14:textId="77777777" w:rsidR="007F1FE2" w:rsidRPr="00EA2350" w:rsidRDefault="007F1FE2" w:rsidP="00FC2E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244-492-7</w:t>
            </w:r>
          </w:p>
        </w:tc>
        <w:tc>
          <w:tcPr>
            <w:tcW w:w="5954" w:type="dxa"/>
            <w:noWrap/>
            <w:hideMark/>
          </w:tcPr>
          <w:p w14:paraId="3317C24C"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proofErr w:type="spellStart"/>
            <w:r w:rsidRPr="00EA2350">
              <w:rPr>
                <w:rFonts w:ascii="Calibri" w:eastAsia="Times New Roman" w:hAnsi="Calibri" w:cs="Calibri"/>
                <w:color w:val="000000"/>
                <w:lang w:val="en-US"/>
              </w:rPr>
              <w:t>aluminiumhydroxide</w:t>
            </w:r>
            <w:proofErr w:type="spellEnd"/>
          </w:p>
        </w:tc>
        <w:tc>
          <w:tcPr>
            <w:tcW w:w="1559" w:type="dxa"/>
            <w:noWrap/>
            <w:hideMark/>
          </w:tcPr>
          <w:p w14:paraId="3185BA4C"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10-100t</w:t>
            </w:r>
          </w:p>
        </w:tc>
        <w:tc>
          <w:tcPr>
            <w:tcW w:w="1559" w:type="dxa"/>
            <w:noWrap/>
            <w:hideMark/>
          </w:tcPr>
          <w:p w14:paraId="7248C388" w14:textId="77777777" w:rsidR="007F1FE2" w:rsidRPr="00EA2350" w:rsidRDefault="007F1FE2" w:rsidP="00FC2E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20590</w:t>
            </w:r>
          </w:p>
        </w:tc>
      </w:tr>
      <w:tr w:rsidR="007F1FE2" w:rsidRPr="00EA2350" w14:paraId="06BB4237" w14:textId="77777777" w:rsidTr="00FC2E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5A3890A0"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22094-93-5</w:t>
            </w:r>
          </w:p>
        </w:tc>
        <w:tc>
          <w:tcPr>
            <w:tcW w:w="1701" w:type="dxa"/>
            <w:noWrap/>
            <w:hideMark/>
          </w:tcPr>
          <w:p w14:paraId="4711308D" w14:textId="77777777" w:rsidR="007F1FE2" w:rsidRPr="00EA2350" w:rsidRDefault="007F1FE2" w:rsidP="00FC2E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244-776-0</w:t>
            </w:r>
          </w:p>
        </w:tc>
        <w:tc>
          <w:tcPr>
            <w:tcW w:w="5954" w:type="dxa"/>
            <w:noWrap/>
            <w:hideMark/>
          </w:tcPr>
          <w:p w14:paraId="798076AC"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C.I. Pigment Yellow 81</w:t>
            </w:r>
          </w:p>
        </w:tc>
        <w:tc>
          <w:tcPr>
            <w:tcW w:w="1559" w:type="dxa"/>
            <w:noWrap/>
            <w:hideMark/>
          </w:tcPr>
          <w:p w14:paraId="5055A270"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00458991" w14:textId="77777777" w:rsidR="007F1FE2" w:rsidRPr="00EA2350" w:rsidRDefault="007F1FE2" w:rsidP="00FC2E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20120</w:t>
            </w:r>
          </w:p>
        </w:tc>
      </w:tr>
      <w:tr w:rsidR="007F1FE2" w:rsidRPr="00EA2350" w14:paraId="5EC96406" w14:textId="77777777" w:rsidTr="00FC2E7F">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58E7F6D8"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23552-74-1</w:t>
            </w:r>
          </w:p>
        </w:tc>
        <w:tc>
          <w:tcPr>
            <w:tcW w:w="1701" w:type="dxa"/>
            <w:noWrap/>
            <w:hideMark/>
          </w:tcPr>
          <w:p w14:paraId="55F5B3E5" w14:textId="77777777" w:rsidR="007F1FE2" w:rsidRPr="00EA2350" w:rsidRDefault="007F1FE2" w:rsidP="00FC2E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245-728-1</w:t>
            </w:r>
          </w:p>
        </w:tc>
        <w:tc>
          <w:tcPr>
            <w:tcW w:w="5954" w:type="dxa"/>
            <w:noWrap/>
            <w:hideMark/>
          </w:tcPr>
          <w:p w14:paraId="4E033746"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3,3'-[(9,10-dihydro-9,10-dioxo-1,4-anthrylene)diimino]bis[N-cyclohexyl-2,4,6-trimethylbenzenesulphonamide]</w:t>
            </w:r>
          </w:p>
        </w:tc>
        <w:tc>
          <w:tcPr>
            <w:tcW w:w="1559" w:type="dxa"/>
            <w:noWrap/>
            <w:hideMark/>
          </w:tcPr>
          <w:p w14:paraId="6C6C6586"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1-10t</w:t>
            </w:r>
          </w:p>
        </w:tc>
        <w:tc>
          <w:tcPr>
            <w:tcW w:w="1559" w:type="dxa"/>
            <w:noWrap/>
            <w:hideMark/>
          </w:tcPr>
          <w:p w14:paraId="157FB181" w14:textId="77777777" w:rsidR="007F1FE2" w:rsidRPr="00EA2350" w:rsidRDefault="007F1FE2" w:rsidP="00FC2E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7F1FE2" w:rsidRPr="00EA2350" w14:paraId="6C357C37" w14:textId="77777777" w:rsidTr="00FC2E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6F0F22ED"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27870-92-4</w:t>
            </w:r>
          </w:p>
        </w:tc>
        <w:tc>
          <w:tcPr>
            <w:tcW w:w="1701" w:type="dxa"/>
            <w:noWrap/>
            <w:hideMark/>
          </w:tcPr>
          <w:p w14:paraId="32BBDBC1" w14:textId="77777777" w:rsidR="007F1FE2" w:rsidRPr="00EA2350" w:rsidRDefault="007F1FE2" w:rsidP="00FC2E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248-702-8</w:t>
            </w:r>
          </w:p>
        </w:tc>
        <w:tc>
          <w:tcPr>
            <w:tcW w:w="5954" w:type="dxa"/>
            <w:noWrap/>
            <w:hideMark/>
          </w:tcPr>
          <w:p w14:paraId="6BEA461D"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Solvent Yellow 98</w:t>
            </w:r>
          </w:p>
        </w:tc>
        <w:tc>
          <w:tcPr>
            <w:tcW w:w="1559" w:type="dxa"/>
            <w:noWrap/>
            <w:hideMark/>
          </w:tcPr>
          <w:p w14:paraId="1590BFEC"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6D1F7E19" w14:textId="77777777" w:rsidR="007F1FE2" w:rsidRPr="00EA2350" w:rsidRDefault="007F1FE2" w:rsidP="00FC2E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7F1FE2" w:rsidRPr="00EA2350" w14:paraId="0EE3E6DF" w14:textId="77777777" w:rsidTr="00FC2E7F">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5AEB42FD"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30125-47-4</w:t>
            </w:r>
          </w:p>
        </w:tc>
        <w:tc>
          <w:tcPr>
            <w:tcW w:w="1701" w:type="dxa"/>
            <w:noWrap/>
            <w:hideMark/>
          </w:tcPr>
          <w:p w14:paraId="0E75CB3D" w14:textId="77777777" w:rsidR="007F1FE2" w:rsidRPr="00EA2350" w:rsidRDefault="007F1FE2" w:rsidP="00FC2E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250-063-5</w:t>
            </w:r>
          </w:p>
        </w:tc>
        <w:tc>
          <w:tcPr>
            <w:tcW w:w="5954" w:type="dxa"/>
            <w:noWrap/>
            <w:hideMark/>
          </w:tcPr>
          <w:p w14:paraId="5802A924"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3,4,5,6-tetrachloro-N-[2-(4,5,6,7-tetrachloro-2,3-dihydro-1,3-dioxo-1H-inden-2-yl)-8-quinolyl]phthalimide</w:t>
            </w:r>
          </w:p>
        </w:tc>
        <w:tc>
          <w:tcPr>
            <w:tcW w:w="1559" w:type="dxa"/>
            <w:noWrap/>
            <w:hideMark/>
          </w:tcPr>
          <w:p w14:paraId="791FBCF1"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0,1 - 1t</w:t>
            </w:r>
          </w:p>
        </w:tc>
        <w:tc>
          <w:tcPr>
            <w:tcW w:w="1559" w:type="dxa"/>
            <w:noWrap/>
            <w:hideMark/>
          </w:tcPr>
          <w:p w14:paraId="51A054D9" w14:textId="77777777" w:rsidR="007F1FE2" w:rsidRPr="00EA2350" w:rsidRDefault="007F1FE2" w:rsidP="00FC2E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20120</w:t>
            </w:r>
          </w:p>
        </w:tc>
      </w:tr>
      <w:tr w:rsidR="007F1FE2" w:rsidRPr="00EA2350" w14:paraId="0825F3B2" w14:textId="77777777" w:rsidTr="00FC2E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581CAAEA" w14:textId="77777777" w:rsidR="007F1FE2" w:rsidRPr="00EA2350" w:rsidRDefault="007F1FE2" w:rsidP="00FC2E7F">
            <w:pPr>
              <w:jc w:val="center"/>
              <w:rPr>
                <w:rFonts w:ascii="Calibri" w:eastAsia="Times New Roman" w:hAnsi="Calibri" w:cs="Calibri"/>
                <w:b/>
                <w:bCs/>
                <w:color w:val="000000"/>
                <w:sz w:val="22"/>
                <w:lang w:val="en-US"/>
              </w:rPr>
            </w:pPr>
          </w:p>
        </w:tc>
        <w:tc>
          <w:tcPr>
            <w:tcW w:w="1701" w:type="dxa"/>
            <w:noWrap/>
            <w:hideMark/>
          </w:tcPr>
          <w:p w14:paraId="5ED5ABCC" w14:textId="77777777" w:rsidR="007F1FE2" w:rsidRPr="00EA2350" w:rsidRDefault="007F1FE2" w:rsidP="00FC2E7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462C9450"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C.I. Pigment Yellow 138</w:t>
            </w:r>
          </w:p>
        </w:tc>
        <w:tc>
          <w:tcPr>
            <w:tcW w:w="1559" w:type="dxa"/>
            <w:noWrap/>
            <w:hideMark/>
          </w:tcPr>
          <w:p w14:paraId="3742ADC9"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1411C101"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r>
      <w:tr w:rsidR="007F1FE2" w:rsidRPr="00EA2350" w14:paraId="30624CC1" w14:textId="77777777" w:rsidTr="00FC2E7F">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3302AD36"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31837-42-0</w:t>
            </w:r>
          </w:p>
        </w:tc>
        <w:tc>
          <w:tcPr>
            <w:tcW w:w="1701" w:type="dxa"/>
            <w:noWrap/>
            <w:hideMark/>
          </w:tcPr>
          <w:p w14:paraId="08BBB747" w14:textId="77777777" w:rsidR="007F1FE2" w:rsidRPr="00EA2350" w:rsidRDefault="007F1FE2" w:rsidP="00FC2E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250-830-4</w:t>
            </w:r>
          </w:p>
        </w:tc>
        <w:tc>
          <w:tcPr>
            <w:tcW w:w="5954" w:type="dxa"/>
            <w:noWrap/>
            <w:hideMark/>
          </w:tcPr>
          <w:p w14:paraId="2472DD49"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2-[[1-[[(2,3-dihydro-2-oxo-1H-benzimidazol-5-yl)amino]carbonyl]-2-oxopropyl]azo]benzoic acid</w:t>
            </w:r>
          </w:p>
        </w:tc>
        <w:tc>
          <w:tcPr>
            <w:tcW w:w="1559" w:type="dxa"/>
            <w:noWrap/>
            <w:hideMark/>
          </w:tcPr>
          <w:p w14:paraId="659FFFBA"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1-10t</w:t>
            </w:r>
          </w:p>
        </w:tc>
        <w:tc>
          <w:tcPr>
            <w:tcW w:w="1559" w:type="dxa"/>
            <w:noWrap/>
            <w:hideMark/>
          </w:tcPr>
          <w:p w14:paraId="462263FA" w14:textId="77777777" w:rsidR="007F1FE2" w:rsidRPr="00EA2350" w:rsidRDefault="007F1FE2" w:rsidP="00FC2E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7F1FE2" w:rsidRPr="00EA2350" w14:paraId="57F8421F" w14:textId="77777777" w:rsidTr="00FC2E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46276746"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35869-64-8</w:t>
            </w:r>
          </w:p>
        </w:tc>
        <w:tc>
          <w:tcPr>
            <w:tcW w:w="1701" w:type="dxa"/>
            <w:noWrap/>
            <w:hideMark/>
          </w:tcPr>
          <w:p w14:paraId="70B1B621" w14:textId="77777777" w:rsidR="007F1FE2" w:rsidRPr="00EA2350" w:rsidRDefault="007F1FE2" w:rsidP="00FC2E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252-772-5</w:t>
            </w:r>
          </w:p>
        </w:tc>
        <w:tc>
          <w:tcPr>
            <w:tcW w:w="5954" w:type="dxa"/>
            <w:noWrap/>
            <w:hideMark/>
          </w:tcPr>
          <w:p w14:paraId="6CA4F7B0"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Pigment Brown 23</w:t>
            </w:r>
          </w:p>
        </w:tc>
        <w:tc>
          <w:tcPr>
            <w:tcW w:w="1559" w:type="dxa"/>
            <w:noWrap/>
            <w:hideMark/>
          </w:tcPr>
          <w:p w14:paraId="0FBF03C4"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0,1 - 1t</w:t>
            </w:r>
          </w:p>
        </w:tc>
        <w:tc>
          <w:tcPr>
            <w:tcW w:w="1559" w:type="dxa"/>
            <w:noWrap/>
            <w:hideMark/>
          </w:tcPr>
          <w:p w14:paraId="2E002E2D" w14:textId="77777777" w:rsidR="007F1FE2" w:rsidRPr="00EA2350" w:rsidRDefault="007F1FE2" w:rsidP="00FC2E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203</w:t>
            </w:r>
          </w:p>
        </w:tc>
      </w:tr>
      <w:tr w:rsidR="007F1FE2" w:rsidRPr="00EA2350" w14:paraId="797CD210" w14:textId="77777777" w:rsidTr="00FC2E7F">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6A0D8DEE"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36888-99-0</w:t>
            </w:r>
          </w:p>
        </w:tc>
        <w:tc>
          <w:tcPr>
            <w:tcW w:w="1701" w:type="dxa"/>
            <w:noWrap/>
            <w:hideMark/>
          </w:tcPr>
          <w:p w14:paraId="250AC82B" w14:textId="77777777" w:rsidR="007F1FE2" w:rsidRPr="00EA2350" w:rsidRDefault="007F1FE2" w:rsidP="00FC2E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253-256-2</w:t>
            </w:r>
          </w:p>
        </w:tc>
        <w:tc>
          <w:tcPr>
            <w:tcW w:w="5954" w:type="dxa"/>
            <w:noWrap/>
            <w:hideMark/>
          </w:tcPr>
          <w:p w14:paraId="29ADD1E5"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5,5'-(1H-isoindole-1,3(2H)-diylidene)</w:t>
            </w:r>
            <w:proofErr w:type="spellStart"/>
            <w:r w:rsidRPr="00EA2350">
              <w:rPr>
                <w:rFonts w:ascii="Calibri" w:eastAsia="Times New Roman" w:hAnsi="Calibri" w:cs="Calibri"/>
                <w:color w:val="000000"/>
                <w:lang w:val="en-US"/>
              </w:rPr>
              <w:t>dibarbituric</w:t>
            </w:r>
            <w:proofErr w:type="spellEnd"/>
            <w:r w:rsidRPr="00EA2350">
              <w:rPr>
                <w:rFonts w:ascii="Calibri" w:eastAsia="Times New Roman" w:hAnsi="Calibri" w:cs="Calibri"/>
                <w:color w:val="000000"/>
                <w:lang w:val="en-US"/>
              </w:rPr>
              <w:t xml:space="preserve"> acid</w:t>
            </w:r>
          </w:p>
        </w:tc>
        <w:tc>
          <w:tcPr>
            <w:tcW w:w="1559" w:type="dxa"/>
            <w:noWrap/>
            <w:hideMark/>
          </w:tcPr>
          <w:p w14:paraId="0C5A017B"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73F78381" w14:textId="77777777" w:rsidR="007F1FE2" w:rsidRPr="00EA2350" w:rsidRDefault="007F1FE2" w:rsidP="00FC2E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7F1FE2" w:rsidRPr="00EA2350" w14:paraId="47B61B76" w14:textId="77777777" w:rsidTr="00FC2E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4493A6B9"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40618-31-3</w:t>
            </w:r>
          </w:p>
        </w:tc>
        <w:tc>
          <w:tcPr>
            <w:tcW w:w="1701" w:type="dxa"/>
            <w:noWrap/>
            <w:hideMark/>
          </w:tcPr>
          <w:p w14:paraId="6F6FEB3C" w14:textId="77777777" w:rsidR="007F1FE2" w:rsidRPr="00EA2350" w:rsidRDefault="007F1FE2" w:rsidP="00FC2E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255-005-2</w:t>
            </w:r>
          </w:p>
        </w:tc>
        <w:tc>
          <w:tcPr>
            <w:tcW w:w="5954" w:type="dxa"/>
            <w:noWrap/>
            <w:hideMark/>
          </w:tcPr>
          <w:p w14:paraId="33A04972"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N,N'-(2,5-Dichloro-1,4-phenylene)bis(4-((2,5-dichlorophenyl)azo)-3-hydroxynaphthalene-2-carboxamide)</w:t>
            </w:r>
          </w:p>
        </w:tc>
        <w:tc>
          <w:tcPr>
            <w:tcW w:w="1559" w:type="dxa"/>
            <w:noWrap/>
            <w:hideMark/>
          </w:tcPr>
          <w:p w14:paraId="272E5C94"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0,1 - 1t</w:t>
            </w:r>
          </w:p>
        </w:tc>
        <w:tc>
          <w:tcPr>
            <w:tcW w:w="1559" w:type="dxa"/>
            <w:noWrap/>
            <w:hideMark/>
          </w:tcPr>
          <w:p w14:paraId="38A25C27" w14:textId="77777777" w:rsidR="007F1FE2" w:rsidRPr="00EA2350" w:rsidRDefault="007F1FE2" w:rsidP="00FC2E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7F1FE2" w:rsidRPr="00EA2350" w14:paraId="7B461130" w14:textId="77777777" w:rsidTr="00FC2E7F">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304848CC" w14:textId="77777777" w:rsidR="007F1FE2" w:rsidRPr="00EA2350" w:rsidRDefault="007F1FE2" w:rsidP="00FC2E7F">
            <w:pPr>
              <w:jc w:val="center"/>
              <w:rPr>
                <w:rFonts w:ascii="Calibri" w:eastAsia="Times New Roman" w:hAnsi="Calibri" w:cs="Calibri"/>
                <w:b/>
                <w:bCs/>
                <w:color w:val="000000"/>
                <w:sz w:val="22"/>
                <w:lang w:val="en-US"/>
              </w:rPr>
            </w:pPr>
          </w:p>
        </w:tc>
        <w:tc>
          <w:tcPr>
            <w:tcW w:w="1701" w:type="dxa"/>
            <w:noWrap/>
            <w:hideMark/>
          </w:tcPr>
          <w:p w14:paraId="601D8629" w14:textId="77777777" w:rsidR="007F1FE2" w:rsidRPr="00EA2350" w:rsidRDefault="007F1FE2" w:rsidP="00FC2E7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67B0BABE"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Pigment Red 214</w:t>
            </w:r>
          </w:p>
        </w:tc>
        <w:tc>
          <w:tcPr>
            <w:tcW w:w="1559" w:type="dxa"/>
            <w:noWrap/>
            <w:hideMark/>
          </w:tcPr>
          <w:p w14:paraId="01F901CA"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48C65209"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r>
      <w:tr w:rsidR="007F1FE2" w:rsidRPr="00EA2350" w14:paraId="15D7BD06" w14:textId="77777777" w:rsidTr="00FC2E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4A0E6130"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41741-86-0</w:t>
            </w:r>
          </w:p>
        </w:tc>
        <w:tc>
          <w:tcPr>
            <w:tcW w:w="1701" w:type="dxa"/>
            <w:noWrap/>
            <w:hideMark/>
          </w:tcPr>
          <w:p w14:paraId="24B346EE" w14:textId="77777777" w:rsidR="007F1FE2" w:rsidRPr="00EA2350" w:rsidRDefault="007F1FE2" w:rsidP="00FC2E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255-527-0</w:t>
            </w:r>
          </w:p>
        </w:tc>
        <w:tc>
          <w:tcPr>
            <w:tcW w:w="5954" w:type="dxa"/>
            <w:noWrap/>
            <w:hideMark/>
          </w:tcPr>
          <w:p w14:paraId="0CB4DFCC"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sodium bis[2-[(4,5-dihydro-3-methyl-5-oxo-1-phenyl-1H-pyrazol-4-yl)azo]benzoato(2-)]chromate(1-)</w:t>
            </w:r>
          </w:p>
        </w:tc>
        <w:tc>
          <w:tcPr>
            <w:tcW w:w="1559" w:type="dxa"/>
            <w:noWrap/>
            <w:hideMark/>
          </w:tcPr>
          <w:p w14:paraId="11FA4597"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494C7956" w14:textId="77777777" w:rsidR="007F1FE2" w:rsidRPr="00EA2350" w:rsidRDefault="007F1FE2" w:rsidP="00FC2E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7F1FE2" w:rsidRPr="00EA2350" w14:paraId="0155F2B9" w14:textId="77777777" w:rsidTr="00FC2E7F">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107B4E6C" w14:textId="77777777" w:rsidR="007F1FE2" w:rsidRPr="00EA2350" w:rsidRDefault="007F1FE2" w:rsidP="00FC2E7F">
            <w:pPr>
              <w:jc w:val="center"/>
              <w:rPr>
                <w:rFonts w:ascii="Calibri" w:eastAsia="Times New Roman" w:hAnsi="Calibri" w:cs="Calibri"/>
                <w:b/>
                <w:bCs/>
                <w:color w:val="000000"/>
                <w:sz w:val="22"/>
                <w:lang w:val="en-US"/>
              </w:rPr>
            </w:pPr>
          </w:p>
        </w:tc>
        <w:tc>
          <w:tcPr>
            <w:tcW w:w="1701" w:type="dxa"/>
            <w:noWrap/>
            <w:hideMark/>
          </w:tcPr>
          <w:p w14:paraId="657C4466" w14:textId="77777777" w:rsidR="007F1FE2" w:rsidRPr="00EA2350" w:rsidRDefault="007F1FE2" w:rsidP="00FC2E7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6B58DB9D"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SOLVENT YELLOW 83</w:t>
            </w:r>
          </w:p>
        </w:tc>
        <w:tc>
          <w:tcPr>
            <w:tcW w:w="1559" w:type="dxa"/>
            <w:noWrap/>
            <w:hideMark/>
          </w:tcPr>
          <w:p w14:paraId="4AEDF8B7"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266B66DD"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r>
      <w:tr w:rsidR="007F1FE2" w:rsidRPr="00EA2350" w14:paraId="53712863" w14:textId="77777777" w:rsidTr="00FC2E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594D4CCB"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42844-93-9</w:t>
            </w:r>
          </w:p>
        </w:tc>
        <w:tc>
          <w:tcPr>
            <w:tcW w:w="1701" w:type="dxa"/>
            <w:noWrap/>
            <w:hideMark/>
          </w:tcPr>
          <w:p w14:paraId="0587DA52" w14:textId="77777777" w:rsidR="007F1FE2" w:rsidRPr="00EA2350" w:rsidRDefault="007F1FE2" w:rsidP="00FC2E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255-965-2</w:t>
            </w:r>
          </w:p>
        </w:tc>
        <w:tc>
          <w:tcPr>
            <w:tcW w:w="5954" w:type="dxa"/>
            <w:noWrap/>
            <w:hideMark/>
          </w:tcPr>
          <w:p w14:paraId="47CF412C"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 xml:space="preserve"> [1,3-dihydroxy-5,6-bis[[(2-hydroxy-1-naphthalenyl)-metylene]amino]2H-Benzimidazole-2-onato(2-)N5,N6,O5,O6-nickel</w:t>
            </w:r>
          </w:p>
        </w:tc>
        <w:tc>
          <w:tcPr>
            <w:tcW w:w="1559" w:type="dxa"/>
            <w:noWrap/>
            <w:hideMark/>
          </w:tcPr>
          <w:p w14:paraId="75041677"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0,1 - 1t</w:t>
            </w:r>
          </w:p>
        </w:tc>
        <w:tc>
          <w:tcPr>
            <w:tcW w:w="1559" w:type="dxa"/>
            <w:noWrap/>
            <w:hideMark/>
          </w:tcPr>
          <w:p w14:paraId="38DEB922" w14:textId="77777777" w:rsidR="007F1FE2" w:rsidRPr="00EA2350" w:rsidRDefault="007F1FE2" w:rsidP="00FC2E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7F1FE2" w:rsidRPr="00EA2350" w14:paraId="5B78AE80" w14:textId="77777777" w:rsidTr="00FC2E7F">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37275267" w14:textId="77777777" w:rsidR="007F1FE2" w:rsidRPr="00EA2350" w:rsidRDefault="007F1FE2" w:rsidP="00FC2E7F">
            <w:pPr>
              <w:jc w:val="center"/>
              <w:rPr>
                <w:rFonts w:ascii="Calibri" w:eastAsia="Times New Roman" w:hAnsi="Calibri" w:cs="Calibri"/>
                <w:b/>
                <w:bCs/>
                <w:color w:val="000000"/>
                <w:sz w:val="22"/>
                <w:lang w:val="en-US"/>
              </w:rPr>
            </w:pPr>
          </w:p>
        </w:tc>
        <w:tc>
          <w:tcPr>
            <w:tcW w:w="1701" w:type="dxa"/>
            <w:noWrap/>
            <w:hideMark/>
          </w:tcPr>
          <w:p w14:paraId="7A911D98" w14:textId="77777777" w:rsidR="007F1FE2" w:rsidRPr="00EA2350" w:rsidRDefault="007F1FE2" w:rsidP="00FC2E7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2C294ACE"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PIGMENT ORANGE 68</w:t>
            </w:r>
          </w:p>
        </w:tc>
        <w:tc>
          <w:tcPr>
            <w:tcW w:w="1559" w:type="dxa"/>
            <w:noWrap/>
            <w:hideMark/>
          </w:tcPr>
          <w:p w14:paraId="47277A9B"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509767DF"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r>
      <w:tr w:rsidR="007F1FE2" w:rsidRPr="00EA2350" w14:paraId="72D6A588" w14:textId="77777777" w:rsidTr="00FC2E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3FCB5232"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51202-86-9</w:t>
            </w:r>
          </w:p>
        </w:tc>
        <w:tc>
          <w:tcPr>
            <w:tcW w:w="1701" w:type="dxa"/>
            <w:noWrap/>
            <w:hideMark/>
          </w:tcPr>
          <w:p w14:paraId="761D1F01" w14:textId="77777777" w:rsidR="007F1FE2" w:rsidRPr="00EA2350" w:rsidRDefault="007F1FE2" w:rsidP="00FC2E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257-055-0</w:t>
            </w:r>
          </w:p>
        </w:tc>
        <w:tc>
          <w:tcPr>
            <w:tcW w:w="5954" w:type="dxa"/>
            <w:noWrap/>
            <w:hideMark/>
          </w:tcPr>
          <w:p w14:paraId="563B5735"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2,2'-(1,4-phenylene)bis[4-[(4-methoxyphenyl)methylene]oxazol-5(4H)-one]</w:t>
            </w:r>
          </w:p>
        </w:tc>
        <w:tc>
          <w:tcPr>
            <w:tcW w:w="1559" w:type="dxa"/>
            <w:noWrap/>
            <w:hideMark/>
          </w:tcPr>
          <w:p w14:paraId="3D8D712F"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763BE53F" w14:textId="77777777" w:rsidR="007F1FE2" w:rsidRPr="00EA2350" w:rsidRDefault="007F1FE2" w:rsidP="00FC2E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7F1FE2" w:rsidRPr="00EA2350" w14:paraId="3D330DBE" w14:textId="77777777" w:rsidTr="00FC2E7F">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2F995828"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51274-00-1</w:t>
            </w:r>
          </w:p>
        </w:tc>
        <w:tc>
          <w:tcPr>
            <w:tcW w:w="1701" w:type="dxa"/>
            <w:noWrap/>
            <w:hideMark/>
          </w:tcPr>
          <w:p w14:paraId="28D7B2DA" w14:textId="77777777" w:rsidR="007F1FE2" w:rsidRPr="00EA2350" w:rsidRDefault="007F1FE2" w:rsidP="00FC2E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257-098-5</w:t>
            </w:r>
          </w:p>
        </w:tc>
        <w:tc>
          <w:tcPr>
            <w:tcW w:w="5954" w:type="dxa"/>
            <w:noWrap/>
            <w:hideMark/>
          </w:tcPr>
          <w:p w14:paraId="75F51123"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Iron hydroxide oxide yellow</w:t>
            </w:r>
          </w:p>
        </w:tc>
        <w:tc>
          <w:tcPr>
            <w:tcW w:w="1559" w:type="dxa"/>
            <w:noWrap/>
            <w:hideMark/>
          </w:tcPr>
          <w:p w14:paraId="559F518B"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100-1000t</w:t>
            </w:r>
          </w:p>
        </w:tc>
        <w:tc>
          <w:tcPr>
            <w:tcW w:w="1559" w:type="dxa"/>
            <w:noWrap/>
            <w:hideMark/>
          </w:tcPr>
          <w:p w14:paraId="5C0815A4" w14:textId="77777777" w:rsidR="007F1FE2" w:rsidRPr="00EA2350" w:rsidRDefault="007F1FE2" w:rsidP="00FC2E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46720</w:t>
            </w:r>
          </w:p>
        </w:tc>
      </w:tr>
      <w:tr w:rsidR="007F1FE2" w:rsidRPr="00EA2350" w14:paraId="0F629F62" w14:textId="77777777" w:rsidTr="00FC2E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6AA311B4" w14:textId="77777777" w:rsidR="007F1FE2" w:rsidRPr="00EA2350" w:rsidRDefault="007F1FE2" w:rsidP="00FC2E7F">
            <w:pPr>
              <w:jc w:val="center"/>
              <w:rPr>
                <w:rFonts w:ascii="Calibri" w:eastAsia="Times New Roman" w:hAnsi="Calibri" w:cs="Calibri"/>
                <w:b/>
                <w:bCs/>
                <w:color w:val="000000"/>
                <w:sz w:val="22"/>
                <w:lang w:val="en-US"/>
              </w:rPr>
            </w:pPr>
          </w:p>
        </w:tc>
        <w:tc>
          <w:tcPr>
            <w:tcW w:w="1701" w:type="dxa"/>
            <w:noWrap/>
            <w:hideMark/>
          </w:tcPr>
          <w:p w14:paraId="0CEB24DF" w14:textId="77777777" w:rsidR="007F1FE2" w:rsidRPr="00EA2350" w:rsidRDefault="007F1FE2" w:rsidP="00FC2E7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33F249DE"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Pigment Yellow 42</w:t>
            </w:r>
          </w:p>
        </w:tc>
        <w:tc>
          <w:tcPr>
            <w:tcW w:w="1559" w:type="dxa"/>
            <w:noWrap/>
            <w:hideMark/>
          </w:tcPr>
          <w:p w14:paraId="71088EBB"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705887E7" w14:textId="77777777" w:rsidR="007F1FE2" w:rsidRPr="00EA2350" w:rsidRDefault="007F1FE2" w:rsidP="00FC2E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7F1FE2" w:rsidRPr="00EA2350" w14:paraId="2ED66B1A" w14:textId="77777777" w:rsidTr="00FC2E7F">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55892CD2"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51920-12-8</w:t>
            </w:r>
          </w:p>
        </w:tc>
        <w:tc>
          <w:tcPr>
            <w:tcW w:w="1701" w:type="dxa"/>
            <w:noWrap/>
            <w:hideMark/>
          </w:tcPr>
          <w:p w14:paraId="0A89534D" w14:textId="77777777" w:rsidR="007F1FE2" w:rsidRPr="00EA2350" w:rsidRDefault="007F1FE2" w:rsidP="00FC2E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257-515-0</w:t>
            </w:r>
          </w:p>
        </w:tc>
        <w:tc>
          <w:tcPr>
            <w:tcW w:w="5954" w:type="dxa"/>
            <w:noWrap/>
            <w:hideMark/>
          </w:tcPr>
          <w:p w14:paraId="514D70BC"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C.I. Pigment Red 185</w:t>
            </w:r>
          </w:p>
        </w:tc>
        <w:tc>
          <w:tcPr>
            <w:tcW w:w="1559" w:type="dxa"/>
            <w:noWrap/>
            <w:hideMark/>
          </w:tcPr>
          <w:p w14:paraId="22EACC3E"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24AA283D" w14:textId="77777777" w:rsidR="007F1FE2" w:rsidRPr="00EA2350" w:rsidRDefault="007F1FE2" w:rsidP="00FC2E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20120</w:t>
            </w:r>
          </w:p>
        </w:tc>
      </w:tr>
      <w:tr w:rsidR="007F1FE2" w:rsidRPr="00EA2350" w14:paraId="16254734" w14:textId="77777777" w:rsidTr="00FC2E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72D78E19"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52238-92-3</w:t>
            </w:r>
          </w:p>
        </w:tc>
        <w:tc>
          <w:tcPr>
            <w:tcW w:w="1701" w:type="dxa"/>
            <w:noWrap/>
            <w:hideMark/>
          </w:tcPr>
          <w:p w14:paraId="52734420" w14:textId="77777777" w:rsidR="007F1FE2" w:rsidRPr="00EA2350" w:rsidRDefault="007F1FE2" w:rsidP="00FC2E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257-776-0</w:t>
            </w:r>
          </w:p>
        </w:tc>
        <w:tc>
          <w:tcPr>
            <w:tcW w:w="5954" w:type="dxa"/>
            <w:noWrap/>
            <w:hideMark/>
          </w:tcPr>
          <w:p w14:paraId="2B0960F5"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N,N'-(2,5-dichloro-1,4-phenylene)bis[4-[[2-chloro-5-(trifluoromethyl)phenyl]azo]-3-hydroxynaphthalene-2-carboxamide]</w:t>
            </w:r>
          </w:p>
        </w:tc>
        <w:tc>
          <w:tcPr>
            <w:tcW w:w="1559" w:type="dxa"/>
            <w:noWrap/>
            <w:hideMark/>
          </w:tcPr>
          <w:p w14:paraId="21D96EF9"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2D830360" w14:textId="77777777" w:rsidR="007F1FE2" w:rsidRPr="00EA2350" w:rsidRDefault="007F1FE2" w:rsidP="00FC2E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7F1FE2" w:rsidRPr="00EA2350" w14:paraId="31068B53" w14:textId="77777777" w:rsidTr="00FC2E7F">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2F295AC0" w14:textId="77777777" w:rsidR="007F1FE2" w:rsidRPr="00EA2350" w:rsidRDefault="007F1FE2" w:rsidP="00FC2E7F">
            <w:pPr>
              <w:jc w:val="center"/>
              <w:rPr>
                <w:rFonts w:ascii="Calibri" w:eastAsia="Times New Roman" w:hAnsi="Calibri" w:cs="Calibri"/>
                <w:b/>
                <w:bCs/>
                <w:color w:val="000000"/>
                <w:sz w:val="22"/>
                <w:lang w:val="en-US"/>
              </w:rPr>
            </w:pPr>
          </w:p>
        </w:tc>
        <w:tc>
          <w:tcPr>
            <w:tcW w:w="1701" w:type="dxa"/>
            <w:noWrap/>
            <w:hideMark/>
          </w:tcPr>
          <w:p w14:paraId="608B4ED1" w14:textId="77777777" w:rsidR="007F1FE2" w:rsidRPr="00EA2350" w:rsidRDefault="007F1FE2" w:rsidP="00FC2E7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5B5B8450"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PIGMENT RED 242</w:t>
            </w:r>
          </w:p>
        </w:tc>
        <w:tc>
          <w:tcPr>
            <w:tcW w:w="1559" w:type="dxa"/>
            <w:noWrap/>
            <w:hideMark/>
          </w:tcPr>
          <w:p w14:paraId="60EFC97A"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6A11340B"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r>
      <w:tr w:rsidR="007F1FE2" w:rsidRPr="00EA2350" w14:paraId="6C76398A" w14:textId="77777777" w:rsidTr="00FC2E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631BB642"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52846-56-7</w:t>
            </w:r>
          </w:p>
        </w:tc>
        <w:tc>
          <w:tcPr>
            <w:tcW w:w="1701" w:type="dxa"/>
            <w:noWrap/>
            <w:hideMark/>
          </w:tcPr>
          <w:p w14:paraId="392BEA47" w14:textId="77777777" w:rsidR="007F1FE2" w:rsidRPr="00EA2350" w:rsidRDefault="007F1FE2" w:rsidP="00FC2E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258-221-5</w:t>
            </w:r>
          </w:p>
        </w:tc>
        <w:tc>
          <w:tcPr>
            <w:tcW w:w="5954" w:type="dxa"/>
            <w:noWrap/>
            <w:hideMark/>
          </w:tcPr>
          <w:p w14:paraId="64C779A3"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N-(2,3-dihydro-2-oxo-1H-benzimidazol-5-yl)-2-[(4-nitrophenyl)azo]-3-oxobutyramide</w:t>
            </w:r>
          </w:p>
        </w:tc>
        <w:tc>
          <w:tcPr>
            <w:tcW w:w="1559" w:type="dxa"/>
            <w:noWrap/>
            <w:hideMark/>
          </w:tcPr>
          <w:p w14:paraId="539245DE"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2D8F45D1" w14:textId="77777777" w:rsidR="007F1FE2" w:rsidRPr="00EA2350" w:rsidRDefault="007F1FE2" w:rsidP="00FC2E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7F1FE2" w:rsidRPr="00EA2350" w14:paraId="4D439C0B" w14:textId="77777777" w:rsidTr="00FC2E7F">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0E8A6270"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53320-86-8</w:t>
            </w:r>
          </w:p>
        </w:tc>
        <w:tc>
          <w:tcPr>
            <w:tcW w:w="1701" w:type="dxa"/>
            <w:noWrap/>
            <w:hideMark/>
          </w:tcPr>
          <w:p w14:paraId="6DEF2D8A" w14:textId="77777777" w:rsidR="007F1FE2" w:rsidRPr="00EA2350" w:rsidRDefault="007F1FE2" w:rsidP="00FC2E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258-476-2</w:t>
            </w:r>
          </w:p>
        </w:tc>
        <w:tc>
          <w:tcPr>
            <w:tcW w:w="5954" w:type="dxa"/>
            <w:noWrap/>
            <w:hideMark/>
          </w:tcPr>
          <w:p w14:paraId="0BB2F295"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Silicic acid, lithium magnesium sodium salt</w:t>
            </w:r>
          </w:p>
        </w:tc>
        <w:tc>
          <w:tcPr>
            <w:tcW w:w="1559" w:type="dxa"/>
            <w:noWrap/>
            <w:hideMark/>
          </w:tcPr>
          <w:p w14:paraId="6B1103E3"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1-10t</w:t>
            </w:r>
          </w:p>
        </w:tc>
        <w:tc>
          <w:tcPr>
            <w:tcW w:w="1559" w:type="dxa"/>
            <w:noWrap/>
            <w:hideMark/>
          </w:tcPr>
          <w:p w14:paraId="06CEF96E" w14:textId="77777777" w:rsidR="007F1FE2" w:rsidRPr="00EA2350" w:rsidRDefault="007F1FE2" w:rsidP="00FC2E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20590</w:t>
            </w:r>
          </w:p>
        </w:tc>
      </w:tr>
      <w:tr w:rsidR="007F1FE2" w:rsidRPr="00EA2350" w14:paraId="022505E3" w14:textId="77777777" w:rsidTr="00FC2E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35C63CD8"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56279-27-7</w:t>
            </w:r>
          </w:p>
        </w:tc>
        <w:tc>
          <w:tcPr>
            <w:tcW w:w="1701" w:type="dxa"/>
            <w:noWrap/>
            <w:hideMark/>
          </w:tcPr>
          <w:p w14:paraId="1119050F" w14:textId="77777777" w:rsidR="007F1FE2" w:rsidRPr="00EA2350" w:rsidRDefault="007F1FE2" w:rsidP="00FC2E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611-375-0</w:t>
            </w:r>
          </w:p>
        </w:tc>
        <w:tc>
          <w:tcPr>
            <w:tcW w:w="5954" w:type="dxa"/>
            <w:noWrap/>
            <w:hideMark/>
          </w:tcPr>
          <w:p w14:paraId="07E3DB15"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8,9,10,12-tetrahydro-6H-benzo[lm]diimidazo[4,5-c:1',2'-f]phenanthridine-7,11-dione</w:t>
            </w:r>
          </w:p>
        </w:tc>
        <w:tc>
          <w:tcPr>
            <w:tcW w:w="1559" w:type="dxa"/>
            <w:noWrap/>
            <w:hideMark/>
          </w:tcPr>
          <w:p w14:paraId="4B5864CF"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19202B2C" w14:textId="77777777" w:rsidR="007F1FE2" w:rsidRPr="00EA2350" w:rsidRDefault="007F1FE2" w:rsidP="00FC2E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7F1FE2" w:rsidRPr="00EA2350" w14:paraId="236AB48D" w14:textId="77777777" w:rsidTr="00FC2E7F">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615F9334"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63022-06-0</w:t>
            </w:r>
          </w:p>
        </w:tc>
        <w:tc>
          <w:tcPr>
            <w:tcW w:w="1701" w:type="dxa"/>
            <w:noWrap/>
            <w:hideMark/>
          </w:tcPr>
          <w:p w14:paraId="2A9F2582" w14:textId="77777777" w:rsidR="007F1FE2" w:rsidRPr="00EA2350" w:rsidRDefault="007F1FE2" w:rsidP="00FC2E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263-793-4</w:t>
            </w:r>
          </w:p>
        </w:tc>
        <w:tc>
          <w:tcPr>
            <w:tcW w:w="5954" w:type="dxa"/>
            <w:noWrap/>
            <w:hideMark/>
          </w:tcPr>
          <w:p w14:paraId="366EC11F"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C.I. Pigment Red 81:5</w:t>
            </w:r>
          </w:p>
        </w:tc>
        <w:tc>
          <w:tcPr>
            <w:tcW w:w="1559" w:type="dxa"/>
            <w:noWrap/>
            <w:hideMark/>
          </w:tcPr>
          <w:p w14:paraId="51F39462"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08905071" w14:textId="77777777" w:rsidR="007F1FE2" w:rsidRPr="00EA2350" w:rsidRDefault="007F1FE2" w:rsidP="00FC2E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20120</w:t>
            </w:r>
          </w:p>
        </w:tc>
      </w:tr>
      <w:tr w:rsidR="007F1FE2" w:rsidRPr="00EA2350" w14:paraId="219F6B9A" w14:textId="77777777" w:rsidTr="00FC2E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4F9D5339"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64696-98-6</w:t>
            </w:r>
          </w:p>
        </w:tc>
        <w:tc>
          <w:tcPr>
            <w:tcW w:w="1701" w:type="dxa"/>
            <w:noWrap/>
            <w:hideMark/>
          </w:tcPr>
          <w:p w14:paraId="618E8EEB" w14:textId="77777777" w:rsidR="007F1FE2" w:rsidRPr="00EA2350" w:rsidRDefault="007F1FE2" w:rsidP="00FC2E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265-022-7</w:t>
            </w:r>
          </w:p>
        </w:tc>
        <w:tc>
          <w:tcPr>
            <w:tcW w:w="5954" w:type="dxa"/>
            <w:noWrap/>
            <w:hideMark/>
          </w:tcPr>
          <w:p w14:paraId="350DA5B6"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[2,3'-bis[[(2-hydroxyphenyl)methylene]amino]but-2-enedinitrilato(2-)-N2,N3,O2,O3]nickel</w:t>
            </w:r>
          </w:p>
        </w:tc>
        <w:tc>
          <w:tcPr>
            <w:tcW w:w="1559" w:type="dxa"/>
            <w:noWrap/>
            <w:hideMark/>
          </w:tcPr>
          <w:p w14:paraId="679B16E0"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1-10t</w:t>
            </w:r>
          </w:p>
        </w:tc>
        <w:tc>
          <w:tcPr>
            <w:tcW w:w="1559" w:type="dxa"/>
            <w:noWrap/>
            <w:hideMark/>
          </w:tcPr>
          <w:p w14:paraId="43C96E76" w14:textId="77777777" w:rsidR="007F1FE2" w:rsidRPr="00EA2350" w:rsidRDefault="007F1FE2" w:rsidP="00FC2E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7F1FE2" w:rsidRPr="00EA2350" w14:paraId="084FB0F2" w14:textId="77777777" w:rsidTr="00FC2E7F">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7BEFB867"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67762-90-7</w:t>
            </w:r>
          </w:p>
        </w:tc>
        <w:tc>
          <w:tcPr>
            <w:tcW w:w="1701" w:type="dxa"/>
            <w:noWrap/>
            <w:hideMark/>
          </w:tcPr>
          <w:p w14:paraId="36822FDE" w14:textId="77777777" w:rsidR="007F1FE2" w:rsidRPr="00EA2350" w:rsidRDefault="007F1FE2" w:rsidP="00FC2E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231-545-4</w:t>
            </w:r>
          </w:p>
        </w:tc>
        <w:tc>
          <w:tcPr>
            <w:tcW w:w="5954" w:type="dxa"/>
            <w:noWrap/>
            <w:hideMark/>
          </w:tcPr>
          <w:p w14:paraId="3B733995"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Silicon dioxide</w:t>
            </w:r>
          </w:p>
        </w:tc>
        <w:tc>
          <w:tcPr>
            <w:tcW w:w="1559" w:type="dxa"/>
            <w:noWrap/>
            <w:hideMark/>
          </w:tcPr>
          <w:p w14:paraId="4E74CC1D"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1-10t</w:t>
            </w:r>
          </w:p>
        </w:tc>
        <w:tc>
          <w:tcPr>
            <w:tcW w:w="1559" w:type="dxa"/>
            <w:noWrap/>
            <w:hideMark/>
          </w:tcPr>
          <w:p w14:paraId="71C75D35" w14:textId="77777777" w:rsidR="007F1FE2" w:rsidRPr="00EA2350" w:rsidRDefault="007F1FE2" w:rsidP="00FC2E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w:t>
            </w:r>
          </w:p>
        </w:tc>
      </w:tr>
      <w:tr w:rsidR="007F1FE2" w:rsidRPr="00EA2350" w14:paraId="7E7121FB" w14:textId="77777777" w:rsidTr="00FC2E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7443DC99" w14:textId="77777777" w:rsidR="007F1FE2" w:rsidRPr="00EA2350" w:rsidRDefault="007F1FE2" w:rsidP="00FC2E7F">
            <w:pPr>
              <w:jc w:val="center"/>
              <w:rPr>
                <w:rFonts w:ascii="Calibri" w:eastAsia="Times New Roman" w:hAnsi="Calibri" w:cs="Calibri"/>
                <w:b/>
                <w:bCs/>
                <w:color w:val="000000"/>
                <w:sz w:val="22"/>
                <w:lang w:val="en-US"/>
              </w:rPr>
            </w:pPr>
          </w:p>
        </w:tc>
        <w:tc>
          <w:tcPr>
            <w:tcW w:w="1701" w:type="dxa"/>
            <w:noWrap/>
            <w:hideMark/>
          </w:tcPr>
          <w:p w14:paraId="6A72CB9F" w14:textId="77777777" w:rsidR="007F1FE2" w:rsidRPr="00EA2350" w:rsidRDefault="007F1FE2" w:rsidP="00FC2E7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c>
          <w:tcPr>
            <w:tcW w:w="7513" w:type="dxa"/>
            <w:gridSpan w:val="2"/>
            <w:noWrap/>
            <w:hideMark/>
          </w:tcPr>
          <w:p w14:paraId="50FA7E48"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Silicones and siloxanes, dimethyl-, reaction products with silica</w:t>
            </w:r>
          </w:p>
        </w:tc>
        <w:tc>
          <w:tcPr>
            <w:tcW w:w="1559" w:type="dxa"/>
            <w:noWrap/>
            <w:hideMark/>
          </w:tcPr>
          <w:p w14:paraId="34CB8319" w14:textId="77777777" w:rsidR="007F1FE2" w:rsidRPr="00EA2350" w:rsidRDefault="007F1FE2" w:rsidP="00FC2E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203</w:t>
            </w:r>
          </w:p>
        </w:tc>
      </w:tr>
      <w:tr w:rsidR="007F1FE2" w:rsidRPr="00EA2350" w14:paraId="60E5AD58" w14:textId="77777777" w:rsidTr="00FC2E7F">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55319A76"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67989-22-4</w:t>
            </w:r>
          </w:p>
        </w:tc>
        <w:tc>
          <w:tcPr>
            <w:tcW w:w="1701" w:type="dxa"/>
            <w:noWrap/>
            <w:hideMark/>
          </w:tcPr>
          <w:p w14:paraId="6AFF7981" w14:textId="77777777" w:rsidR="007F1FE2" w:rsidRPr="00EA2350" w:rsidRDefault="007F1FE2" w:rsidP="00FC2E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268-006-8</w:t>
            </w:r>
          </w:p>
        </w:tc>
        <w:tc>
          <w:tcPr>
            <w:tcW w:w="5954" w:type="dxa"/>
            <w:noWrap/>
            <w:hideMark/>
          </w:tcPr>
          <w:p w14:paraId="65E5457E"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C.I. Pigment Violet 3:4</w:t>
            </w:r>
          </w:p>
        </w:tc>
        <w:tc>
          <w:tcPr>
            <w:tcW w:w="1559" w:type="dxa"/>
            <w:noWrap/>
            <w:hideMark/>
          </w:tcPr>
          <w:p w14:paraId="27A7E7E3"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6F77C5A1" w14:textId="77777777" w:rsidR="007F1FE2" w:rsidRPr="00EA2350" w:rsidRDefault="007F1FE2" w:rsidP="00FC2E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20120</w:t>
            </w:r>
          </w:p>
        </w:tc>
      </w:tr>
      <w:tr w:rsidR="007F1FE2" w:rsidRPr="00025265" w14:paraId="174320AB" w14:textId="77777777" w:rsidTr="00FC2E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6637EC8C" w14:textId="77777777" w:rsidR="007F1FE2" w:rsidRPr="00EA2350" w:rsidRDefault="007F1FE2" w:rsidP="00FC2E7F">
            <w:pPr>
              <w:jc w:val="center"/>
              <w:rPr>
                <w:rFonts w:ascii="Calibri" w:eastAsia="Times New Roman" w:hAnsi="Calibri" w:cs="Calibri"/>
                <w:b/>
                <w:bCs/>
                <w:color w:val="000000"/>
                <w:sz w:val="22"/>
                <w:lang w:val="en-US"/>
              </w:rPr>
            </w:pPr>
          </w:p>
        </w:tc>
        <w:tc>
          <w:tcPr>
            <w:tcW w:w="1701" w:type="dxa"/>
            <w:noWrap/>
            <w:hideMark/>
          </w:tcPr>
          <w:p w14:paraId="0A7AA010" w14:textId="77777777" w:rsidR="007F1FE2" w:rsidRPr="00EA2350" w:rsidRDefault="007F1FE2" w:rsidP="00FC2E7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c>
          <w:tcPr>
            <w:tcW w:w="7513" w:type="dxa"/>
            <w:gridSpan w:val="2"/>
            <w:noWrap/>
            <w:hideMark/>
          </w:tcPr>
          <w:p w14:paraId="1D5B3A31"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n-US"/>
              </w:rPr>
            </w:pPr>
            <w:proofErr w:type="spellStart"/>
            <w:r w:rsidRPr="00EA2350">
              <w:rPr>
                <w:rFonts w:ascii="Calibri" w:eastAsia="Times New Roman" w:hAnsi="Calibri" w:cs="Calibri"/>
                <w:lang w:val="en-US"/>
              </w:rPr>
              <w:t>Benzenamine</w:t>
            </w:r>
            <w:proofErr w:type="spellEnd"/>
            <w:r w:rsidRPr="00EA2350">
              <w:rPr>
                <w:rFonts w:ascii="Calibri" w:eastAsia="Times New Roman" w:hAnsi="Calibri" w:cs="Calibri"/>
                <w:lang w:val="en-US"/>
              </w:rPr>
              <w:t xml:space="preserve">, 4-[(4-aminophenyl)(4-imino-2,5-cyclohexadien-1-ylidene)methyl]-, N-Me derivatives, </w:t>
            </w:r>
            <w:proofErr w:type="spellStart"/>
            <w:r w:rsidRPr="00EA2350">
              <w:rPr>
                <w:rFonts w:ascii="Calibri" w:eastAsia="Times New Roman" w:hAnsi="Calibri" w:cs="Calibri"/>
                <w:lang w:val="en-US"/>
              </w:rPr>
              <w:t>molybdatephosphates</w:t>
            </w:r>
            <w:proofErr w:type="spellEnd"/>
          </w:p>
        </w:tc>
        <w:tc>
          <w:tcPr>
            <w:tcW w:w="1559" w:type="dxa"/>
            <w:noWrap/>
            <w:hideMark/>
          </w:tcPr>
          <w:p w14:paraId="4FD41C01"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n-US"/>
              </w:rPr>
            </w:pPr>
          </w:p>
        </w:tc>
      </w:tr>
      <w:tr w:rsidR="007F1FE2" w:rsidRPr="00EA2350" w14:paraId="61D50189" w14:textId="77777777" w:rsidTr="00FC2E7F">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0548EC7C"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68134-22-5</w:t>
            </w:r>
          </w:p>
        </w:tc>
        <w:tc>
          <w:tcPr>
            <w:tcW w:w="1701" w:type="dxa"/>
            <w:noWrap/>
            <w:hideMark/>
          </w:tcPr>
          <w:p w14:paraId="59A4F28A" w14:textId="77777777" w:rsidR="007F1FE2" w:rsidRPr="00EA2350" w:rsidRDefault="007F1FE2" w:rsidP="00FC2E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268-734-6</w:t>
            </w:r>
          </w:p>
        </w:tc>
        <w:tc>
          <w:tcPr>
            <w:tcW w:w="5954" w:type="dxa"/>
            <w:noWrap/>
            <w:hideMark/>
          </w:tcPr>
          <w:p w14:paraId="27F97964"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N-(2,3-dihydro-2-oxo-1H-benzimidazol-5-yl)-3-oxo-2-[[2-(trifluoromethyl)phenyl]azo]butyramide</w:t>
            </w:r>
          </w:p>
        </w:tc>
        <w:tc>
          <w:tcPr>
            <w:tcW w:w="1559" w:type="dxa"/>
            <w:noWrap/>
            <w:hideMark/>
          </w:tcPr>
          <w:p w14:paraId="28B2C254"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0,1 - 1t</w:t>
            </w:r>
          </w:p>
        </w:tc>
        <w:tc>
          <w:tcPr>
            <w:tcW w:w="1559" w:type="dxa"/>
            <w:noWrap/>
            <w:hideMark/>
          </w:tcPr>
          <w:p w14:paraId="6CD5D18D" w14:textId="77777777" w:rsidR="007F1FE2" w:rsidRPr="00EA2350" w:rsidRDefault="007F1FE2" w:rsidP="00FC2E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7F1FE2" w:rsidRPr="00EA2350" w14:paraId="4670293B" w14:textId="77777777" w:rsidTr="00FC2E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43A8D397"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68186-94-7</w:t>
            </w:r>
          </w:p>
        </w:tc>
        <w:tc>
          <w:tcPr>
            <w:tcW w:w="1701" w:type="dxa"/>
            <w:noWrap/>
            <w:hideMark/>
          </w:tcPr>
          <w:p w14:paraId="3ECA1422" w14:textId="77777777" w:rsidR="007F1FE2" w:rsidRPr="00EA2350" w:rsidRDefault="007F1FE2" w:rsidP="00FC2E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235-049-9</w:t>
            </w:r>
          </w:p>
        </w:tc>
        <w:tc>
          <w:tcPr>
            <w:tcW w:w="5954" w:type="dxa"/>
            <w:noWrap/>
            <w:hideMark/>
          </w:tcPr>
          <w:p w14:paraId="697332BE"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Pigment Brown 43</w:t>
            </w:r>
          </w:p>
        </w:tc>
        <w:tc>
          <w:tcPr>
            <w:tcW w:w="1559" w:type="dxa"/>
            <w:noWrap/>
            <w:hideMark/>
          </w:tcPr>
          <w:p w14:paraId="036E8D6D"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43343F60" w14:textId="77777777" w:rsidR="007F1FE2" w:rsidRPr="00EA2350" w:rsidRDefault="007F1FE2" w:rsidP="00FC2E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203</w:t>
            </w:r>
          </w:p>
        </w:tc>
      </w:tr>
      <w:tr w:rsidR="007F1FE2" w:rsidRPr="00EA2350" w14:paraId="03E924BD" w14:textId="77777777" w:rsidTr="00FC2E7F">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57EA90BA"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68187-11-1</w:t>
            </w:r>
          </w:p>
        </w:tc>
        <w:tc>
          <w:tcPr>
            <w:tcW w:w="1701" w:type="dxa"/>
            <w:noWrap/>
            <w:hideMark/>
          </w:tcPr>
          <w:p w14:paraId="5CBF16AC" w14:textId="77777777" w:rsidR="007F1FE2" w:rsidRPr="00EA2350" w:rsidRDefault="007F1FE2" w:rsidP="00FC2E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269-072-0</w:t>
            </w:r>
          </w:p>
        </w:tc>
        <w:tc>
          <w:tcPr>
            <w:tcW w:w="5954" w:type="dxa"/>
            <w:noWrap/>
            <w:hideMark/>
          </w:tcPr>
          <w:p w14:paraId="29D59BED"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Cobalt chromite blue green spinel</w:t>
            </w:r>
          </w:p>
        </w:tc>
        <w:tc>
          <w:tcPr>
            <w:tcW w:w="1559" w:type="dxa"/>
            <w:noWrap/>
            <w:hideMark/>
          </w:tcPr>
          <w:p w14:paraId="02CBABF7"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5A90E68A"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p>
        </w:tc>
      </w:tr>
      <w:tr w:rsidR="007F1FE2" w:rsidRPr="00EA2350" w14:paraId="4F679844" w14:textId="77777777" w:rsidTr="00FC2E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223320A8"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68441-17-8</w:t>
            </w:r>
          </w:p>
        </w:tc>
        <w:tc>
          <w:tcPr>
            <w:tcW w:w="1701" w:type="dxa"/>
            <w:noWrap/>
            <w:hideMark/>
          </w:tcPr>
          <w:p w14:paraId="1E789723" w14:textId="77777777" w:rsidR="007F1FE2" w:rsidRPr="00EA2350" w:rsidRDefault="007F1FE2" w:rsidP="00FC2E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614-498-8</w:t>
            </w:r>
          </w:p>
        </w:tc>
        <w:tc>
          <w:tcPr>
            <w:tcW w:w="5954" w:type="dxa"/>
            <w:noWrap/>
            <w:hideMark/>
          </w:tcPr>
          <w:p w14:paraId="134AE5D8"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Ethene, homopolymer, oxidized</w:t>
            </w:r>
          </w:p>
        </w:tc>
        <w:tc>
          <w:tcPr>
            <w:tcW w:w="1559" w:type="dxa"/>
            <w:noWrap/>
            <w:hideMark/>
          </w:tcPr>
          <w:p w14:paraId="3B6057ED"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7A19EB5F" w14:textId="77777777" w:rsidR="007F1FE2" w:rsidRPr="00EA2350" w:rsidRDefault="007F1FE2" w:rsidP="00FC2E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2030001</w:t>
            </w:r>
          </w:p>
        </w:tc>
      </w:tr>
      <w:tr w:rsidR="007F1FE2" w:rsidRPr="00EA2350" w14:paraId="0034A8FF" w14:textId="77777777" w:rsidTr="00FC2E7F">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5449532D"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68511-62-6</w:t>
            </w:r>
          </w:p>
        </w:tc>
        <w:tc>
          <w:tcPr>
            <w:tcW w:w="1701" w:type="dxa"/>
            <w:noWrap/>
            <w:hideMark/>
          </w:tcPr>
          <w:p w14:paraId="1C08C376" w14:textId="77777777" w:rsidR="007F1FE2" w:rsidRPr="00EA2350" w:rsidRDefault="007F1FE2" w:rsidP="00FC2E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270-944-8</w:t>
            </w:r>
          </w:p>
        </w:tc>
        <w:tc>
          <w:tcPr>
            <w:tcW w:w="5954" w:type="dxa"/>
            <w:noWrap/>
            <w:hideMark/>
          </w:tcPr>
          <w:p w14:paraId="173F3EBE"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C.I. Pigment Yellow 150</w:t>
            </w:r>
          </w:p>
        </w:tc>
        <w:tc>
          <w:tcPr>
            <w:tcW w:w="1559" w:type="dxa"/>
            <w:noWrap/>
            <w:hideMark/>
          </w:tcPr>
          <w:p w14:paraId="7056AD54"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48445318" w14:textId="77777777" w:rsidR="007F1FE2" w:rsidRPr="00EA2350" w:rsidRDefault="007F1FE2" w:rsidP="00FC2E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20120</w:t>
            </w:r>
          </w:p>
        </w:tc>
      </w:tr>
      <w:tr w:rsidR="007F1FE2" w:rsidRPr="00EA2350" w14:paraId="1E86B80E" w14:textId="77777777" w:rsidTr="00FC2E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7F43F9FA"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68516-73-4</w:t>
            </w:r>
          </w:p>
        </w:tc>
        <w:tc>
          <w:tcPr>
            <w:tcW w:w="1701" w:type="dxa"/>
            <w:noWrap/>
            <w:hideMark/>
          </w:tcPr>
          <w:p w14:paraId="6DD9E6A0" w14:textId="77777777" w:rsidR="007F1FE2" w:rsidRPr="00EA2350" w:rsidRDefault="007F1FE2" w:rsidP="00FC2E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271-176-6</w:t>
            </w:r>
          </w:p>
        </w:tc>
        <w:tc>
          <w:tcPr>
            <w:tcW w:w="5954" w:type="dxa"/>
            <w:noWrap/>
            <w:hideMark/>
          </w:tcPr>
          <w:p w14:paraId="5B718B9F"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tetramethyl 2,2'-[1,4-phenylenebis[imino(1-acetyl-2-oxoethane-1,2-diyl)azo]]bisterephthalate</w:t>
            </w:r>
          </w:p>
        </w:tc>
        <w:tc>
          <w:tcPr>
            <w:tcW w:w="1559" w:type="dxa"/>
            <w:noWrap/>
            <w:hideMark/>
          </w:tcPr>
          <w:p w14:paraId="2E064A93"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10-100t</w:t>
            </w:r>
          </w:p>
        </w:tc>
        <w:tc>
          <w:tcPr>
            <w:tcW w:w="1559" w:type="dxa"/>
            <w:noWrap/>
            <w:hideMark/>
          </w:tcPr>
          <w:p w14:paraId="4267ADE3" w14:textId="77777777" w:rsidR="007F1FE2" w:rsidRPr="00EA2350" w:rsidRDefault="007F1FE2" w:rsidP="00FC2E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7F1FE2" w:rsidRPr="00EA2350" w14:paraId="4E3FD068" w14:textId="77777777" w:rsidTr="00FC2E7F">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314FBBB7" w14:textId="77777777" w:rsidR="007F1FE2" w:rsidRPr="00EA2350" w:rsidRDefault="007F1FE2" w:rsidP="00FC2E7F">
            <w:pPr>
              <w:jc w:val="center"/>
              <w:rPr>
                <w:rFonts w:ascii="Calibri" w:eastAsia="Times New Roman" w:hAnsi="Calibri" w:cs="Calibri"/>
                <w:b/>
                <w:bCs/>
                <w:color w:val="000000"/>
                <w:sz w:val="22"/>
                <w:lang w:val="en-US"/>
              </w:rPr>
            </w:pPr>
          </w:p>
        </w:tc>
        <w:tc>
          <w:tcPr>
            <w:tcW w:w="1701" w:type="dxa"/>
            <w:noWrap/>
            <w:hideMark/>
          </w:tcPr>
          <w:p w14:paraId="5AE13205" w14:textId="77777777" w:rsidR="007F1FE2" w:rsidRPr="00EA2350" w:rsidRDefault="007F1FE2" w:rsidP="00FC2E7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0C48E228"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C.I. Pigment Yellow 155</w:t>
            </w:r>
          </w:p>
        </w:tc>
        <w:tc>
          <w:tcPr>
            <w:tcW w:w="1559" w:type="dxa"/>
            <w:noWrap/>
            <w:hideMark/>
          </w:tcPr>
          <w:p w14:paraId="6318C111"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47B38D48" w14:textId="77777777" w:rsidR="007F1FE2" w:rsidRPr="00EA2350" w:rsidRDefault="007F1FE2" w:rsidP="00FC2E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20120</w:t>
            </w:r>
          </w:p>
        </w:tc>
      </w:tr>
      <w:tr w:rsidR="007F1FE2" w:rsidRPr="00EA2350" w14:paraId="48D7665C" w14:textId="77777777" w:rsidTr="00FC2E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012B0A0A"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68516-75-6</w:t>
            </w:r>
          </w:p>
        </w:tc>
        <w:tc>
          <w:tcPr>
            <w:tcW w:w="1701" w:type="dxa"/>
            <w:noWrap/>
            <w:hideMark/>
          </w:tcPr>
          <w:p w14:paraId="6B2CD674" w14:textId="77777777" w:rsidR="007F1FE2" w:rsidRPr="00EA2350" w:rsidRDefault="007F1FE2" w:rsidP="00FC2E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271-178-7</w:t>
            </w:r>
          </w:p>
        </w:tc>
        <w:tc>
          <w:tcPr>
            <w:tcW w:w="5954" w:type="dxa"/>
            <w:noWrap/>
            <w:hideMark/>
          </w:tcPr>
          <w:p w14:paraId="322C2285"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N,N'-naphthalene-1,5-diylbis[4-[(2,3-dichlorophenyl)azo]-3-hydroxynaphthalene-2-carboxamide]</w:t>
            </w:r>
          </w:p>
        </w:tc>
        <w:tc>
          <w:tcPr>
            <w:tcW w:w="1559" w:type="dxa"/>
            <w:noWrap/>
            <w:hideMark/>
          </w:tcPr>
          <w:p w14:paraId="6235096D"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27B794E2" w14:textId="77777777" w:rsidR="007F1FE2" w:rsidRPr="00EA2350" w:rsidRDefault="007F1FE2" w:rsidP="00FC2E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7F1FE2" w:rsidRPr="00EA2350" w14:paraId="566EC64C" w14:textId="77777777" w:rsidTr="00FC2E7F">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0A7EC379"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68611-44-9</w:t>
            </w:r>
          </w:p>
        </w:tc>
        <w:tc>
          <w:tcPr>
            <w:tcW w:w="1701" w:type="dxa"/>
            <w:noWrap/>
            <w:hideMark/>
          </w:tcPr>
          <w:p w14:paraId="3C1DA996" w14:textId="77777777" w:rsidR="007F1FE2" w:rsidRPr="00EA2350" w:rsidRDefault="007F1FE2" w:rsidP="00FC2E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271-893-4</w:t>
            </w:r>
          </w:p>
        </w:tc>
        <w:tc>
          <w:tcPr>
            <w:tcW w:w="5954" w:type="dxa"/>
            <w:noWrap/>
            <w:hideMark/>
          </w:tcPr>
          <w:p w14:paraId="58FFB4E9"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proofErr w:type="spellStart"/>
            <w:r w:rsidRPr="00EA2350">
              <w:rPr>
                <w:rFonts w:ascii="Calibri" w:eastAsia="Times New Roman" w:hAnsi="Calibri" w:cs="Calibri"/>
                <w:color w:val="000000"/>
                <w:lang w:val="en-US"/>
              </w:rPr>
              <w:t>Dimethyldichlorosilane</w:t>
            </w:r>
            <w:proofErr w:type="spellEnd"/>
            <w:r w:rsidRPr="00EA2350">
              <w:rPr>
                <w:rFonts w:ascii="Calibri" w:eastAsia="Times New Roman" w:hAnsi="Calibri" w:cs="Calibri"/>
                <w:color w:val="000000"/>
                <w:lang w:val="en-US"/>
              </w:rPr>
              <w:t xml:space="preserve"> reaction with silica</w:t>
            </w:r>
          </w:p>
        </w:tc>
        <w:tc>
          <w:tcPr>
            <w:tcW w:w="1559" w:type="dxa"/>
            <w:noWrap/>
            <w:hideMark/>
          </w:tcPr>
          <w:p w14:paraId="64CC2B2E"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10-100t</w:t>
            </w:r>
          </w:p>
        </w:tc>
        <w:tc>
          <w:tcPr>
            <w:tcW w:w="1559" w:type="dxa"/>
            <w:noWrap/>
            <w:hideMark/>
          </w:tcPr>
          <w:p w14:paraId="07A16A11"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p>
        </w:tc>
      </w:tr>
      <w:tr w:rsidR="007F1FE2" w:rsidRPr="00EA2350" w14:paraId="0A57E53A" w14:textId="77777777" w:rsidTr="00FC2E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72BA2D52" w14:textId="77777777" w:rsidR="007F1FE2" w:rsidRPr="00EA2350" w:rsidRDefault="007F1FE2" w:rsidP="00FC2E7F">
            <w:pPr>
              <w:jc w:val="center"/>
              <w:rPr>
                <w:rFonts w:ascii="Times New Roman" w:eastAsia="Times New Roman" w:hAnsi="Times New Roman" w:cs="Times New Roman"/>
                <w:b/>
                <w:bCs/>
                <w:sz w:val="22"/>
                <w:lang w:val="en-US"/>
              </w:rPr>
            </w:pPr>
          </w:p>
        </w:tc>
        <w:tc>
          <w:tcPr>
            <w:tcW w:w="1701" w:type="dxa"/>
            <w:noWrap/>
            <w:hideMark/>
          </w:tcPr>
          <w:p w14:paraId="6B698937" w14:textId="77777777" w:rsidR="007F1FE2" w:rsidRPr="00EA2350" w:rsidRDefault="007F1FE2" w:rsidP="00FC2E7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4AC1E882"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Hydrophilic fumed silica</w:t>
            </w:r>
          </w:p>
        </w:tc>
        <w:tc>
          <w:tcPr>
            <w:tcW w:w="1559" w:type="dxa"/>
            <w:noWrap/>
            <w:hideMark/>
          </w:tcPr>
          <w:p w14:paraId="0C01A1DD"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35AB5E92" w14:textId="77777777" w:rsidR="007F1FE2" w:rsidRPr="00EA2350" w:rsidRDefault="007F1FE2" w:rsidP="00FC2E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46751</w:t>
            </w:r>
          </w:p>
        </w:tc>
      </w:tr>
      <w:tr w:rsidR="007F1FE2" w:rsidRPr="00EA2350" w14:paraId="75442AF5" w14:textId="77777777" w:rsidTr="00FC2E7F">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6901A1E8" w14:textId="77777777" w:rsidR="007F1FE2" w:rsidRPr="00EA2350" w:rsidRDefault="007F1FE2" w:rsidP="00FC2E7F">
            <w:pPr>
              <w:jc w:val="center"/>
              <w:rPr>
                <w:rFonts w:ascii="Calibri" w:eastAsia="Times New Roman" w:hAnsi="Calibri" w:cs="Calibri"/>
                <w:b/>
                <w:bCs/>
                <w:color w:val="000000"/>
                <w:sz w:val="22"/>
                <w:lang w:val="en-US"/>
              </w:rPr>
            </w:pPr>
          </w:p>
        </w:tc>
        <w:tc>
          <w:tcPr>
            <w:tcW w:w="1701" w:type="dxa"/>
            <w:noWrap/>
            <w:hideMark/>
          </w:tcPr>
          <w:p w14:paraId="7EAD3830" w14:textId="77777777" w:rsidR="007F1FE2" w:rsidRPr="00EA2350" w:rsidRDefault="007F1FE2" w:rsidP="00FC2E7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565193C1"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Hydrophobic fumed silica</w:t>
            </w:r>
          </w:p>
        </w:tc>
        <w:tc>
          <w:tcPr>
            <w:tcW w:w="1559" w:type="dxa"/>
            <w:noWrap/>
            <w:hideMark/>
          </w:tcPr>
          <w:p w14:paraId="129E38F2"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5AFB499E" w14:textId="77777777" w:rsidR="007F1FE2" w:rsidRPr="00EA2350" w:rsidRDefault="007F1FE2" w:rsidP="00FC2E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46751</w:t>
            </w:r>
          </w:p>
        </w:tc>
      </w:tr>
      <w:tr w:rsidR="007F1FE2" w:rsidRPr="00EA2350" w14:paraId="28953D1F" w14:textId="77777777" w:rsidTr="00FC2E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5330DCCF" w14:textId="77777777" w:rsidR="007F1FE2" w:rsidRPr="00EA2350" w:rsidRDefault="007F1FE2" w:rsidP="00FC2E7F">
            <w:pPr>
              <w:jc w:val="center"/>
              <w:rPr>
                <w:rFonts w:ascii="Calibri" w:eastAsia="Times New Roman" w:hAnsi="Calibri" w:cs="Calibri"/>
                <w:b/>
                <w:bCs/>
                <w:color w:val="000000"/>
                <w:sz w:val="22"/>
                <w:lang w:val="en-US"/>
              </w:rPr>
            </w:pPr>
          </w:p>
        </w:tc>
        <w:tc>
          <w:tcPr>
            <w:tcW w:w="1701" w:type="dxa"/>
            <w:noWrap/>
            <w:hideMark/>
          </w:tcPr>
          <w:p w14:paraId="1493C8F1" w14:textId="77777777" w:rsidR="007F1FE2" w:rsidRPr="00EA2350" w:rsidRDefault="007F1FE2" w:rsidP="00FC2E7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c>
          <w:tcPr>
            <w:tcW w:w="7513" w:type="dxa"/>
            <w:gridSpan w:val="2"/>
            <w:noWrap/>
            <w:hideMark/>
          </w:tcPr>
          <w:p w14:paraId="049093EE"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 xml:space="preserve">Silane, </w:t>
            </w:r>
            <w:proofErr w:type="spellStart"/>
            <w:r w:rsidRPr="00EA2350">
              <w:rPr>
                <w:rFonts w:ascii="Calibri" w:eastAsia="Times New Roman" w:hAnsi="Calibri" w:cs="Calibri"/>
                <w:color w:val="000000"/>
                <w:lang w:val="en-US"/>
              </w:rPr>
              <w:t>dichlorodimethyl</w:t>
            </w:r>
            <w:proofErr w:type="spellEnd"/>
            <w:r w:rsidRPr="00EA2350">
              <w:rPr>
                <w:rFonts w:ascii="Calibri" w:eastAsia="Times New Roman" w:hAnsi="Calibri" w:cs="Calibri"/>
                <w:color w:val="000000"/>
                <w:lang w:val="en-US"/>
              </w:rPr>
              <w:t>-, reaction products with silica</w:t>
            </w:r>
          </w:p>
        </w:tc>
        <w:tc>
          <w:tcPr>
            <w:tcW w:w="1559" w:type="dxa"/>
            <w:noWrap/>
            <w:hideMark/>
          </w:tcPr>
          <w:p w14:paraId="3987C4CA" w14:textId="77777777" w:rsidR="007F1FE2" w:rsidRPr="00EA2350" w:rsidRDefault="007F1FE2" w:rsidP="00FC2E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1</w:t>
            </w:r>
          </w:p>
        </w:tc>
      </w:tr>
      <w:tr w:rsidR="007F1FE2" w:rsidRPr="00EA2350" w14:paraId="62F893BF" w14:textId="77777777" w:rsidTr="00FC2E7F">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00568989"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68909-20-6</w:t>
            </w:r>
          </w:p>
        </w:tc>
        <w:tc>
          <w:tcPr>
            <w:tcW w:w="1701" w:type="dxa"/>
            <w:noWrap/>
            <w:hideMark/>
          </w:tcPr>
          <w:p w14:paraId="12E6F3E3" w14:textId="77777777" w:rsidR="007F1FE2" w:rsidRPr="00EA2350" w:rsidRDefault="007F1FE2" w:rsidP="00FC2E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272-697-1</w:t>
            </w:r>
          </w:p>
        </w:tc>
        <w:tc>
          <w:tcPr>
            <w:tcW w:w="5954" w:type="dxa"/>
            <w:noWrap/>
            <w:hideMark/>
          </w:tcPr>
          <w:p w14:paraId="4126F7E6"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proofErr w:type="spellStart"/>
            <w:r w:rsidRPr="00EA2350">
              <w:rPr>
                <w:rFonts w:ascii="Calibri" w:eastAsia="Times New Roman" w:hAnsi="Calibri" w:cs="Calibri"/>
                <w:color w:val="000000"/>
                <w:lang w:val="en-US"/>
              </w:rPr>
              <w:t>Silanamine</w:t>
            </w:r>
            <w:proofErr w:type="spellEnd"/>
            <w:r w:rsidRPr="00EA2350">
              <w:rPr>
                <w:rFonts w:ascii="Calibri" w:eastAsia="Times New Roman" w:hAnsi="Calibri" w:cs="Calibri"/>
                <w:color w:val="000000"/>
                <w:lang w:val="en-US"/>
              </w:rPr>
              <w:t>, 1,1,1-trimethyl-N-(trimethylsilyl)-, hydrolysis products with silica</w:t>
            </w:r>
          </w:p>
        </w:tc>
        <w:tc>
          <w:tcPr>
            <w:tcW w:w="1559" w:type="dxa"/>
            <w:noWrap/>
            <w:hideMark/>
          </w:tcPr>
          <w:p w14:paraId="0F010FC0"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1-10t</w:t>
            </w:r>
          </w:p>
        </w:tc>
        <w:tc>
          <w:tcPr>
            <w:tcW w:w="1559" w:type="dxa"/>
            <w:noWrap/>
            <w:hideMark/>
          </w:tcPr>
          <w:p w14:paraId="36C5F298"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p>
        </w:tc>
      </w:tr>
      <w:tr w:rsidR="007F1FE2" w:rsidRPr="00EA2350" w14:paraId="42932ED5" w14:textId="77777777" w:rsidTr="00FC2E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7549011E"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68953-58-2</w:t>
            </w:r>
          </w:p>
        </w:tc>
        <w:tc>
          <w:tcPr>
            <w:tcW w:w="1701" w:type="dxa"/>
            <w:noWrap/>
            <w:hideMark/>
          </w:tcPr>
          <w:p w14:paraId="0CBCC9F9" w14:textId="77777777" w:rsidR="007F1FE2" w:rsidRPr="00EA2350" w:rsidRDefault="007F1FE2" w:rsidP="00FC2E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273-219-4</w:t>
            </w:r>
          </w:p>
        </w:tc>
        <w:tc>
          <w:tcPr>
            <w:tcW w:w="5954" w:type="dxa"/>
            <w:noWrap/>
            <w:hideMark/>
          </w:tcPr>
          <w:p w14:paraId="419D027D"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Quaternary ammonium compounds, bis(hydrogenated tallow alkyl)dimethyl, salts with bentonite</w:t>
            </w:r>
          </w:p>
        </w:tc>
        <w:tc>
          <w:tcPr>
            <w:tcW w:w="1559" w:type="dxa"/>
            <w:noWrap/>
            <w:hideMark/>
          </w:tcPr>
          <w:p w14:paraId="3F75559E"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136270EF" w14:textId="77777777" w:rsidR="007F1FE2" w:rsidRPr="00EA2350" w:rsidRDefault="007F1FE2" w:rsidP="00FC2E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7F1FE2" w:rsidRPr="00EA2350" w14:paraId="35C7E87E" w14:textId="77777777" w:rsidTr="00FC2E7F">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23786916"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71701-14-9</w:t>
            </w:r>
          </w:p>
        </w:tc>
        <w:tc>
          <w:tcPr>
            <w:tcW w:w="1701" w:type="dxa"/>
            <w:noWrap/>
            <w:hideMark/>
          </w:tcPr>
          <w:p w14:paraId="5D644450" w14:textId="77777777" w:rsidR="007F1FE2" w:rsidRPr="00EA2350" w:rsidRDefault="007F1FE2" w:rsidP="00FC2E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275-863-1</w:t>
            </w:r>
          </w:p>
        </w:tc>
        <w:tc>
          <w:tcPr>
            <w:tcW w:w="5954" w:type="dxa"/>
            <w:noWrap/>
            <w:hideMark/>
          </w:tcPr>
          <w:p w14:paraId="6A9D8A4D"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sodium bis[3-[[1-(3-chlorophenyl)-4,5-dihydro-3-methyl-5-oxo-1H-pyrazol-4-yl]azo]-4-hydroxy-N-methylbenzenesulphonamidato(2-)]cobaltate(1-)</w:t>
            </w:r>
          </w:p>
        </w:tc>
        <w:tc>
          <w:tcPr>
            <w:tcW w:w="1559" w:type="dxa"/>
            <w:noWrap/>
            <w:hideMark/>
          </w:tcPr>
          <w:p w14:paraId="38CF92A0"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0E38D81F" w14:textId="77777777" w:rsidR="007F1FE2" w:rsidRPr="00EA2350" w:rsidRDefault="007F1FE2" w:rsidP="00FC2E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7F1FE2" w:rsidRPr="00EA2350" w14:paraId="3CD2EBAA" w14:textId="77777777" w:rsidTr="00FC2E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512EEB56"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71701-15-0</w:t>
            </w:r>
          </w:p>
        </w:tc>
        <w:tc>
          <w:tcPr>
            <w:tcW w:w="1701" w:type="dxa"/>
            <w:noWrap/>
            <w:hideMark/>
          </w:tcPr>
          <w:p w14:paraId="1007199D" w14:textId="77777777" w:rsidR="007F1FE2" w:rsidRPr="00EA2350" w:rsidRDefault="007F1FE2" w:rsidP="00FC2E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275-864-7</w:t>
            </w:r>
          </w:p>
        </w:tc>
        <w:tc>
          <w:tcPr>
            <w:tcW w:w="5954" w:type="dxa"/>
            <w:noWrap/>
            <w:hideMark/>
          </w:tcPr>
          <w:p w14:paraId="7B6E4791"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hydrogen bis[2-[(4,5-dihydro-3-methyl-5-oxo-1-phenyl-1H-pyrazol-4-yl)azo]benzoato(2-)]chromate(1-), compound with 2-ethylhexylamine (1:1)</w:t>
            </w:r>
          </w:p>
        </w:tc>
        <w:tc>
          <w:tcPr>
            <w:tcW w:w="1559" w:type="dxa"/>
            <w:noWrap/>
            <w:hideMark/>
          </w:tcPr>
          <w:p w14:paraId="50BC73F8"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68B9D951" w14:textId="77777777" w:rsidR="007F1FE2" w:rsidRPr="00EA2350" w:rsidRDefault="007F1FE2" w:rsidP="00FC2E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7F1FE2" w:rsidRPr="00EA2350" w14:paraId="0F8041AF" w14:textId="77777777" w:rsidTr="00FC2E7F">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02A7C08A"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71735-61-0</w:t>
            </w:r>
          </w:p>
        </w:tc>
        <w:tc>
          <w:tcPr>
            <w:tcW w:w="1701" w:type="dxa"/>
            <w:noWrap/>
            <w:hideMark/>
          </w:tcPr>
          <w:p w14:paraId="78921132" w14:textId="77777777" w:rsidR="007F1FE2" w:rsidRPr="00EA2350" w:rsidRDefault="007F1FE2" w:rsidP="00FC2E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275-959-3</w:t>
            </w:r>
          </w:p>
        </w:tc>
        <w:tc>
          <w:tcPr>
            <w:tcW w:w="5954" w:type="dxa"/>
            <w:noWrap/>
            <w:hideMark/>
          </w:tcPr>
          <w:p w14:paraId="16AAABAC"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sodium bis[4-hydroxy-3-[(2-hydroxy-1-naphthyl)azo]-N-(3-methoxypropyl)benzenesulphonamidato(2-)]cobaltate(1-)sodium bis[4-hydroxy-3-[(2-hydroxy-1-naphthyl)azo]-N-(3-methoxypropyl)benzenesulphonamidato(2-)]cobaltate(1-)</w:t>
            </w:r>
          </w:p>
        </w:tc>
        <w:tc>
          <w:tcPr>
            <w:tcW w:w="1559" w:type="dxa"/>
            <w:noWrap/>
            <w:hideMark/>
          </w:tcPr>
          <w:p w14:paraId="2C889D4F"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10079F8B" w14:textId="77777777" w:rsidR="007F1FE2" w:rsidRPr="00EA2350" w:rsidRDefault="007F1FE2" w:rsidP="00FC2E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7F1FE2" w:rsidRPr="00EA2350" w14:paraId="2D949769" w14:textId="77777777" w:rsidTr="00FC2E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4664942A" w14:textId="77777777" w:rsidR="007F1FE2" w:rsidRPr="00EA2350" w:rsidRDefault="007F1FE2" w:rsidP="00FC2E7F">
            <w:pPr>
              <w:jc w:val="center"/>
              <w:rPr>
                <w:rFonts w:ascii="Calibri" w:eastAsia="Times New Roman" w:hAnsi="Calibri" w:cs="Calibri"/>
                <w:b/>
                <w:bCs/>
                <w:color w:val="000000"/>
                <w:sz w:val="22"/>
                <w:lang w:val="en-US"/>
              </w:rPr>
            </w:pPr>
          </w:p>
        </w:tc>
        <w:tc>
          <w:tcPr>
            <w:tcW w:w="1701" w:type="dxa"/>
            <w:noWrap/>
            <w:hideMark/>
          </w:tcPr>
          <w:p w14:paraId="1B94F4F0" w14:textId="77777777" w:rsidR="007F1FE2" w:rsidRPr="00EA2350" w:rsidRDefault="007F1FE2" w:rsidP="00FC2E7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3C856152"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SOLVENT RED 91</w:t>
            </w:r>
          </w:p>
        </w:tc>
        <w:tc>
          <w:tcPr>
            <w:tcW w:w="1559" w:type="dxa"/>
            <w:noWrap/>
            <w:hideMark/>
          </w:tcPr>
          <w:p w14:paraId="63F3613A"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0AE5D121"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r>
      <w:tr w:rsidR="007F1FE2" w:rsidRPr="00EA2350" w14:paraId="7D856FEE" w14:textId="77777777" w:rsidTr="00FC2E7F">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3881685E"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71888-93-2</w:t>
            </w:r>
          </w:p>
        </w:tc>
        <w:tc>
          <w:tcPr>
            <w:tcW w:w="1701" w:type="dxa"/>
            <w:noWrap/>
            <w:hideMark/>
          </w:tcPr>
          <w:p w14:paraId="578DB417" w14:textId="77777777" w:rsidR="007F1FE2" w:rsidRPr="00EA2350" w:rsidRDefault="007F1FE2" w:rsidP="00FC2E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276-160-2</w:t>
            </w:r>
          </w:p>
        </w:tc>
        <w:tc>
          <w:tcPr>
            <w:tcW w:w="5954" w:type="dxa"/>
            <w:noWrap/>
            <w:hideMark/>
          </w:tcPr>
          <w:p w14:paraId="7242BD4E"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proofErr w:type="spellStart"/>
            <w:r w:rsidRPr="00EA2350">
              <w:rPr>
                <w:rFonts w:ascii="Calibri" w:eastAsia="Times New Roman" w:hAnsi="Calibri" w:cs="Calibri"/>
                <w:color w:val="000000"/>
                <w:lang w:val="en-US"/>
              </w:rPr>
              <w:t>Xanthylium</w:t>
            </w:r>
            <w:proofErr w:type="spellEnd"/>
            <w:r w:rsidRPr="00EA2350">
              <w:rPr>
                <w:rFonts w:ascii="Calibri" w:eastAsia="Times New Roman" w:hAnsi="Calibri" w:cs="Calibri"/>
                <w:color w:val="000000"/>
                <w:lang w:val="en-US"/>
              </w:rPr>
              <w:t>, 9-(2-carboxyphenyl)-3,6-bis(diethylamino)-, 4-[(5-chloro-2-hydroxyphenyl)azo]-4,5-dihydro-3-methyl-1-phenyl-3H-pyrazol-3-one 4,5-dihydro-4-[(2-hydroxy-5-nitrophenyl)azo]-3-methyl-1-phenyl-3H-pyrazol-3-one 3-[[1-[[(2-ethylhexyl)amino]carbonyl]-</w:t>
            </w:r>
          </w:p>
        </w:tc>
        <w:tc>
          <w:tcPr>
            <w:tcW w:w="1559" w:type="dxa"/>
            <w:noWrap/>
            <w:hideMark/>
          </w:tcPr>
          <w:p w14:paraId="05654935"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19B63113" w14:textId="77777777" w:rsidR="007F1FE2" w:rsidRPr="00EA2350" w:rsidRDefault="007F1FE2" w:rsidP="00FC2E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7F1FE2" w:rsidRPr="00EA2350" w14:paraId="7E545515" w14:textId="77777777" w:rsidTr="00FC2E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0323E8FD"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72102-84-2</w:t>
            </w:r>
          </w:p>
        </w:tc>
        <w:tc>
          <w:tcPr>
            <w:tcW w:w="1701" w:type="dxa"/>
            <w:noWrap/>
            <w:hideMark/>
          </w:tcPr>
          <w:p w14:paraId="13ADD834" w14:textId="77777777" w:rsidR="007F1FE2" w:rsidRPr="00EA2350" w:rsidRDefault="007F1FE2" w:rsidP="00FC2E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276-344-2</w:t>
            </w:r>
          </w:p>
        </w:tc>
        <w:tc>
          <w:tcPr>
            <w:tcW w:w="5954" w:type="dxa"/>
            <w:noWrap/>
            <w:hideMark/>
          </w:tcPr>
          <w:p w14:paraId="0F4BEF67"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C.I. Pigment Orange 64</w:t>
            </w:r>
          </w:p>
        </w:tc>
        <w:tc>
          <w:tcPr>
            <w:tcW w:w="1559" w:type="dxa"/>
            <w:noWrap/>
            <w:hideMark/>
          </w:tcPr>
          <w:p w14:paraId="6F2C08D9"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0,1 - 1t</w:t>
            </w:r>
          </w:p>
        </w:tc>
        <w:tc>
          <w:tcPr>
            <w:tcW w:w="1559" w:type="dxa"/>
            <w:noWrap/>
            <w:hideMark/>
          </w:tcPr>
          <w:p w14:paraId="075C6326" w14:textId="77777777" w:rsidR="007F1FE2" w:rsidRPr="00EA2350" w:rsidRDefault="007F1FE2" w:rsidP="00FC2E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20120</w:t>
            </w:r>
          </w:p>
        </w:tc>
      </w:tr>
      <w:tr w:rsidR="007F1FE2" w:rsidRPr="00EA2350" w14:paraId="43EC2B30" w14:textId="77777777" w:rsidTr="00FC2E7F">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0451143F"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72428-99-0</w:t>
            </w:r>
          </w:p>
        </w:tc>
        <w:tc>
          <w:tcPr>
            <w:tcW w:w="1701" w:type="dxa"/>
            <w:noWrap/>
            <w:hideMark/>
          </w:tcPr>
          <w:p w14:paraId="3582740D" w14:textId="77777777" w:rsidR="007F1FE2" w:rsidRPr="00EA2350" w:rsidRDefault="007F1FE2" w:rsidP="00FC2E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276-657-4</w:t>
            </w:r>
          </w:p>
        </w:tc>
        <w:tc>
          <w:tcPr>
            <w:tcW w:w="5954" w:type="dxa"/>
            <w:noWrap/>
            <w:hideMark/>
          </w:tcPr>
          <w:p w14:paraId="68AAF548"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hydrogen [[[(2-ethylhexyl)amino]sulphonyl][[(3-methoxypropyl)amino]sulphonyl]-29H,31H-phthalocyaninesulphonato(3-)-N29,N30,N31,N32]cuprate(1-), compound with N,N'-</w:t>
            </w:r>
            <w:proofErr w:type="spellStart"/>
            <w:r w:rsidRPr="00EA2350">
              <w:rPr>
                <w:rFonts w:ascii="Calibri" w:eastAsia="Times New Roman" w:hAnsi="Calibri" w:cs="Calibri"/>
                <w:color w:val="000000"/>
                <w:lang w:val="en-US"/>
              </w:rPr>
              <w:t>di#o-tolyl#guanidine</w:t>
            </w:r>
            <w:proofErr w:type="spellEnd"/>
            <w:r w:rsidRPr="00EA2350">
              <w:rPr>
                <w:rFonts w:ascii="Calibri" w:eastAsia="Times New Roman" w:hAnsi="Calibri" w:cs="Calibri"/>
                <w:color w:val="000000"/>
                <w:lang w:val="en-US"/>
              </w:rPr>
              <w:t xml:space="preserve"> #1:1#</w:t>
            </w:r>
          </w:p>
        </w:tc>
        <w:tc>
          <w:tcPr>
            <w:tcW w:w="1559" w:type="dxa"/>
            <w:noWrap/>
            <w:hideMark/>
          </w:tcPr>
          <w:p w14:paraId="0190ADD7"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2669CD0D" w14:textId="77777777" w:rsidR="007F1FE2" w:rsidRPr="00EA2350" w:rsidRDefault="007F1FE2" w:rsidP="00FC2E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7F1FE2" w:rsidRPr="00EA2350" w14:paraId="53B90F22" w14:textId="77777777" w:rsidTr="00FC2E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5641B002" w14:textId="77777777" w:rsidR="007F1FE2" w:rsidRPr="00EA2350" w:rsidRDefault="007F1FE2" w:rsidP="00FC2E7F">
            <w:pPr>
              <w:jc w:val="center"/>
              <w:rPr>
                <w:rFonts w:ascii="Calibri" w:eastAsia="Times New Roman" w:hAnsi="Calibri" w:cs="Calibri"/>
                <w:b/>
                <w:bCs/>
                <w:color w:val="000000"/>
                <w:sz w:val="22"/>
                <w:lang w:val="en-US"/>
              </w:rPr>
            </w:pPr>
          </w:p>
        </w:tc>
        <w:tc>
          <w:tcPr>
            <w:tcW w:w="1701" w:type="dxa"/>
            <w:noWrap/>
            <w:hideMark/>
          </w:tcPr>
          <w:p w14:paraId="310A1D89" w14:textId="77777777" w:rsidR="007F1FE2" w:rsidRPr="00EA2350" w:rsidRDefault="007F1FE2" w:rsidP="00FC2E7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6C1BDE51"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SOLVENT BLUE 44</w:t>
            </w:r>
          </w:p>
        </w:tc>
        <w:tc>
          <w:tcPr>
            <w:tcW w:w="1559" w:type="dxa"/>
            <w:noWrap/>
            <w:hideMark/>
          </w:tcPr>
          <w:p w14:paraId="042CC98F"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453D1770"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r>
      <w:tr w:rsidR="007F1FE2" w:rsidRPr="00EA2350" w14:paraId="6E10DEB9" w14:textId="77777777" w:rsidTr="00FC2E7F">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7D867752"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72968-71-9</w:t>
            </w:r>
          </w:p>
        </w:tc>
        <w:tc>
          <w:tcPr>
            <w:tcW w:w="1701" w:type="dxa"/>
            <w:noWrap/>
            <w:hideMark/>
          </w:tcPr>
          <w:p w14:paraId="2A9C7B2D" w14:textId="77777777" w:rsidR="007F1FE2" w:rsidRPr="00EA2350" w:rsidRDefault="007F1FE2" w:rsidP="00FC2E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277-146-9</w:t>
            </w:r>
          </w:p>
        </w:tc>
        <w:tc>
          <w:tcPr>
            <w:tcW w:w="5954" w:type="dxa"/>
            <w:noWrap/>
            <w:hideMark/>
          </w:tcPr>
          <w:p w14:paraId="502E46E3"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methyl 4-cyano-5-[[5-cyano-2,6-bis[(3-methoxypropyl)amino]-4-methyl-3-pyridyl]azo]-3-methyl-2-thenoate</w:t>
            </w:r>
          </w:p>
        </w:tc>
        <w:tc>
          <w:tcPr>
            <w:tcW w:w="1559" w:type="dxa"/>
            <w:noWrap/>
            <w:hideMark/>
          </w:tcPr>
          <w:p w14:paraId="1A624EA1"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486F3A00" w14:textId="77777777" w:rsidR="007F1FE2" w:rsidRPr="00EA2350" w:rsidRDefault="007F1FE2" w:rsidP="00FC2E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7F1FE2" w:rsidRPr="00EA2350" w14:paraId="693D3C94" w14:textId="77777777" w:rsidTr="00FC2E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183D5F69"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74441-05-7</w:t>
            </w:r>
          </w:p>
        </w:tc>
        <w:tc>
          <w:tcPr>
            <w:tcW w:w="1701" w:type="dxa"/>
            <w:noWrap/>
            <w:hideMark/>
          </w:tcPr>
          <w:p w14:paraId="058210E5" w14:textId="77777777" w:rsidR="007F1FE2" w:rsidRPr="00EA2350" w:rsidRDefault="007F1FE2" w:rsidP="00FC2E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277-873-1</w:t>
            </w:r>
          </w:p>
        </w:tc>
        <w:tc>
          <w:tcPr>
            <w:tcW w:w="5954" w:type="dxa"/>
            <w:noWrap/>
            <w:hideMark/>
          </w:tcPr>
          <w:p w14:paraId="69CEDB2F"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N-[4-(aminocarbonyl)phenyl]-4-[[1-[[(2,3-dihydro-2-oxo-1H-benzimidazol-5-yl)amino]carbonyl]-2-oxopropyl]azo]benzamide</w:t>
            </w:r>
          </w:p>
        </w:tc>
        <w:tc>
          <w:tcPr>
            <w:tcW w:w="1559" w:type="dxa"/>
            <w:noWrap/>
            <w:hideMark/>
          </w:tcPr>
          <w:p w14:paraId="3FBB8A8B"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0,1 - 1t</w:t>
            </w:r>
          </w:p>
        </w:tc>
        <w:tc>
          <w:tcPr>
            <w:tcW w:w="1559" w:type="dxa"/>
            <w:noWrap/>
            <w:hideMark/>
          </w:tcPr>
          <w:p w14:paraId="18BEC2A0" w14:textId="77777777" w:rsidR="007F1FE2" w:rsidRPr="00EA2350" w:rsidRDefault="007F1FE2" w:rsidP="00FC2E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7F1FE2" w:rsidRPr="00EA2350" w14:paraId="0FF981BD" w14:textId="77777777" w:rsidTr="00FC2E7F">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6D49EC67" w14:textId="77777777" w:rsidR="007F1FE2" w:rsidRPr="00EA2350" w:rsidRDefault="007F1FE2" w:rsidP="00FC2E7F">
            <w:pPr>
              <w:jc w:val="center"/>
              <w:rPr>
                <w:rFonts w:ascii="Calibri" w:eastAsia="Times New Roman" w:hAnsi="Calibri" w:cs="Calibri"/>
                <w:b/>
                <w:bCs/>
                <w:color w:val="000000"/>
                <w:sz w:val="22"/>
                <w:lang w:val="en-US"/>
              </w:rPr>
            </w:pPr>
          </w:p>
        </w:tc>
        <w:tc>
          <w:tcPr>
            <w:tcW w:w="1701" w:type="dxa"/>
            <w:noWrap/>
            <w:hideMark/>
          </w:tcPr>
          <w:p w14:paraId="47FF282C" w14:textId="77777777" w:rsidR="007F1FE2" w:rsidRPr="00EA2350" w:rsidRDefault="007F1FE2" w:rsidP="00FC2E7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22B50A76"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C.I. Pigment Yellow 181</w:t>
            </w:r>
          </w:p>
        </w:tc>
        <w:tc>
          <w:tcPr>
            <w:tcW w:w="1559" w:type="dxa"/>
            <w:noWrap/>
            <w:hideMark/>
          </w:tcPr>
          <w:p w14:paraId="165F089E"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56DA4E45" w14:textId="77777777" w:rsidR="007F1FE2" w:rsidRPr="00EA2350" w:rsidRDefault="007F1FE2" w:rsidP="00FC2E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20120</w:t>
            </w:r>
          </w:p>
        </w:tc>
      </w:tr>
      <w:tr w:rsidR="007F1FE2" w:rsidRPr="00EA2350" w14:paraId="42BDEA3F" w14:textId="77777777" w:rsidTr="00FC2E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71F2ECE0"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77804-81-0</w:t>
            </w:r>
          </w:p>
        </w:tc>
        <w:tc>
          <w:tcPr>
            <w:tcW w:w="1701" w:type="dxa"/>
            <w:noWrap/>
            <w:hideMark/>
          </w:tcPr>
          <w:p w14:paraId="0F763694" w14:textId="77777777" w:rsidR="007F1FE2" w:rsidRPr="00EA2350" w:rsidRDefault="007F1FE2" w:rsidP="00FC2E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278-770-4</w:t>
            </w:r>
          </w:p>
        </w:tc>
        <w:tc>
          <w:tcPr>
            <w:tcW w:w="5954" w:type="dxa"/>
            <w:noWrap/>
            <w:hideMark/>
          </w:tcPr>
          <w:p w14:paraId="45188024"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2,2'-[ethylenebis(oxyphenyl-2,1-eneazo)]bis[N-(2,3-dihydro-2-oxo-1H-benzimidazol-5-yl)-3-oxobutyramide</w:t>
            </w:r>
          </w:p>
        </w:tc>
        <w:tc>
          <w:tcPr>
            <w:tcW w:w="1559" w:type="dxa"/>
            <w:noWrap/>
            <w:hideMark/>
          </w:tcPr>
          <w:p w14:paraId="57F8BDA4"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7C90313D" w14:textId="77777777" w:rsidR="007F1FE2" w:rsidRPr="00EA2350" w:rsidRDefault="007F1FE2" w:rsidP="00FC2E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7F1FE2" w:rsidRPr="00EA2350" w14:paraId="475F458B" w14:textId="77777777" w:rsidTr="00FC2E7F">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0AD03ABF" w14:textId="77777777" w:rsidR="007F1FE2" w:rsidRPr="00EA2350" w:rsidRDefault="007F1FE2" w:rsidP="00FC2E7F">
            <w:pPr>
              <w:jc w:val="center"/>
              <w:rPr>
                <w:rFonts w:ascii="Calibri" w:eastAsia="Times New Roman" w:hAnsi="Calibri" w:cs="Calibri"/>
                <w:b/>
                <w:bCs/>
                <w:color w:val="000000"/>
                <w:sz w:val="22"/>
                <w:lang w:val="en-US"/>
              </w:rPr>
            </w:pPr>
          </w:p>
        </w:tc>
        <w:tc>
          <w:tcPr>
            <w:tcW w:w="1701" w:type="dxa"/>
            <w:noWrap/>
            <w:hideMark/>
          </w:tcPr>
          <w:p w14:paraId="716A6C47" w14:textId="77777777" w:rsidR="007F1FE2" w:rsidRPr="00EA2350" w:rsidRDefault="007F1FE2" w:rsidP="00FC2E7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1AC8D728"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Pigment Yellow 180</w:t>
            </w:r>
          </w:p>
        </w:tc>
        <w:tc>
          <w:tcPr>
            <w:tcW w:w="1559" w:type="dxa"/>
            <w:noWrap/>
            <w:hideMark/>
          </w:tcPr>
          <w:p w14:paraId="25F2DAA5"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70BABFDC"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r>
      <w:tr w:rsidR="007F1FE2" w:rsidRPr="00EA2350" w14:paraId="46DB04CB" w14:textId="77777777" w:rsidTr="00FC2E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2CFBD19E"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79953-85-8</w:t>
            </w:r>
          </w:p>
        </w:tc>
        <w:tc>
          <w:tcPr>
            <w:tcW w:w="1701" w:type="dxa"/>
            <w:noWrap/>
            <w:hideMark/>
          </w:tcPr>
          <w:p w14:paraId="53A5785C" w14:textId="77777777" w:rsidR="007F1FE2" w:rsidRPr="00EA2350" w:rsidRDefault="007F1FE2" w:rsidP="00FC2E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279-356-6</w:t>
            </w:r>
          </w:p>
        </w:tc>
        <w:tc>
          <w:tcPr>
            <w:tcW w:w="5954" w:type="dxa"/>
            <w:noWrap/>
            <w:hideMark/>
          </w:tcPr>
          <w:p w14:paraId="0E0732B9"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Pigment Yellow 128</w:t>
            </w:r>
          </w:p>
        </w:tc>
        <w:tc>
          <w:tcPr>
            <w:tcW w:w="1559" w:type="dxa"/>
            <w:noWrap/>
            <w:hideMark/>
          </w:tcPr>
          <w:p w14:paraId="453199C1"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0,1 - 1t</w:t>
            </w:r>
          </w:p>
        </w:tc>
        <w:tc>
          <w:tcPr>
            <w:tcW w:w="1559" w:type="dxa"/>
            <w:noWrap/>
            <w:hideMark/>
          </w:tcPr>
          <w:p w14:paraId="1AE463F2" w14:textId="77777777" w:rsidR="007F1FE2" w:rsidRPr="00EA2350" w:rsidRDefault="007F1FE2" w:rsidP="00FC2E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203</w:t>
            </w:r>
          </w:p>
        </w:tc>
      </w:tr>
      <w:tr w:rsidR="007F1FE2" w:rsidRPr="00EA2350" w14:paraId="4415FE32" w14:textId="77777777" w:rsidTr="00FC2E7F">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5B53BD55"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82199-12-0</w:t>
            </w:r>
          </w:p>
        </w:tc>
        <w:tc>
          <w:tcPr>
            <w:tcW w:w="1701" w:type="dxa"/>
            <w:noWrap/>
            <w:hideMark/>
          </w:tcPr>
          <w:p w14:paraId="36933AB3" w14:textId="77777777" w:rsidR="007F1FE2" w:rsidRPr="00EA2350" w:rsidRDefault="007F1FE2" w:rsidP="00FC2E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279-914-9</w:t>
            </w:r>
          </w:p>
        </w:tc>
        <w:tc>
          <w:tcPr>
            <w:tcW w:w="5954" w:type="dxa"/>
            <w:noWrap/>
            <w:hideMark/>
          </w:tcPr>
          <w:p w14:paraId="493FB02E"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C.I. Pigment Yellow 194</w:t>
            </w:r>
          </w:p>
        </w:tc>
        <w:tc>
          <w:tcPr>
            <w:tcW w:w="1559" w:type="dxa"/>
            <w:noWrap/>
            <w:hideMark/>
          </w:tcPr>
          <w:p w14:paraId="2B56B5AB"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38843C9C" w14:textId="77777777" w:rsidR="007F1FE2" w:rsidRPr="00EA2350" w:rsidRDefault="007F1FE2" w:rsidP="00FC2E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20120</w:t>
            </w:r>
          </w:p>
        </w:tc>
      </w:tr>
      <w:tr w:rsidR="007F1FE2" w:rsidRPr="00EA2350" w14:paraId="1F53C9E5" w14:textId="77777777" w:rsidTr="00FC2E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1AC58F9F"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84632-50-8</w:t>
            </w:r>
          </w:p>
        </w:tc>
        <w:tc>
          <w:tcPr>
            <w:tcW w:w="1701" w:type="dxa"/>
            <w:noWrap/>
            <w:hideMark/>
          </w:tcPr>
          <w:p w14:paraId="282376DE" w14:textId="77777777" w:rsidR="007F1FE2" w:rsidRPr="00EA2350" w:rsidRDefault="007F1FE2" w:rsidP="00FC2E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617-600-9</w:t>
            </w:r>
          </w:p>
        </w:tc>
        <w:tc>
          <w:tcPr>
            <w:tcW w:w="5954" w:type="dxa"/>
            <w:noWrap/>
            <w:hideMark/>
          </w:tcPr>
          <w:p w14:paraId="7393EDA6"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Benzonitrile,3,3'-(2,3,5,6-tetrahydro-3,6-dioxopyrrolo[3,4-c]pyrrole-1,4-diyl)bis-</w:t>
            </w:r>
          </w:p>
        </w:tc>
        <w:tc>
          <w:tcPr>
            <w:tcW w:w="1559" w:type="dxa"/>
            <w:noWrap/>
            <w:hideMark/>
          </w:tcPr>
          <w:p w14:paraId="0D10F2B1"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5E3B2DAA" w14:textId="77777777" w:rsidR="007F1FE2" w:rsidRPr="00EA2350" w:rsidRDefault="007F1FE2" w:rsidP="00FC2E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20590</w:t>
            </w:r>
          </w:p>
        </w:tc>
      </w:tr>
      <w:tr w:rsidR="007F1FE2" w:rsidRPr="00EA2350" w14:paraId="4B69AF94" w14:textId="77777777" w:rsidTr="00FC2E7F">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6C7528AF"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84632-65-5</w:t>
            </w:r>
          </w:p>
        </w:tc>
        <w:tc>
          <w:tcPr>
            <w:tcW w:w="1701" w:type="dxa"/>
            <w:noWrap/>
            <w:hideMark/>
          </w:tcPr>
          <w:p w14:paraId="65A6C140" w14:textId="77777777" w:rsidR="007F1FE2" w:rsidRPr="00EA2350" w:rsidRDefault="007F1FE2" w:rsidP="00FC2E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401-540-3</w:t>
            </w:r>
          </w:p>
        </w:tc>
        <w:tc>
          <w:tcPr>
            <w:tcW w:w="5954" w:type="dxa"/>
            <w:noWrap/>
            <w:hideMark/>
          </w:tcPr>
          <w:p w14:paraId="4950A1DF"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3,6-Bis(4-chlorophenyl)-1H,2H,4H,5H-pyrrolo(3,4-C)pyrrole-1,4-dione</w:t>
            </w:r>
          </w:p>
        </w:tc>
        <w:tc>
          <w:tcPr>
            <w:tcW w:w="1559" w:type="dxa"/>
            <w:noWrap/>
            <w:hideMark/>
          </w:tcPr>
          <w:p w14:paraId="355EB7E3"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0,1 - 1t</w:t>
            </w:r>
          </w:p>
        </w:tc>
        <w:tc>
          <w:tcPr>
            <w:tcW w:w="1559" w:type="dxa"/>
            <w:noWrap/>
            <w:hideMark/>
          </w:tcPr>
          <w:p w14:paraId="0DC14B12" w14:textId="77777777" w:rsidR="007F1FE2" w:rsidRPr="00EA2350" w:rsidRDefault="007F1FE2" w:rsidP="00FC2E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20590</w:t>
            </w:r>
          </w:p>
        </w:tc>
      </w:tr>
      <w:tr w:rsidR="007F1FE2" w:rsidRPr="00EA2350" w14:paraId="02FFA54F" w14:textId="77777777" w:rsidTr="00FC2E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3081A9E4" w14:textId="77777777" w:rsidR="007F1FE2" w:rsidRPr="00EA2350" w:rsidRDefault="007F1FE2" w:rsidP="00FC2E7F">
            <w:pPr>
              <w:jc w:val="center"/>
              <w:rPr>
                <w:rFonts w:ascii="Calibri" w:eastAsia="Times New Roman" w:hAnsi="Calibri" w:cs="Calibri"/>
                <w:b/>
                <w:bCs/>
                <w:color w:val="000000"/>
                <w:sz w:val="22"/>
                <w:lang w:val="en-US"/>
              </w:rPr>
            </w:pPr>
          </w:p>
        </w:tc>
        <w:tc>
          <w:tcPr>
            <w:tcW w:w="1701" w:type="dxa"/>
            <w:noWrap/>
            <w:hideMark/>
          </w:tcPr>
          <w:p w14:paraId="795F6398" w14:textId="77777777" w:rsidR="007F1FE2" w:rsidRPr="00EA2350" w:rsidRDefault="007F1FE2" w:rsidP="00FC2E7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5B7CC144"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Pigment Red 254</w:t>
            </w:r>
          </w:p>
        </w:tc>
        <w:tc>
          <w:tcPr>
            <w:tcW w:w="1559" w:type="dxa"/>
            <w:noWrap/>
            <w:hideMark/>
          </w:tcPr>
          <w:p w14:paraId="5C0F4211"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50666363" w14:textId="77777777" w:rsidR="007F1FE2" w:rsidRPr="00EA2350" w:rsidRDefault="007F1FE2" w:rsidP="00FC2E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7F1FE2" w:rsidRPr="00EA2350" w14:paraId="563CE923" w14:textId="77777777" w:rsidTr="00FC2E7F">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24758119"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85085-18-3</w:t>
            </w:r>
          </w:p>
        </w:tc>
        <w:tc>
          <w:tcPr>
            <w:tcW w:w="1701" w:type="dxa"/>
            <w:noWrap/>
            <w:hideMark/>
          </w:tcPr>
          <w:p w14:paraId="4AE654CE" w14:textId="77777777" w:rsidR="007F1FE2" w:rsidRPr="00EA2350" w:rsidRDefault="007F1FE2" w:rsidP="00FC2E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285-349-9</w:t>
            </w:r>
          </w:p>
        </w:tc>
        <w:tc>
          <w:tcPr>
            <w:tcW w:w="5954" w:type="dxa"/>
            <w:noWrap/>
            <w:hideMark/>
          </w:tcPr>
          <w:p w14:paraId="01504093"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Silicate(2-), hexafluoro-, disodium, reaction products with lithium magnesium sodium silicate</w:t>
            </w:r>
          </w:p>
        </w:tc>
        <w:tc>
          <w:tcPr>
            <w:tcW w:w="1559" w:type="dxa"/>
            <w:noWrap/>
            <w:hideMark/>
          </w:tcPr>
          <w:p w14:paraId="7ECA03CB"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1-10t</w:t>
            </w:r>
          </w:p>
        </w:tc>
        <w:tc>
          <w:tcPr>
            <w:tcW w:w="1559" w:type="dxa"/>
            <w:noWrap/>
            <w:hideMark/>
          </w:tcPr>
          <w:p w14:paraId="27006C06" w14:textId="77777777" w:rsidR="007F1FE2" w:rsidRPr="00EA2350" w:rsidRDefault="007F1FE2" w:rsidP="00FC2E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w:t>
            </w:r>
          </w:p>
        </w:tc>
      </w:tr>
      <w:tr w:rsidR="007F1FE2" w:rsidRPr="00EA2350" w14:paraId="6A03DE03" w14:textId="77777777" w:rsidTr="00FC2E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79C8BE13"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88949-33-1</w:t>
            </w:r>
          </w:p>
        </w:tc>
        <w:tc>
          <w:tcPr>
            <w:tcW w:w="1701" w:type="dxa"/>
            <w:noWrap/>
            <w:hideMark/>
          </w:tcPr>
          <w:p w14:paraId="2530E15B" w14:textId="77777777" w:rsidR="007F1FE2" w:rsidRPr="00EA2350" w:rsidRDefault="007F1FE2" w:rsidP="00FC2E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413-920-6</w:t>
            </w:r>
          </w:p>
        </w:tc>
        <w:tc>
          <w:tcPr>
            <w:tcW w:w="5954" w:type="dxa"/>
            <w:noWrap/>
            <w:hideMark/>
          </w:tcPr>
          <w:p w14:paraId="5F421CAD"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proofErr w:type="spellStart"/>
            <w:r w:rsidRPr="00EA2350">
              <w:rPr>
                <w:rFonts w:ascii="Calibri" w:eastAsia="Times New Roman" w:hAnsi="Calibri" w:cs="Calibri"/>
                <w:color w:val="000000"/>
                <w:lang w:val="en-US"/>
              </w:rPr>
              <w:t>Pyrrolo</w:t>
            </w:r>
            <w:proofErr w:type="spellEnd"/>
            <w:r w:rsidRPr="00EA2350">
              <w:rPr>
                <w:rFonts w:ascii="Calibri" w:eastAsia="Times New Roman" w:hAnsi="Calibri" w:cs="Calibri"/>
                <w:color w:val="000000"/>
                <w:lang w:val="en-US"/>
              </w:rPr>
              <w:t>[3,4-c]pyrrole-1,4-dione, 3,6-bis([1,1'-biphenyl]-4-yl)-2,5-dihydro-</w:t>
            </w:r>
          </w:p>
        </w:tc>
        <w:tc>
          <w:tcPr>
            <w:tcW w:w="1559" w:type="dxa"/>
            <w:noWrap/>
            <w:hideMark/>
          </w:tcPr>
          <w:p w14:paraId="0652F0AB"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36E77F1A" w14:textId="77777777" w:rsidR="007F1FE2" w:rsidRPr="00EA2350" w:rsidRDefault="007F1FE2" w:rsidP="00FC2E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7F1FE2" w:rsidRPr="00EA2350" w14:paraId="025DA893" w14:textId="77777777" w:rsidTr="00FC2E7F">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31690390" w14:textId="77777777" w:rsidR="007F1FE2" w:rsidRPr="00EA2350" w:rsidRDefault="007F1FE2" w:rsidP="00FC2E7F">
            <w:pPr>
              <w:jc w:val="center"/>
              <w:rPr>
                <w:rFonts w:ascii="Calibri" w:eastAsia="Times New Roman" w:hAnsi="Calibri" w:cs="Calibri"/>
                <w:b/>
                <w:bCs/>
                <w:color w:val="000000"/>
                <w:sz w:val="22"/>
                <w:lang w:val="en-US"/>
              </w:rPr>
            </w:pPr>
          </w:p>
        </w:tc>
        <w:tc>
          <w:tcPr>
            <w:tcW w:w="1701" w:type="dxa"/>
            <w:noWrap/>
            <w:hideMark/>
          </w:tcPr>
          <w:p w14:paraId="24BA896D" w14:textId="77777777" w:rsidR="007F1FE2" w:rsidRPr="00EA2350" w:rsidRDefault="007F1FE2" w:rsidP="00FC2E7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2336D378"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Pigment Red 264</w:t>
            </w:r>
          </w:p>
        </w:tc>
        <w:tc>
          <w:tcPr>
            <w:tcW w:w="1559" w:type="dxa"/>
            <w:noWrap/>
            <w:hideMark/>
          </w:tcPr>
          <w:p w14:paraId="095B7744"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14FB28EC"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r>
      <w:tr w:rsidR="007F1FE2" w:rsidRPr="00EA2350" w14:paraId="18A5CC4E" w14:textId="77777777" w:rsidTr="00FC2E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5E18C3C7"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99402-80-9</w:t>
            </w:r>
          </w:p>
        </w:tc>
        <w:tc>
          <w:tcPr>
            <w:tcW w:w="1701" w:type="dxa"/>
            <w:noWrap/>
            <w:hideMark/>
          </w:tcPr>
          <w:p w14:paraId="771B81DC" w14:textId="77777777" w:rsidR="007F1FE2" w:rsidRPr="00EA2350" w:rsidRDefault="007F1FE2" w:rsidP="00FC2E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619-430-0</w:t>
            </w:r>
          </w:p>
        </w:tc>
        <w:tc>
          <w:tcPr>
            <w:tcW w:w="5954" w:type="dxa"/>
            <w:noWrap/>
            <w:hideMark/>
          </w:tcPr>
          <w:p w14:paraId="7551BA39"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C.I. Pigment Red 184</w:t>
            </w:r>
          </w:p>
        </w:tc>
        <w:tc>
          <w:tcPr>
            <w:tcW w:w="1559" w:type="dxa"/>
            <w:noWrap/>
            <w:hideMark/>
          </w:tcPr>
          <w:p w14:paraId="5B620CB9"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10-100t</w:t>
            </w:r>
          </w:p>
        </w:tc>
        <w:tc>
          <w:tcPr>
            <w:tcW w:w="1559" w:type="dxa"/>
            <w:noWrap/>
            <w:hideMark/>
          </w:tcPr>
          <w:p w14:paraId="5B8F0453" w14:textId="77777777" w:rsidR="007F1FE2" w:rsidRPr="00EA2350" w:rsidRDefault="007F1FE2" w:rsidP="00FC2E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20120</w:t>
            </w:r>
          </w:p>
        </w:tc>
      </w:tr>
      <w:tr w:rsidR="007F1FE2" w:rsidRPr="00EA2350" w14:paraId="2FD253A1" w14:textId="77777777" w:rsidTr="00FC2E7F">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2B9B923F"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106276-78-2</w:t>
            </w:r>
          </w:p>
        </w:tc>
        <w:tc>
          <w:tcPr>
            <w:tcW w:w="1701" w:type="dxa"/>
            <w:noWrap/>
            <w:hideMark/>
          </w:tcPr>
          <w:p w14:paraId="0A46406C" w14:textId="77777777" w:rsidR="007F1FE2" w:rsidRPr="00EA2350" w:rsidRDefault="007F1FE2" w:rsidP="00FC2E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600-734-7</w:t>
            </w:r>
          </w:p>
        </w:tc>
        <w:tc>
          <w:tcPr>
            <w:tcW w:w="5954" w:type="dxa"/>
            <w:noWrap/>
            <w:hideMark/>
          </w:tcPr>
          <w:p w14:paraId="4422384A"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Pigment Orange 61</w:t>
            </w:r>
          </w:p>
        </w:tc>
        <w:tc>
          <w:tcPr>
            <w:tcW w:w="1559" w:type="dxa"/>
            <w:noWrap/>
            <w:hideMark/>
          </w:tcPr>
          <w:p w14:paraId="6FD64C8A"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0B434C49" w14:textId="77777777" w:rsidR="007F1FE2" w:rsidRPr="00EA2350" w:rsidRDefault="007F1FE2" w:rsidP="00FC2E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7F1FE2" w:rsidRPr="00EA2350" w14:paraId="1612209E" w14:textId="77777777" w:rsidTr="00FC2E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32DF096D"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106276-79-3</w:t>
            </w:r>
          </w:p>
        </w:tc>
        <w:tc>
          <w:tcPr>
            <w:tcW w:w="1701" w:type="dxa"/>
            <w:noWrap/>
            <w:hideMark/>
          </w:tcPr>
          <w:p w14:paraId="31796E72" w14:textId="77777777" w:rsidR="007F1FE2" w:rsidRPr="00EA2350" w:rsidRDefault="007F1FE2" w:rsidP="00FC2E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600-735-2</w:t>
            </w:r>
          </w:p>
        </w:tc>
        <w:tc>
          <w:tcPr>
            <w:tcW w:w="5954" w:type="dxa"/>
            <w:noWrap/>
            <w:hideMark/>
          </w:tcPr>
          <w:p w14:paraId="1A8EC8B5"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 xml:space="preserve">Mixture of </w:t>
            </w:r>
            <w:proofErr w:type="spellStart"/>
            <w:r w:rsidRPr="00EA2350">
              <w:rPr>
                <w:rFonts w:ascii="Calibri" w:eastAsia="Times New Roman" w:hAnsi="Calibri" w:cs="Calibri"/>
                <w:color w:val="000000"/>
                <w:lang w:val="en-US"/>
              </w:rPr>
              <w:t>octachloro</w:t>
            </w:r>
            <w:proofErr w:type="spellEnd"/>
            <w:r w:rsidRPr="00EA2350">
              <w:rPr>
                <w:rFonts w:ascii="Calibri" w:eastAsia="Times New Roman" w:hAnsi="Calibri" w:cs="Calibri"/>
                <w:color w:val="000000"/>
                <w:lang w:val="en-US"/>
              </w:rPr>
              <w:t>, monomethoxy-</w:t>
            </w:r>
            <w:proofErr w:type="spellStart"/>
            <w:r w:rsidRPr="00EA2350">
              <w:rPr>
                <w:rFonts w:ascii="Calibri" w:eastAsia="Times New Roman" w:hAnsi="Calibri" w:cs="Calibri"/>
                <w:color w:val="000000"/>
                <w:lang w:val="en-US"/>
              </w:rPr>
              <w:t>heptachloro</w:t>
            </w:r>
            <w:proofErr w:type="spellEnd"/>
            <w:r w:rsidRPr="00EA2350">
              <w:rPr>
                <w:rFonts w:ascii="Calibri" w:eastAsia="Times New Roman" w:hAnsi="Calibri" w:cs="Calibri"/>
                <w:color w:val="000000"/>
                <w:lang w:val="en-US"/>
              </w:rPr>
              <w:t xml:space="preserve"> and </w:t>
            </w:r>
            <w:proofErr w:type="spellStart"/>
            <w:r w:rsidRPr="00EA2350">
              <w:rPr>
                <w:rFonts w:ascii="Calibri" w:eastAsia="Times New Roman" w:hAnsi="Calibri" w:cs="Calibri"/>
                <w:color w:val="000000"/>
                <w:lang w:val="en-US"/>
              </w:rPr>
              <w:t>bismethoxy-hexachloro</w:t>
            </w:r>
            <w:proofErr w:type="spellEnd"/>
            <w:r w:rsidRPr="00EA2350">
              <w:rPr>
                <w:rFonts w:ascii="Calibri" w:eastAsia="Times New Roman" w:hAnsi="Calibri" w:cs="Calibri"/>
                <w:color w:val="000000"/>
                <w:lang w:val="en-US"/>
              </w:rPr>
              <w:t xml:space="preserve"> derivatives of 3,3'-[(2-methyl-1,3-phenylene)diimino]bis[2,3-dihydro-1H-isoindol-1-one]</w:t>
            </w:r>
          </w:p>
        </w:tc>
        <w:tc>
          <w:tcPr>
            <w:tcW w:w="1559" w:type="dxa"/>
            <w:noWrap/>
            <w:hideMark/>
          </w:tcPr>
          <w:p w14:paraId="72B6918E"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0,1 - 1t</w:t>
            </w:r>
          </w:p>
        </w:tc>
        <w:tc>
          <w:tcPr>
            <w:tcW w:w="1559" w:type="dxa"/>
            <w:noWrap/>
            <w:hideMark/>
          </w:tcPr>
          <w:p w14:paraId="60FAF191" w14:textId="77777777" w:rsidR="007F1FE2" w:rsidRPr="00EA2350" w:rsidRDefault="007F1FE2" w:rsidP="00FC2E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4675101</w:t>
            </w:r>
          </w:p>
        </w:tc>
      </w:tr>
      <w:tr w:rsidR="007F1FE2" w:rsidRPr="00EA2350" w14:paraId="636E8C6E" w14:textId="77777777" w:rsidTr="00FC2E7F">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507A182D"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106276-80-6</w:t>
            </w:r>
          </w:p>
        </w:tc>
        <w:tc>
          <w:tcPr>
            <w:tcW w:w="1701" w:type="dxa"/>
            <w:noWrap/>
            <w:hideMark/>
          </w:tcPr>
          <w:p w14:paraId="76FE5AD3" w14:textId="77777777" w:rsidR="007F1FE2" w:rsidRPr="00EA2350" w:rsidRDefault="007F1FE2" w:rsidP="00FC2E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600-736-8</w:t>
            </w:r>
          </w:p>
        </w:tc>
        <w:tc>
          <w:tcPr>
            <w:tcW w:w="5954" w:type="dxa"/>
            <w:noWrap/>
            <w:hideMark/>
          </w:tcPr>
          <w:p w14:paraId="16EF40BF"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Benzoic acid, 2,3,4,5-tetrachloro-6-cyano-, methyl ester, reaction products with p-phenylenediamine and sodium methoxide</w:t>
            </w:r>
          </w:p>
        </w:tc>
        <w:tc>
          <w:tcPr>
            <w:tcW w:w="1559" w:type="dxa"/>
            <w:noWrap/>
            <w:hideMark/>
          </w:tcPr>
          <w:p w14:paraId="7393AF08"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1-10t</w:t>
            </w:r>
          </w:p>
        </w:tc>
        <w:tc>
          <w:tcPr>
            <w:tcW w:w="1559" w:type="dxa"/>
            <w:noWrap/>
            <w:hideMark/>
          </w:tcPr>
          <w:p w14:paraId="03AEC956" w14:textId="77777777" w:rsidR="007F1FE2" w:rsidRPr="00EA2350" w:rsidRDefault="007F1FE2" w:rsidP="00FC2E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203</w:t>
            </w:r>
          </w:p>
        </w:tc>
      </w:tr>
      <w:tr w:rsidR="007F1FE2" w:rsidRPr="00EA2350" w14:paraId="32349DB5" w14:textId="77777777" w:rsidTr="00FC2E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230E4DE6" w14:textId="77777777" w:rsidR="007F1FE2" w:rsidRPr="00EA2350" w:rsidRDefault="007F1FE2" w:rsidP="00FC2E7F">
            <w:pPr>
              <w:jc w:val="center"/>
              <w:rPr>
                <w:rFonts w:ascii="Calibri" w:eastAsia="Times New Roman" w:hAnsi="Calibri" w:cs="Calibri"/>
                <w:b/>
                <w:bCs/>
                <w:color w:val="000000"/>
                <w:sz w:val="22"/>
                <w:lang w:val="en-US"/>
              </w:rPr>
            </w:pPr>
          </w:p>
        </w:tc>
        <w:tc>
          <w:tcPr>
            <w:tcW w:w="1701" w:type="dxa"/>
            <w:noWrap/>
            <w:hideMark/>
          </w:tcPr>
          <w:p w14:paraId="76CF46A5" w14:textId="77777777" w:rsidR="007F1FE2" w:rsidRPr="00EA2350" w:rsidRDefault="007F1FE2" w:rsidP="00FC2E7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08D61CD5"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PIGMENT YELLOW 110</w:t>
            </w:r>
          </w:p>
        </w:tc>
        <w:tc>
          <w:tcPr>
            <w:tcW w:w="1559" w:type="dxa"/>
            <w:noWrap/>
            <w:hideMark/>
          </w:tcPr>
          <w:p w14:paraId="191CD8A5"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02AFED70"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r>
      <w:tr w:rsidR="007F1FE2" w:rsidRPr="00EA2350" w14:paraId="0519913E" w14:textId="77777777" w:rsidTr="00FC2E7F">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2792EF31"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112926-00-8</w:t>
            </w:r>
          </w:p>
        </w:tc>
        <w:tc>
          <w:tcPr>
            <w:tcW w:w="1701" w:type="dxa"/>
            <w:noWrap/>
            <w:hideMark/>
          </w:tcPr>
          <w:p w14:paraId="4AEEEB63" w14:textId="77777777" w:rsidR="007F1FE2" w:rsidRPr="00EA2350" w:rsidRDefault="007F1FE2" w:rsidP="00FC2E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231-545-4</w:t>
            </w:r>
          </w:p>
        </w:tc>
        <w:tc>
          <w:tcPr>
            <w:tcW w:w="5954" w:type="dxa"/>
            <w:noWrap/>
            <w:hideMark/>
          </w:tcPr>
          <w:p w14:paraId="4AC924D5"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Amorphous silica</w:t>
            </w:r>
          </w:p>
        </w:tc>
        <w:tc>
          <w:tcPr>
            <w:tcW w:w="1559" w:type="dxa"/>
            <w:noWrap/>
            <w:hideMark/>
          </w:tcPr>
          <w:p w14:paraId="2196E07D"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&gt;1000t</w:t>
            </w:r>
          </w:p>
        </w:tc>
        <w:tc>
          <w:tcPr>
            <w:tcW w:w="1559" w:type="dxa"/>
            <w:noWrap/>
            <w:hideMark/>
          </w:tcPr>
          <w:p w14:paraId="342EDE79" w14:textId="77777777" w:rsidR="007F1FE2" w:rsidRPr="00EA2350" w:rsidRDefault="007F1FE2" w:rsidP="00FC2E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w:t>
            </w:r>
          </w:p>
        </w:tc>
      </w:tr>
      <w:tr w:rsidR="007F1FE2" w:rsidRPr="00EA2350" w14:paraId="5CDBB308" w14:textId="77777777" w:rsidTr="00FC2E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40E59D5D" w14:textId="77777777" w:rsidR="007F1FE2" w:rsidRPr="00EA2350" w:rsidRDefault="007F1FE2" w:rsidP="00FC2E7F">
            <w:pPr>
              <w:jc w:val="center"/>
              <w:rPr>
                <w:rFonts w:ascii="Calibri" w:eastAsia="Times New Roman" w:hAnsi="Calibri" w:cs="Calibri"/>
                <w:b/>
                <w:bCs/>
                <w:color w:val="000000"/>
                <w:sz w:val="22"/>
                <w:lang w:val="en-US"/>
              </w:rPr>
            </w:pPr>
          </w:p>
        </w:tc>
        <w:tc>
          <w:tcPr>
            <w:tcW w:w="1701" w:type="dxa"/>
            <w:noWrap/>
            <w:hideMark/>
          </w:tcPr>
          <w:p w14:paraId="43D2C836" w14:textId="77777777" w:rsidR="007F1FE2" w:rsidRPr="00EA2350" w:rsidRDefault="007F1FE2" w:rsidP="00FC2E7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085787C7"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Hydrated, Amorphous Silica</w:t>
            </w:r>
          </w:p>
        </w:tc>
        <w:tc>
          <w:tcPr>
            <w:tcW w:w="1559" w:type="dxa"/>
            <w:noWrap/>
            <w:hideMark/>
          </w:tcPr>
          <w:p w14:paraId="21008DB3"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2D48CC8B" w14:textId="77777777" w:rsidR="007F1FE2" w:rsidRPr="00EA2350" w:rsidRDefault="007F1FE2" w:rsidP="00FC2E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203</w:t>
            </w:r>
          </w:p>
        </w:tc>
      </w:tr>
      <w:tr w:rsidR="007F1FE2" w:rsidRPr="00EA2350" w14:paraId="78C0DB03" w14:textId="77777777" w:rsidTr="00FC2E7F">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73701F22" w14:textId="77777777" w:rsidR="007F1FE2" w:rsidRPr="00EA2350" w:rsidRDefault="007F1FE2" w:rsidP="00FC2E7F">
            <w:pPr>
              <w:jc w:val="center"/>
              <w:rPr>
                <w:rFonts w:ascii="Calibri" w:eastAsia="Times New Roman" w:hAnsi="Calibri" w:cs="Calibri"/>
                <w:b/>
                <w:bCs/>
                <w:color w:val="000000"/>
                <w:sz w:val="22"/>
                <w:lang w:val="en-US"/>
              </w:rPr>
            </w:pPr>
          </w:p>
        </w:tc>
        <w:tc>
          <w:tcPr>
            <w:tcW w:w="1701" w:type="dxa"/>
            <w:noWrap/>
            <w:hideMark/>
          </w:tcPr>
          <w:p w14:paraId="2F674467" w14:textId="77777777" w:rsidR="007F1FE2" w:rsidRPr="00EA2350" w:rsidRDefault="007F1FE2" w:rsidP="00FC2E7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27B7F05F"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Silicon Dioxide</w:t>
            </w:r>
          </w:p>
        </w:tc>
        <w:tc>
          <w:tcPr>
            <w:tcW w:w="1559" w:type="dxa"/>
            <w:noWrap/>
            <w:hideMark/>
          </w:tcPr>
          <w:p w14:paraId="568D34E4"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0232FA81" w14:textId="77777777" w:rsidR="007F1FE2" w:rsidRPr="00EA2350" w:rsidRDefault="007F1FE2" w:rsidP="00FC2E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20590</w:t>
            </w:r>
          </w:p>
        </w:tc>
      </w:tr>
      <w:tr w:rsidR="007F1FE2" w:rsidRPr="00EA2350" w14:paraId="33984E87" w14:textId="77777777" w:rsidTr="00FC2E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199EEC1E" w14:textId="77777777" w:rsidR="007F1FE2" w:rsidRPr="00EA2350" w:rsidRDefault="007F1FE2" w:rsidP="00FC2E7F">
            <w:pPr>
              <w:jc w:val="center"/>
              <w:rPr>
                <w:rFonts w:ascii="Calibri" w:eastAsia="Times New Roman" w:hAnsi="Calibri" w:cs="Calibri"/>
                <w:b/>
                <w:bCs/>
                <w:color w:val="000000"/>
                <w:sz w:val="22"/>
                <w:lang w:val="en-US"/>
              </w:rPr>
            </w:pPr>
          </w:p>
        </w:tc>
        <w:tc>
          <w:tcPr>
            <w:tcW w:w="1701" w:type="dxa"/>
            <w:noWrap/>
            <w:hideMark/>
          </w:tcPr>
          <w:p w14:paraId="00D50635" w14:textId="77777777" w:rsidR="007F1FE2" w:rsidRPr="00EA2350" w:rsidRDefault="007F1FE2" w:rsidP="00FC2E7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075BC16D"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Silicon dioxide (synthetic amorphous silica)</w:t>
            </w:r>
          </w:p>
        </w:tc>
        <w:tc>
          <w:tcPr>
            <w:tcW w:w="1559" w:type="dxa"/>
            <w:noWrap/>
            <w:hideMark/>
          </w:tcPr>
          <w:p w14:paraId="66181F7B"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467C8F75" w14:textId="77777777" w:rsidR="007F1FE2" w:rsidRPr="00EA2350" w:rsidRDefault="007F1FE2" w:rsidP="00FC2E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4333101</w:t>
            </w:r>
          </w:p>
        </w:tc>
      </w:tr>
      <w:tr w:rsidR="007F1FE2" w:rsidRPr="00EA2350" w14:paraId="39B46C60" w14:textId="77777777" w:rsidTr="00FC2E7F">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75094E68" w14:textId="77777777" w:rsidR="007F1FE2" w:rsidRPr="00EA2350" w:rsidRDefault="007F1FE2" w:rsidP="00FC2E7F">
            <w:pPr>
              <w:jc w:val="center"/>
              <w:rPr>
                <w:rFonts w:ascii="Calibri" w:eastAsia="Times New Roman" w:hAnsi="Calibri" w:cs="Calibri"/>
                <w:b/>
                <w:bCs/>
                <w:color w:val="000000"/>
                <w:sz w:val="22"/>
                <w:lang w:val="en-US"/>
              </w:rPr>
            </w:pPr>
          </w:p>
        </w:tc>
        <w:tc>
          <w:tcPr>
            <w:tcW w:w="1701" w:type="dxa"/>
            <w:noWrap/>
            <w:hideMark/>
          </w:tcPr>
          <w:p w14:paraId="0111E2EC" w14:textId="77777777" w:rsidR="007F1FE2" w:rsidRPr="00EA2350" w:rsidRDefault="007F1FE2" w:rsidP="00FC2E7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263B2405"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Silicon dioxide, chemically modified</w:t>
            </w:r>
          </w:p>
        </w:tc>
        <w:tc>
          <w:tcPr>
            <w:tcW w:w="1559" w:type="dxa"/>
            <w:noWrap/>
            <w:hideMark/>
          </w:tcPr>
          <w:p w14:paraId="45E194B5"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7A12AE44"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r>
      <w:tr w:rsidR="007F1FE2" w:rsidRPr="00EA2350" w14:paraId="5180602D" w14:textId="77777777" w:rsidTr="00FC2E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59AE7A83" w14:textId="77777777" w:rsidR="007F1FE2" w:rsidRPr="00EA2350" w:rsidRDefault="007F1FE2" w:rsidP="00FC2E7F">
            <w:pPr>
              <w:jc w:val="center"/>
              <w:rPr>
                <w:rFonts w:ascii="Times New Roman" w:eastAsia="Times New Roman" w:hAnsi="Times New Roman" w:cs="Times New Roman"/>
                <w:b/>
                <w:bCs/>
                <w:sz w:val="22"/>
                <w:lang w:val="en-US"/>
              </w:rPr>
            </w:pPr>
          </w:p>
        </w:tc>
        <w:tc>
          <w:tcPr>
            <w:tcW w:w="1701" w:type="dxa"/>
            <w:noWrap/>
            <w:hideMark/>
          </w:tcPr>
          <w:p w14:paraId="159ED30D" w14:textId="77777777" w:rsidR="007F1FE2" w:rsidRPr="00EA2350" w:rsidRDefault="007F1FE2" w:rsidP="00FC2E7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09135CF0"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Synthetic Amorphous Silica</w:t>
            </w:r>
          </w:p>
        </w:tc>
        <w:tc>
          <w:tcPr>
            <w:tcW w:w="1559" w:type="dxa"/>
            <w:noWrap/>
            <w:hideMark/>
          </w:tcPr>
          <w:p w14:paraId="46E1140A"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43CAADF5"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r>
      <w:tr w:rsidR="007F1FE2" w:rsidRPr="00EA2350" w14:paraId="0F25CA29" w14:textId="77777777" w:rsidTr="00FC2E7F">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44F685D3"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112926-00-8</w:t>
            </w:r>
          </w:p>
        </w:tc>
        <w:tc>
          <w:tcPr>
            <w:tcW w:w="1701" w:type="dxa"/>
            <w:noWrap/>
            <w:hideMark/>
          </w:tcPr>
          <w:p w14:paraId="4078C393" w14:textId="77777777" w:rsidR="007F1FE2" w:rsidRPr="00EA2350" w:rsidRDefault="007F1FE2" w:rsidP="00FC2E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601-214-2</w:t>
            </w:r>
          </w:p>
        </w:tc>
        <w:tc>
          <w:tcPr>
            <w:tcW w:w="5954" w:type="dxa"/>
            <w:noWrap/>
            <w:hideMark/>
          </w:tcPr>
          <w:p w14:paraId="73F3A2A9"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Silicon dioxide</w:t>
            </w:r>
          </w:p>
        </w:tc>
        <w:tc>
          <w:tcPr>
            <w:tcW w:w="1559" w:type="dxa"/>
            <w:noWrap/>
            <w:hideMark/>
          </w:tcPr>
          <w:p w14:paraId="64B41970"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&gt;1000t</w:t>
            </w:r>
          </w:p>
        </w:tc>
        <w:tc>
          <w:tcPr>
            <w:tcW w:w="1559" w:type="dxa"/>
            <w:noWrap/>
            <w:hideMark/>
          </w:tcPr>
          <w:p w14:paraId="6C40DB31" w14:textId="77777777" w:rsidR="007F1FE2" w:rsidRPr="00EA2350" w:rsidRDefault="007F1FE2" w:rsidP="00FC2E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w:t>
            </w:r>
          </w:p>
        </w:tc>
      </w:tr>
      <w:tr w:rsidR="007F1FE2" w:rsidRPr="00EA2350" w14:paraId="3853F1B1" w14:textId="77777777" w:rsidTr="00FC2E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37C934FA"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112945-52-5</w:t>
            </w:r>
          </w:p>
        </w:tc>
        <w:tc>
          <w:tcPr>
            <w:tcW w:w="1701" w:type="dxa"/>
            <w:noWrap/>
            <w:hideMark/>
          </w:tcPr>
          <w:p w14:paraId="3D02297F" w14:textId="77777777" w:rsidR="007F1FE2" w:rsidRPr="00EA2350" w:rsidRDefault="007F1FE2" w:rsidP="00FC2E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231-545-4</w:t>
            </w:r>
          </w:p>
        </w:tc>
        <w:tc>
          <w:tcPr>
            <w:tcW w:w="5954" w:type="dxa"/>
            <w:noWrap/>
            <w:hideMark/>
          </w:tcPr>
          <w:p w14:paraId="16FEBC57"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 xml:space="preserve">Hydrophilic fumed silica, amorphous </w:t>
            </w:r>
          </w:p>
        </w:tc>
        <w:tc>
          <w:tcPr>
            <w:tcW w:w="1559" w:type="dxa"/>
            <w:noWrap/>
            <w:hideMark/>
          </w:tcPr>
          <w:p w14:paraId="458C08DB"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&gt;1000t</w:t>
            </w:r>
          </w:p>
        </w:tc>
        <w:tc>
          <w:tcPr>
            <w:tcW w:w="1559" w:type="dxa"/>
            <w:noWrap/>
            <w:hideMark/>
          </w:tcPr>
          <w:p w14:paraId="283C9CB1" w14:textId="77777777" w:rsidR="007F1FE2" w:rsidRPr="00EA2350" w:rsidRDefault="007F1FE2" w:rsidP="00FC2E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4675101</w:t>
            </w:r>
          </w:p>
        </w:tc>
      </w:tr>
      <w:tr w:rsidR="007F1FE2" w:rsidRPr="00EA2350" w14:paraId="3CFC813D" w14:textId="77777777" w:rsidTr="00FC2E7F">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076BE068" w14:textId="77777777" w:rsidR="007F1FE2" w:rsidRPr="00EA2350" w:rsidRDefault="007F1FE2" w:rsidP="00FC2E7F">
            <w:pPr>
              <w:jc w:val="center"/>
              <w:rPr>
                <w:rFonts w:ascii="Calibri" w:eastAsia="Times New Roman" w:hAnsi="Calibri" w:cs="Calibri"/>
                <w:b/>
                <w:bCs/>
                <w:color w:val="000000"/>
                <w:sz w:val="22"/>
                <w:lang w:val="en-US"/>
              </w:rPr>
            </w:pPr>
          </w:p>
        </w:tc>
        <w:tc>
          <w:tcPr>
            <w:tcW w:w="1701" w:type="dxa"/>
            <w:noWrap/>
            <w:hideMark/>
          </w:tcPr>
          <w:p w14:paraId="508CA5BC" w14:textId="77777777" w:rsidR="007F1FE2" w:rsidRPr="00EA2350" w:rsidRDefault="007F1FE2" w:rsidP="00FC2E7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3EBF00BA"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Pyrogenic colloidal silica</w:t>
            </w:r>
          </w:p>
        </w:tc>
        <w:tc>
          <w:tcPr>
            <w:tcW w:w="1559" w:type="dxa"/>
            <w:noWrap/>
            <w:hideMark/>
          </w:tcPr>
          <w:p w14:paraId="408BBAD5"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4B8B605C" w14:textId="77777777" w:rsidR="007F1FE2" w:rsidRPr="00EA2350" w:rsidRDefault="007F1FE2" w:rsidP="00FC2E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20590</w:t>
            </w:r>
          </w:p>
        </w:tc>
      </w:tr>
      <w:tr w:rsidR="007F1FE2" w:rsidRPr="00EA2350" w14:paraId="65C1059E" w14:textId="77777777" w:rsidTr="00FC2E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3DF6D681" w14:textId="77777777" w:rsidR="007F1FE2" w:rsidRPr="00EA2350" w:rsidRDefault="007F1FE2" w:rsidP="00FC2E7F">
            <w:pPr>
              <w:jc w:val="center"/>
              <w:rPr>
                <w:rFonts w:ascii="Calibri" w:eastAsia="Times New Roman" w:hAnsi="Calibri" w:cs="Calibri"/>
                <w:b/>
                <w:bCs/>
                <w:color w:val="000000"/>
                <w:sz w:val="22"/>
                <w:lang w:val="en-US"/>
              </w:rPr>
            </w:pPr>
          </w:p>
        </w:tc>
        <w:tc>
          <w:tcPr>
            <w:tcW w:w="1701" w:type="dxa"/>
            <w:noWrap/>
            <w:hideMark/>
          </w:tcPr>
          <w:p w14:paraId="418FE86E" w14:textId="77777777" w:rsidR="007F1FE2" w:rsidRPr="00EA2350" w:rsidRDefault="007F1FE2" w:rsidP="00FC2E7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48D4AE6F"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 xml:space="preserve">Silica, amorphous, fumed, </w:t>
            </w:r>
            <w:proofErr w:type="spellStart"/>
            <w:r w:rsidRPr="00EA2350">
              <w:rPr>
                <w:rFonts w:ascii="Calibri" w:eastAsia="Times New Roman" w:hAnsi="Calibri" w:cs="Calibri"/>
                <w:color w:val="000000"/>
                <w:lang w:val="en-US"/>
              </w:rPr>
              <w:t>cryst</w:t>
            </w:r>
            <w:proofErr w:type="spellEnd"/>
            <w:r w:rsidRPr="00EA2350">
              <w:rPr>
                <w:rFonts w:ascii="Calibri" w:eastAsia="Times New Roman" w:hAnsi="Calibri" w:cs="Calibri"/>
                <w:color w:val="000000"/>
                <w:lang w:val="en-US"/>
              </w:rPr>
              <w:t xml:space="preserve">.-free </w:t>
            </w:r>
          </w:p>
        </w:tc>
        <w:tc>
          <w:tcPr>
            <w:tcW w:w="1559" w:type="dxa"/>
            <w:noWrap/>
            <w:hideMark/>
          </w:tcPr>
          <w:p w14:paraId="2234B670"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5B479F8F" w14:textId="77777777" w:rsidR="007F1FE2" w:rsidRPr="00EA2350" w:rsidRDefault="007F1FE2" w:rsidP="00FC2E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203</w:t>
            </w:r>
          </w:p>
        </w:tc>
      </w:tr>
      <w:tr w:rsidR="007F1FE2" w:rsidRPr="00EA2350" w14:paraId="5ACB6B50" w14:textId="77777777" w:rsidTr="00FC2E7F">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390161FB" w14:textId="77777777" w:rsidR="007F1FE2" w:rsidRPr="00EA2350" w:rsidRDefault="007F1FE2" w:rsidP="00FC2E7F">
            <w:pPr>
              <w:jc w:val="center"/>
              <w:rPr>
                <w:rFonts w:ascii="Calibri" w:eastAsia="Times New Roman" w:hAnsi="Calibri" w:cs="Calibri"/>
                <w:b/>
                <w:bCs/>
                <w:color w:val="000000"/>
                <w:sz w:val="22"/>
                <w:lang w:val="en-US"/>
              </w:rPr>
            </w:pPr>
          </w:p>
        </w:tc>
        <w:tc>
          <w:tcPr>
            <w:tcW w:w="1701" w:type="dxa"/>
            <w:noWrap/>
            <w:hideMark/>
          </w:tcPr>
          <w:p w14:paraId="05189D06" w14:textId="77777777" w:rsidR="007F1FE2" w:rsidRPr="00EA2350" w:rsidRDefault="007F1FE2" w:rsidP="00FC2E7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1C4CA38F"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Silicon dioxide</w:t>
            </w:r>
          </w:p>
        </w:tc>
        <w:tc>
          <w:tcPr>
            <w:tcW w:w="1559" w:type="dxa"/>
            <w:noWrap/>
            <w:hideMark/>
          </w:tcPr>
          <w:p w14:paraId="432B5727"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70BB4177" w14:textId="77777777" w:rsidR="007F1FE2" w:rsidRPr="00EA2350" w:rsidRDefault="007F1FE2" w:rsidP="00FC2E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w:t>
            </w:r>
          </w:p>
        </w:tc>
      </w:tr>
      <w:tr w:rsidR="007F1FE2" w:rsidRPr="00EA2350" w14:paraId="7FE9804D" w14:textId="77777777" w:rsidTr="00FC2E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48E0CA48"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205057-15-4</w:t>
            </w:r>
          </w:p>
        </w:tc>
        <w:tc>
          <w:tcPr>
            <w:tcW w:w="1701" w:type="dxa"/>
            <w:noWrap/>
            <w:hideMark/>
          </w:tcPr>
          <w:p w14:paraId="72BD0D69" w14:textId="77777777" w:rsidR="007F1FE2" w:rsidRPr="00EA2350" w:rsidRDefault="007F1FE2" w:rsidP="00FC2E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403-550-3</w:t>
            </w:r>
          </w:p>
        </w:tc>
        <w:tc>
          <w:tcPr>
            <w:tcW w:w="5954" w:type="dxa"/>
            <w:noWrap/>
            <w:hideMark/>
          </w:tcPr>
          <w:p w14:paraId="59B86C81"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 xml:space="preserve">(3-carboxy-1,1'-(1,2-dicyanovinylenebis(nitrilomethylidyne)-2,2'-dinaphtholato)nickel(II) </w:t>
            </w:r>
          </w:p>
        </w:tc>
        <w:tc>
          <w:tcPr>
            <w:tcW w:w="1559" w:type="dxa"/>
            <w:noWrap/>
            <w:hideMark/>
          </w:tcPr>
          <w:p w14:paraId="13277858"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6C407586" w14:textId="77777777" w:rsidR="007F1FE2" w:rsidRPr="00EA2350" w:rsidRDefault="007F1FE2" w:rsidP="00FC2E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7F1FE2" w:rsidRPr="00EA2350" w14:paraId="4183391C" w14:textId="77777777" w:rsidTr="00FC2E7F">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3BEBF618"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215247-95-3</w:t>
            </w:r>
          </w:p>
        </w:tc>
        <w:tc>
          <w:tcPr>
            <w:tcW w:w="1701" w:type="dxa"/>
            <w:noWrap/>
            <w:hideMark/>
          </w:tcPr>
          <w:p w14:paraId="664CD4C0" w14:textId="77777777" w:rsidR="007F1FE2" w:rsidRPr="00EA2350" w:rsidRDefault="007F1FE2" w:rsidP="00FC2E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606-790-9</w:t>
            </w:r>
          </w:p>
        </w:tc>
        <w:tc>
          <w:tcPr>
            <w:tcW w:w="5954" w:type="dxa"/>
            <w:noWrap/>
            <w:hideMark/>
          </w:tcPr>
          <w:p w14:paraId="2C8AC861"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C.I. Pigment Violet 23</w:t>
            </w:r>
          </w:p>
        </w:tc>
        <w:tc>
          <w:tcPr>
            <w:tcW w:w="1559" w:type="dxa"/>
            <w:noWrap/>
            <w:hideMark/>
          </w:tcPr>
          <w:p w14:paraId="63360A07"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2B2B91C0" w14:textId="77777777" w:rsidR="007F1FE2" w:rsidRPr="00EA2350" w:rsidRDefault="007F1FE2" w:rsidP="00FC2E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20120</w:t>
            </w:r>
          </w:p>
        </w:tc>
      </w:tr>
      <w:tr w:rsidR="007F1FE2" w:rsidRPr="00EA2350" w14:paraId="5D400AD5" w14:textId="77777777" w:rsidTr="00FC2E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6232B026"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253430-12-5</w:t>
            </w:r>
          </w:p>
        </w:tc>
        <w:tc>
          <w:tcPr>
            <w:tcW w:w="1701" w:type="dxa"/>
            <w:noWrap/>
            <w:hideMark/>
          </w:tcPr>
          <w:p w14:paraId="4D9C9EDC" w14:textId="77777777" w:rsidR="007F1FE2" w:rsidRPr="00EA2350" w:rsidRDefault="007F1FE2" w:rsidP="00FC2E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433-240-3</w:t>
            </w:r>
          </w:p>
        </w:tc>
        <w:tc>
          <w:tcPr>
            <w:tcW w:w="5954" w:type="dxa"/>
            <w:noWrap/>
            <w:hideMark/>
          </w:tcPr>
          <w:p w14:paraId="0C873DD5"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Benzamide, 3,3'-[(2-chloro-1,4-phenylene)bis[imino(1-acetyl-2-oxo-2,1-ethanediyl)azo]]bis[4-methyl-</w:t>
            </w:r>
          </w:p>
        </w:tc>
        <w:tc>
          <w:tcPr>
            <w:tcW w:w="1559" w:type="dxa"/>
            <w:noWrap/>
            <w:hideMark/>
          </w:tcPr>
          <w:p w14:paraId="3B5BDB09"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4DEECD1F" w14:textId="77777777" w:rsidR="007F1FE2" w:rsidRPr="00EA2350" w:rsidRDefault="007F1FE2" w:rsidP="00FC2E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20160</w:t>
            </w:r>
          </w:p>
        </w:tc>
      </w:tr>
      <w:tr w:rsidR="007F1FE2" w:rsidRPr="00EA2350" w14:paraId="13B959AE" w14:textId="77777777" w:rsidTr="00FC2E7F">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7CEC6EC8"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308068-56-6</w:t>
            </w:r>
          </w:p>
        </w:tc>
        <w:tc>
          <w:tcPr>
            <w:tcW w:w="1701" w:type="dxa"/>
            <w:noWrap/>
            <w:hideMark/>
          </w:tcPr>
          <w:p w14:paraId="1562F3F5" w14:textId="77777777" w:rsidR="007F1FE2" w:rsidRPr="00EA2350" w:rsidRDefault="007F1FE2" w:rsidP="00FC2E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943-098-9</w:t>
            </w:r>
          </w:p>
        </w:tc>
        <w:tc>
          <w:tcPr>
            <w:tcW w:w="5954" w:type="dxa"/>
            <w:noWrap/>
            <w:hideMark/>
          </w:tcPr>
          <w:p w14:paraId="1035B6E1"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carbon nanostructures</w:t>
            </w:r>
          </w:p>
        </w:tc>
        <w:tc>
          <w:tcPr>
            <w:tcW w:w="1559" w:type="dxa"/>
            <w:noWrap/>
            <w:hideMark/>
          </w:tcPr>
          <w:p w14:paraId="77B5840A"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&lt; 0,1t</w:t>
            </w:r>
          </w:p>
        </w:tc>
        <w:tc>
          <w:tcPr>
            <w:tcW w:w="1559" w:type="dxa"/>
            <w:noWrap/>
            <w:hideMark/>
          </w:tcPr>
          <w:p w14:paraId="09977D94" w14:textId="77777777" w:rsidR="007F1FE2" w:rsidRPr="00EA2350" w:rsidRDefault="007F1FE2" w:rsidP="00FC2E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82</w:t>
            </w:r>
          </w:p>
        </w:tc>
      </w:tr>
      <w:tr w:rsidR="007F1FE2" w:rsidRPr="00EA2350" w14:paraId="06B31BE7" w14:textId="77777777" w:rsidTr="00FC2E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48B2238E" w14:textId="77777777" w:rsidR="007F1FE2" w:rsidRPr="00EA2350" w:rsidRDefault="007F1FE2" w:rsidP="00FC2E7F">
            <w:pPr>
              <w:jc w:val="center"/>
              <w:rPr>
                <w:rFonts w:ascii="Calibri" w:eastAsia="Times New Roman" w:hAnsi="Calibri" w:cs="Calibri"/>
                <w:b/>
                <w:bCs/>
                <w:color w:val="000000"/>
                <w:sz w:val="22"/>
                <w:lang w:val="en-US"/>
              </w:rPr>
            </w:pPr>
          </w:p>
        </w:tc>
        <w:tc>
          <w:tcPr>
            <w:tcW w:w="1701" w:type="dxa"/>
            <w:noWrap/>
            <w:hideMark/>
          </w:tcPr>
          <w:p w14:paraId="750AD307" w14:textId="77777777" w:rsidR="007F1FE2" w:rsidRPr="00EA2350" w:rsidRDefault="007F1FE2" w:rsidP="00FC2E7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3B4EA895"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Single Wall Carbon Nanotubes</w:t>
            </w:r>
          </w:p>
        </w:tc>
        <w:tc>
          <w:tcPr>
            <w:tcW w:w="1559" w:type="dxa"/>
            <w:noWrap/>
            <w:hideMark/>
          </w:tcPr>
          <w:p w14:paraId="53A62B7A"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28DECEDF"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r>
      <w:tr w:rsidR="007F1FE2" w:rsidRPr="00EA2350" w14:paraId="28A79197" w14:textId="77777777" w:rsidTr="00FC2E7F">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20422D0F"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w:t>
            </w:r>
          </w:p>
        </w:tc>
        <w:tc>
          <w:tcPr>
            <w:tcW w:w="1701" w:type="dxa"/>
            <w:noWrap/>
            <w:hideMark/>
          </w:tcPr>
          <w:p w14:paraId="25C75E82" w14:textId="77777777" w:rsidR="007F1FE2" w:rsidRPr="00EA2350" w:rsidRDefault="007F1FE2" w:rsidP="00FC2E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939-379-0</w:t>
            </w:r>
          </w:p>
        </w:tc>
        <w:tc>
          <w:tcPr>
            <w:tcW w:w="7513" w:type="dxa"/>
            <w:gridSpan w:val="2"/>
            <w:noWrap/>
            <w:hideMark/>
          </w:tcPr>
          <w:p w14:paraId="6C8174B2"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Reaction mass of nickel, 5,5'-azobis-2,4,6(1H,3H,5H)-</w:t>
            </w:r>
            <w:proofErr w:type="spellStart"/>
            <w:r w:rsidRPr="00EA2350">
              <w:rPr>
                <w:rFonts w:ascii="Calibri" w:eastAsia="Times New Roman" w:hAnsi="Calibri" w:cs="Calibri"/>
                <w:color w:val="000000"/>
                <w:lang w:val="en-US"/>
              </w:rPr>
              <w:t>pyrimidinetrione</w:t>
            </w:r>
            <w:proofErr w:type="spellEnd"/>
            <w:r w:rsidRPr="00EA2350">
              <w:rPr>
                <w:rFonts w:ascii="Calibri" w:eastAsia="Times New Roman" w:hAnsi="Calibri" w:cs="Calibri"/>
                <w:color w:val="000000"/>
                <w:lang w:val="en-US"/>
              </w:rPr>
              <w:t xml:space="preserve"> complexes and melamine</w:t>
            </w:r>
          </w:p>
        </w:tc>
        <w:tc>
          <w:tcPr>
            <w:tcW w:w="1559" w:type="dxa"/>
            <w:noWrap/>
            <w:hideMark/>
          </w:tcPr>
          <w:p w14:paraId="3D66B7D7" w14:textId="77777777" w:rsidR="007F1FE2" w:rsidRPr="00EA2350" w:rsidRDefault="007F1FE2" w:rsidP="00FC2E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w:t>
            </w:r>
          </w:p>
        </w:tc>
      </w:tr>
      <w:tr w:rsidR="007F1FE2" w:rsidRPr="00EA2350" w14:paraId="2774F575" w14:textId="77777777" w:rsidTr="00FC2E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3F892991"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w:t>
            </w:r>
          </w:p>
        </w:tc>
        <w:tc>
          <w:tcPr>
            <w:tcW w:w="1701" w:type="dxa"/>
            <w:noWrap/>
            <w:hideMark/>
          </w:tcPr>
          <w:p w14:paraId="0C0C861B" w14:textId="77777777" w:rsidR="007F1FE2" w:rsidRPr="00EA2350" w:rsidRDefault="007F1FE2" w:rsidP="00FC2E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943-098-9</w:t>
            </w:r>
          </w:p>
        </w:tc>
        <w:tc>
          <w:tcPr>
            <w:tcW w:w="5954" w:type="dxa"/>
            <w:noWrap/>
            <w:hideMark/>
          </w:tcPr>
          <w:p w14:paraId="578178E6"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Single Wall Carbon Nanotubes</w:t>
            </w:r>
          </w:p>
        </w:tc>
        <w:tc>
          <w:tcPr>
            <w:tcW w:w="1559" w:type="dxa"/>
            <w:noWrap/>
            <w:hideMark/>
          </w:tcPr>
          <w:p w14:paraId="1D07E726"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533B5D3E"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r>
      <w:tr w:rsidR="007F1FE2" w:rsidRPr="00EA2350" w14:paraId="40463A00" w14:textId="77777777" w:rsidTr="00FC2E7F">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4CF94C7D"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w:t>
            </w:r>
          </w:p>
        </w:tc>
        <w:tc>
          <w:tcPr>
            <w:tcW w:w="1701" w:type="dxa"/>
            <w:noWrap/>
            <w:hideMark/>
          </w:tcPr>
          <w:p w14:paraId="12F84017" w14:textId="77777777" w:rsidR="007F1FE2" w:rsidRPr="00EA2350" w:rsidRDefault="007F1FE2" w:rsidP="00FC2E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w:t>
            </w:r>
          </w:p>
        </w:tc>
        <w:tc>
          <w:tcPr>
            <w:tcW w:w="7513" w:type="dxa"/>
            <w:gridSpan w:val="2"/>
            <w:noWrap/>
            <w:hideMark/>
          </w:tcPr>
          <w:p w14:paraId="58BF5C50"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Reaction mass of Stannic oxide, Zirconium oxide, Antimony pentoxide and Amorphous Silica.</w:t>
            </w:r>
          </w:p>
        </w:tc>
        <w:tc>
          <w:tcPr>
            <w:tcW w:w="1559" w:type="dxa"/>
            <w:noWrap/>
            <w:hideMark/>
          </w:tcPr>
          <w:p w14:paraId="40455E7A" w14:textId="77777777" w:rsidR="007F1FE2" w:rsidRPr="00EA2350" w:rsidRDefault="007F1FE2" w:rsidP="00FC2E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20130</w:t>
            </w:r>
          </w:p>
        </w:tc>
      </w:tr>
      <w:tr w:rsidR="007F1FE2" w:rsidRPr="00EA2350" w14:paraId="585246DF" w14:textId="77777777" w:rsidTr="00FC2E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612BD702"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w:t>
            </w:r>
          </w:p>
        </w:tc>
        <w:tc>
          <w:tcPr>
            <w:tcW w:w="1701" w:type="dxa"/>
            <w:noWrap/>
            <w:hideMark/>
          </w:tcPr>
          <w:p w14:paraId="69E44CBA" w14:textId="77777777" w:rsidR="007F1FE2" w:rsidRPr="00EA2350" w:rsidRDefault="007F1FE2" w:rsidP="00FC2E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w:t>
            </w:r>
          </w:p>
        </w:tc>
        <w:tc>
          <w:tcPr>
            <w:tcW w:w="5954" w:type="dxa"/>
            <w:noWrap/>
            <w:hideMark/>
          </w:tcPr>
          <w:p w14:paraId="76607613"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Cross-linked carbon nanostructures</w:t>
            </w:r>
          </w:p>
        </w:tc>
        <w:tc>
          <w:tcPr>
            <w:tcW w:w="1559" w:type="dxa"/>
            <w:noWrap/>
            <w:hideMark/>
          </w:tcPr>
          <w:p w14:paraId="6D9EB66E"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7CC979CA" w14:textId="77777777" w:rsidR="007F1FE2" w:rsidRPr="00EA2350" w:rsidRDefault="007F1FE2" w:rsidP="00FC2E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72</w:t>
            </w:r>
          </w:p>
        </w:tc>
      </w:tr>
      <w:tr w:rsidR="007F1FE2" w:rsidRPr="00EA2350" w14:paraId="3513FD22" w14:textId="77777777" w:rsidTr="00FC2E7F">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6775C907"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w:t>
            </w:r>
          </w:p>
        </w:tc>
        <w:tc>
          <w:tcPr>
            <w:tcW w:w="1701" w:type="dxa"/>
            <w:noWrap/>
            <w:hideMark/>
          </w:tcPr>
          <w:p w14:paraId="2CAE0097" w14:textId="77777777" w:rsidR="007F1FE2" w:rsidRPr="00EA2350" w:rsidRDefault="007F1FE2" w:rsidP="00FC2E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w:t>
            </w:r>
          </w:p>
        </w:tc>
        <w:tc>
          <w:tcPr>
            <w:tcW w:w="5954" w:type="dxa"/>
            <w:noWrap/>
            <w:hideMark/>
          </w:tcPr>
          <w:p w14:paraId="2A595BAD"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Hydrophobic silica</w:t>
            </w:r>
          </w:p>
        </w:tc>
        <w:tc>
          <w:tcPr>
            <w:tcW w:w="1559" w:type="dxa"/>
            <w:noWrap/>
            <w:hideMark/>
          </w:tcPr>
          <w:p w14:paraId="411EC5E1"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549A0DE5" w14:textId="77777777" w:rsidR="007F1FE2" w:rsidRPr="00EA2350" w:rsidRDefault="007F1FE2" w:rsidP="00FC2E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7490901</w:t>
            </w:r>
          </w:p>
        </w:tc>
      </w:tr>
      <w:tr w:rsidR="007F1FE2" w:rsidRPr="00EA2350" w14:paraId="6C5A40C4" w14:textId="77777777" w:rsidTr="00FC2E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5AE2CD41" w14:textId="77777777" w:rsidR="007F1FE2" w:rsidRPr="00EA2350" w:rsidRDefault="007F1FE2" w:rsidP="00FC2E7F">
            <w:pPr>
              <w:jc w:val="center"/>
              <w:rPr>
                <w:rFonts w:ascii="Calibri" w:eastAsia="Times New Roman" w:hAnsi="Calibri" w:cs="Calibri"/>
                <w:b/>
                <w:bCs/>
                <w:color w:val="000000"/>
                <w:sz w:val="22"/>
                <w:lang w:val="en-US"/>
              </w:rPr>
            </w:pPr>
          </w:p>
        </w:tc>
        <w:tc>
          <w:tcPr>
            <w:tcW w:w="1701" w:type="dxa"/>
            <w:noWrap/>
            <w:hideMark/>
          </w:tcPr>
          <w:p w14:paraId="49E91087" w14:textId="77777777" w:rsidR="007F1FE2" w:rsidRPr="00EA2350" w:rsidRDefault="007F1FE2" w:rsidP="00FC2E7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0D2BE3B0"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c>
          <w:tcPr>
            <w:tcW w:w="1559" w:type="dxa"/>
            <w:noWrap/>
            <w:hideMark/>
          </w:tcPr>
          <w:p w14:paraId="67CA85D7"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c>
          <w:tcPr>
            <w:tcW w:w="1559" w:type="dxa"/>
            <w:noWrap/>
            <w:hideMark/>
          </w:tcPr>
          <w:p w14:paraId="5F7D7E11"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r>
      <w:tr w:rsidR="007F1FE2" w:rsidRPr="00EA2350" w14:paraId="469036A9" w14:textId="77777777" w:rsidTr="00FC2E7F">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5D73A34D" w14:textId="77777777" w:rsidR="007F1FE2" w:rsidRPr="00EA2350" w:rsidRDefault="007F1FE2" w:rsidP="00FC2E7F">
            <w:pPr>
              <w:jc w:val="center"/>
              <w:rPr>
                <w:rFonts w:ascii="Times New Roman" w:eastAsia="Times New Roman" w:hAnsi="Times New Roman" w:cs="Times New Roman"/>
                <w:b/>
                <w:bCs/>
                <w:sz w:val="22"/>
                <w:lang w:val="en-US"/>
              </w:rPr>
            </w:pPr>
          </w:p>
        </w:tc>
        <w:tc>
          <w:tcPr>
            <w:tcW w:w="1701" w:type="dxa"/>
            <w:noWrap/>
            <w:hideMark/>
          </w:tcPr>
          <w:p w14:paraId="384CA3CE" w14:textId="77777777" w:rsidR="007F1FE2" w:rsidRPr="00EA2350" w:rsidRDefault="007F1FE2" w:rsidP="00FC2E7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6F34DFB6"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c>
          <w:tcPr>
            <w:tcW w:w="1559" w:type="dxa"/>
            <w:noWrap/>
            <w:hideMark/>
          </w:tcPr>
          <w:p w14:paraId="5A774D11"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c>
          <w:tcPr>
            <w:tcW w:w="1559" w:type="dxa"/>
            <w:noWrap/>
            <w:hideMark/>
          </w:tcPr>
          <w:p w14:paraId="2DD45A12"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r>
      <w:tr w:rsidR="007F1FE2" w:rsidRPr="00EA2350" w14:paraId="047E0572" w14:textId="77777777" w:rsidTr="00FC2E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258DCE3C"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w:t>
            </w:r>
          </w:p>
        </w:tc>
        <w:tc>
          <w:tcPr>
            <w:tcW w:w="1701" w:type="dxa"/>
            <w:noWrap/>
            <w:hideMark/>
          </w:tcPr>
          <w:p w14:paraId="4C2D894C" w14:textId="77777777" w:rsidR="007F1FE2" w:rsidRPr="00EA2350" w:rsidRDefault="007F1FE2" w:rsidP="00FC2E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w:t>
            </w:r>
          </w:p>
        </w:tc>
        <w:tc>
          <w:tcPr>
            <w:tcW w:w="7513" w:type="dxa"/>
            <w:gridSpan w:val="2"/>
            <w:noWrap/>
            <w:hideMark/>
          </w:tcPr>
          <w:p w14:paraId="09F8F69D"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C000"/>
                <w:lang w:val="en-US"/>
              </w:rPr>
            </w:pPr>
            <w:r w:rsidRPr="00EA2350">
              <w:rPr>
                <w:rFonts w:ascii="Calibri" w:eastAsia="Times New Roman" w:hAnsi="Calibri" w:cs="Calibri"/>
                <w:lang w:val="en-US"/>
              </w:rPr>
              <w:t>Oxirane 2-[[3-(</w:t>
            </w:r>
            <w:proofErr w:type="spellStart"/>
            <w:r w:rsidRPr="00EA2350">
              <w:rPr>
                <w:rFonts w:ascii="Calibri" w:eastAsia="Times New Roman" w:hAnsi="Calibri" w:cs="Calibri"/>
                <w:lang w:val="en-US"/>
              </w:rPr>
              <w:t>triethoxysilyl</w:t>
            </w:r>
            <w:proofErr w:type="spellEnd"/>
            <w:r w:rsidRPr="00EA2350">
              <w:rPr>
                <w:rFonts w:ascii="Calibri" w:eastAsia="Times New Roman" w:hAnsi="Calibri" w:cs="Calibri"/>
                <w:lang w:val="en-US"/>
              </w:rPr>
              <w:t>)</w:t>
            </w:r>
            <w:proofErr w:type="spellStart"/>
            <w:r w:rsidRPr="00EA2350">
              <w:rPr>
                <w:rFonts w:ascii="Calibri" w:eastAsia="Times New Roman" w:hAnsi="Calibri" w:cs="Calibri"/>
                <w:lang w:val="en-US"/>
              </w:rPr>
              <w:t>propoxy</w:t>
            </w:r>
            <w:proofErr w:type="spellEnd"/>
            <w:r w:rsidRPr="00EA2350">
              <w:rPr>
                <w:rFonts w:ascii="Calibri" w:eastAsia="Times New Roman" w:hAnsi="Calibri" w:cs="Calibri"/>
                <w:lang w:val="en-US"/>
              </w:rPr>
              <w:t>]methyl]-</w:t>
            </w:r>
            <w:proofErr w:type="spellStart"/>
            <w:r w:rsidRPr="00EA2350">
              <w:rPr>
                <w:rFonts w:ascii="Calibri" w:eastAsia="Times New Roman" w:hAnsi="Calibri" w:cs="Calibri"/>
                <w:lang w:val="en-US"/>
              </w:rPr>
              <w:t>hydrolisis</w:t>
            </w:r>
            <w:proofErr w:type="spellEnd"/>
            <w:r w:rsidRPr="00EA2350">
              <w:rPr>
                <w:rFonts w:ascii="Calibri" w:eastAsia="Times New Roman" w:hAnsi="Calibri" w:cs="Calibri"/>
                <w:lang w:val="en-US"/>
              </w:rPr>
              <w:t xml:space="preserve"> product with silica</w:t>
            </w:r>
          </w:p>
        </w:tc>
        <w:tc>
          <w:tcPr>
            <w:tcW w:w="1559" w:type="dxa"/>
            <w:noWrap/>
            <w:hideMark/>
          </w:tcPr>
          <w:p w14:paraId="2F199BE2" w14:textId="77777777" w:rsidR="007F1FE2" w:rsidRPr="00EA2350" w:rsidRDefault="007F1FE2" w:rsidP="00FC2E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20590</w:t>
            </w:r>
          </w:p>
        </w:tc>
      </w:tr>
      <w:tr w:rsidR="007F1FE2" w:rsidRPr="00025265" w14:paraId="42388DE1" w14:textId="77777777" w:rsidTr="00FC2E7F">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71A39FCE" w14:textId="77777777" w:rsidR="007F1FE2" w:rsidRPr="00EA2350" w:rsidRDefault="007F1FE2" w:rsidP="00FC2E7F">
            <w:pPr>
              <w:jc w:val="center"/>
              <w:rPr>
                <w:rFonts w:ascii="Calibri" w:eastAsia="Times New Roman" w:hAnsi="Calibri" w:cs="Calibri"/>
                <w:b/>
                <w:bCs/>
                <w:color w:val="000000"/>
                <w:sz w:val="22"/>
                <w:lang w:val="en-US"/>
              </w:rPr>
            </w:pPr>
          </w:p>
        </w:tc>
        <w:tc>
          <w:tcPr>
            <w:tcW w:w="1701" w:type="dxa"/>
            <w:noWrap/>
            <w:hideMark/>
          </w:tcPr>
          <w:p w14:paraId="2D36A749" w14:textId="77777777" w:rsidR="007F1FE2" w:rsidRPr="00EA2350" w:rsidRDefault="007F1FE2" w:rsidP="00FC2E7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c>
          <w:tcPr>
            <w:tcW w:w="7513" w:type="dxa"/>
            <w:gridSpan w:val="2"/>
            <w:noWrap/>
            <w:hideMark/>
          </w:tcPr>
          <w:p w14:paraId="24BC6254"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 xml:space="preserve">This itself not in </w:t>
            </w:r>
            <w:proofErr w:type="spellStart"/>
            <w:r w:rsidRPr="00EA2350">
              <w:rPr>
                <w:rFonts w:ascii="Calibri" w:eastAsia="Times New Roman" w:hAnsi="Calibri" w:cs="Calibri"/>
                <w:color w:val="000000"/>
                <w:lang w:val="en-US"/>
              </w:rPr>
              <w:t>Echa</w:t>
            </w:r>
            <w:proofErr w:type="spellEnd"/>
            <w:r w:rsidRPr="00EA2350">
              <w:rPr>
                <w:rFonts w:ascii="Calibri" w:eastAsia="Times New Roman" w:hAnsi="Calibri" w:cs="Calibri"/>
                <w:color w:val="000000"/>
                <w:lang w:val="en-US"/>
              </w:rPr>
              <w:t xml:space="preserve"> database but it is a </w:t>
            </w:r>
            <w:proofErr w:type="spellStart"/>
            <w:r w:rsidRPr="00EA2350">
              <w:rPr>
                <w:rFonts w:ascii="Calibri" w:eastAsia="Times New Roman" w:hAnsi="Calibri" w:cs="Calibri"/>
                <w:color w:val="000000"/>
                <w:lang w:val="en-US"/>
              </w:rPr>
              <w:t>Hydrolisis</w:t>
            </w:r>
            <w:proofErr w:type="spellEnd"/>
            <w:r w:rsidRPr="00EA2350">
              <w:rPr>
                <w:rFonts w:ascii="Calibri" w:eastAsia="Times New Roman" w:hAnsi="Calibri" w:cs="Calibri"/>
                <w:color w:val="000000"/>
                <w:lang w:val="en-US"/>
              </w:rPr>
              <w:t xml:space="preserve"> product of:</w:t>
            </w:r>
          </w:p>
        </w:tc>
        <w:tc>
          <w:tcPr>
            <w:tcW w:w="1559" w:type="dxa"/>
            <w:noWrap/>
            <w:hideMark/>
          </w:tcPr>
          <w:p w14:paraId="6A14FCF1"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p>
        </w:tc>
      </w:tr>
      <w:tr w:rsidR="007F1FE2" w:rsidRPr="00025265" w14:paraId="506632A2" w14:textId="77777777" w:rsidTr="00FC2E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0EA7D2E6" w14:textId="77777777" w:rsidR="007F1FE2" w:rsidRPr="00EA2350" w:rsidRDefault="007F1FE2" w:rsidP="00FC2E7F">
            <w:pPr>
              <w:jc w:val="center"/>
              <w:rPr>
                <w:rFonts w:ascii="Times New Roman" w:eastAsia="Times New Roman" w:hAnsi="Times New Roman" w:cs="Times New Roman"/>
                <w:b/>
                <w:bCs/>
                <w:sz w:val="22"/>
                <w:lang w:val="en-US"/>
              </w:rPr>
            </w:pPr>
          </w:p>
        </w:tc>
        <w:tc>
          <w:tcPr>
            <w:tcW w:w="1701" w:type="dxa"/>
            <w:noWrap/>
            <w:hideMark/>
          </w:tcPr>
          <w:p w14:paraId="57527315" w14:textId="77777777" w:rsidR="007F1FE2" w:rsidRPr="00EA2350" w:rsidRDefault="007F1FE2" w:rsidP="00FC2E7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c>
          <w:tcPr>
            <w:tcW w:w="5954" w:type="dxa"/>
            <w:noWrap/>
            <w:hideMark/>
          </w:tcPr>
          <w:p w14:paraId="1115C8F2"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 xml:space="preserve"> </w:t>
            </w:r>
          </w:p>
        </w:tc>
        <w:tc>
          <w:tcPr>
            <w:tcW w:w="1559" w:type="dxa"/>
            <w:noWrap/>
            <w:hideMark/>
          </w:tcPr>
          <w:p w14:paraId="0BCA9700"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760F9F7B"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r>
      <w:tr w:rsidR="007F1FE2" w:rsidRPr="00EA2350" w14:paraId="747B1BDD" w14:textId="77777777" w:rsidTr="00FC2E7F">
        <w:trPr>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7BB161EA"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2530-83-8</w:t>
            </w:r>
          </w:p>
        </w:tc>
        <w:tc>
          <w:tcPr>
            <w:tcW w:w="1701" w:type="dxa"/>
            <w:noWrap/>
            <w:hideMark/>
          </w:tcPr>
          <w:p w14:paraId="5F0651E1" w14:textId="77777777" w:rsidR="007F1FE2" w:rsidRPr="00EA2350" w:rsidRDefault="007F1FE2" w:rsidP="00FC2E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219-784-2</w:t>
            </w:r>
          </w:p>
        </w:tc>
        <w:tc>
          <w:tcPr>
            <w:tcW w:w="5954" w:type="dxa"/>
            <w:noWrap/>
            <w:hideMark/>
          </w:tcPr>
          <w:p w14:paraId="108018F5"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[3-(2,3-epoxypropoxy)propyl]</w:t>
            </w:r>
            <w:proofErr w:type="spellStart"/>
            <w:r w:rsidRPr="00EA2350">
              <w:rPr>
                <w:rFonts w:ascii="Calibri" w:eastAsia="Times New Roman" w:hAnsi="Calibri" w:cs="Calibri"/>
                <w:color w:val="000000"/>
                <w:lang w:val="en-US"/>
              </w:rPr>
              <w:t>trimethoxysilane</w:t>
            </w:r>
            <w:proofErr w:type="spellEnd"/>
          </w:p>
        </w:tc>
        <w:tc>
          <w:tcPr>
            <w:tcW w:w="1559" w:type="dxa"/>
            <w:noWrap/>
            <w:hideMark/>
          </w:tcPr>
          <w:p w14:paraId="1D4A17EB"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3E844C97" w14:textId="77777777" w:rsidR="007F1FE2" w:rsidRPr="00EA2350" w:rsidRDefault="007F1FE2" w:rsidP="00FC2E7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r>
      <w:tr w:rsidR="007F1FE2" w:rsidRPr="00EA2350" w14:paraId="63FB81A7" w14:textId="77777777" w:rsidTr="00FC2E7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96" w:type="dxa"/>
            <w:noWrap/>
            <w:hideMark/>
          </w:tcPr>
          <w:p w14:paraId="31E8D36A" w14:textId="77777777" w:rsidR="007F1FE2" w:rsidRPr="00EA2350" w:rsidRDefault="007F1FE2" w:rsidP="00FC2E7F">
            <w:pPr>
              <w:jc w:val="center"/>
              <w:rPr>
                <w:rFonts w:ascii="Calibri" w:eastAsia="Times New Roman" w:hAnsi="Calibri" w:cs="Calibri"/>
                <w:b/>
                <w:bCs/>
                <w:color w:val="000000"/>
                <w:sz w:val="22"/>
                <w:lang w:val="en-US"/>
              </w:rPr>
            </w:pPr>
            <w:r w:rsidRPr="00EA2350">
              <w:rPr>
                <w:rFonts w:ascii="Calibri" w:eastAsia="Times New Roman" w:hAnsi="Calibri" w:cs="Calibri"/>
                <w:b/>
                <w:bCs/>
                <w:color w:val="000000"/>
                <w:sz w:val="22"/>
                <w:lang w:val="en-US"/>
              </w:rPr>
              <w:t>7631-86-9</w:t>
            </w:r>
          </w:p>
        </w:tc>
        <w:tc>
          <w:tcPr>
            <w:tcW w:w="1701" w:type="dxa"/>
            <w:noWrap/>
            <w:hideMark/>
          </w:tcPr>
          <w:p w14:paraId="4C035329" w14:textId="77777777" w:rsidR="007F1FE2" w:rsidRPr="00EA2350" w:rsidRDefault="007F1FE2" w:rsidP="00FC2E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231-545-4</w:t>
            </w:r>
          </w:p>
        </w:tc>
        <w:tc>
          <w:tcPr>
            <w:tcW w:w="5954" w:type="dxa"/>
            <w:noWrap/>
            <w:hideMark/>
          </w:tcPr>
          <w:p w14:paraId="369A3AF0"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EA2350">
              <w:rPr>
                <w:rFonts w:ascii="Calibri" w:eastAsia="Times New Roman" w:hAnsi="Calibri" w:cs="Calibri"/>
                <w:color w:val="000000"/>
                <w:lang w:val="en-US"/>
              </w:rPr>
              <w:t>Silica</w:t>
            </w:r>
          </w:p>
        </w:tc>
        <w:tc>
          <w:tcPr>
            <w:tcW w:w="1559" w:type="dxa"/>
            <w:noWrap/>
            <w:hideMark/>
          </w:tcPr>
          <w:p w14:paraId="55D3EA5E"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p>
        </w:tc>
        <w:tc>
          <w:tcPr>
            <w:tcW w:w="1559" w:type="dxa"/>
            <w:noWrap/>
            <w:hideMark/>
          </w:tcPr>
          <w:p w14:paraId="3DD3088B" w14:textId="77777777" w:rsidR="007F1FE2" w:rsidRPr="00EA2350" w:rsidRDefault="007F1FE2" w:rsidP="00FC2E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r>
    </w:tbl>
    <w:p w14:paraId="4E73B2AD" w14:textId="77777777" w:rsidR="00A00C78" w:rsidRPr="00BD15C9" w:rsidRDefault="00A00C78" w:rsidP="001A3C39">
      <w:pPr>
        <w:rPr>
          <w:lang w:val="fr-FR"/>
        </w:rPr>
      </w:pPr>
    </w:p>
    <w:sectPr w:rsidR="00A00C78" w:rsidRPr="00BD15C9" w:rsidSect="007F1FE2">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BC875" w14:textId="77777777" w:rsidR="00DB322C" w:rsidRDefault="00DB322C" w:rsidP="008F759D">
      <w:pPr>
        <w:spacing w:after="0" w:line="240" w:lineRule="auto"/>
      </w:pPr>
      <w:r>
        <w:separator/>
      </w:r>
    </w:p>
  </w:endnote>
  <w:endnote w:type="continuationSeparator" w:id="0">
    <w:p w14:paraId="07604DA9" w14:textId="77777777" w:rsidR="00DB322C" w:rsidRDefault="00DB322C" w:rsidP="008F7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Lat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AngsanaUPC">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sz w:val="18"/>
        <w:szCs w:val="18"/>
        <w:lang w:val="fr-BE"/>
      </w:rPr>
      <w:id w:val="1467388441"/>
      <w:docPartObj>
        <w:docPartGallery w:val="Page Numbers (Bottom of Page)"/>
        <w:docPartUnique/>
      </w:docPartObj>
    </w:sdtPr>
    <w:sdtEndPr/>
    <w:sdtContent>
      <w:sdt>
        <w:sdtPr>
          <w:rPr>
            <w:i/>
            <w:sz w:val="18"/>
            <w:szCs w:val="18"/>
            <w:lang w:val="fr-BE"/>
          </w:rPr>
          <w:id w:val="357627428"/>
          <w:docPartObj>
            <w:docPartGallery w:val="Page Numbers (Top of Page)"/>
            <w:docPartUnique/>
          </w:docPartObj>
        </w:sdtPr>
        <w:sdtEndPr/>
        <w:sdtContent>
          <w:p w14:paraId="191B3571" w14:textId="248272BA" w:rsidR="00DB322C" w:rsidRPr="00376CB5" w:rsidRDefault="00DB322C">
            <w:pPr>
              <w:pStyle w:val="Pieddepage"/>
              <w:rPr>
                <w:i/>
                <w:sz w:val="18"/>
                <w:lang w:val="fr-BE"/>
              </w:rPr>
            </w:pPr>
            <w:r>
              <w:rPr>
                <w:i/>
                <w:sz w:val="18"/>
                <w:lang w:val="fr-BE"/>
              </w:rPr>
              <w:t>Enregistrement des substances manufacturées à l'état nanoparticulaire</w:t>
            </w:r>
            <w:r w:rsidRPr="0010738A">
              <w:rPr>
                <w:i/>
                <w:sz w:val="18"/>
                <w:szCs w:val="18"/>
                <w:lang w:val="fr-BE"/>
              </w:rPr>
              <w:tab/>
            </w:r>
            <w:r>
              <w:rPr>
                <w:i/>
                <w:sz w:val="18"/>
                <w:lang w:val="fr-BE"/>
              </w:rPr>
              <w:t>Rapport annuel 2020</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67659" w14:textId="77777777" w:rsidR="00DB322C" w:rsidRDefault="00DB322C">
    <w:pPr>
      <w:pStyle w:val="Pieddepage"/>
    </w:pPr>
    <w:r>
      <w:rPr>
        <w:noProof/>
        <w:lang w:val="en-GB" w:eastAsia="en-GB"/>
      </w:rPr>
      <w:drawing>
        <wp:inline distT="0" distB="0" distL="0" distR="0" wp14:anchorId="72A8B680" wp14:editId="4D6E47D5">
          <wp:extent cx="6174359" cy="1494845"/>
          <wp:effectExtent l="0" t="0" r="0" b="0"/>
          <wp:docPr id="15"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231525" cy="1508685"/>
                  </a:xfrm>
                  <a:prstGeom prst="rect">
                    <a:avLst/>
                  </a:prstGeom>
                </pic:spPr>
              </pic:pic>
            </a:graphicData>
          </a:graphic>
        </wp:inline>
      </w:drawing>
    </w:r>
  </w:p>
  <w:p w14:paraId="06B6E484" w14:textId="77777777" w:rsidR="00DB322C" w:rsidRDefault="00DB322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AEF78" w14:textId="77777777" w:rsidR="00DB322C" w:rsidRDefault="00DB322C" w:rsidP="008F759D">
      <w:pPr>
        <w:spacing w:after="0" w:line="240" w:lineRule="auto"/>
      </w:pPr>
      <w:r>
        <w:separator/>
      </w:r>
    </w:p>
  </w:footnote>
  <w:footnote w:type="continuationSeparator" w:id="0">
    <w:p w14:paraId="096D1C89" w14:textId="77777777" w:rsidR="00DB322C" w:rsidRDefault="00DB322C" w:rsidP="008F759D">
      <w:pPr>
        <w:spacing w:after="0" w:line="240" w:lineRule="auto"/>
      </w:pPr>
      <w:r>
        <w:continuationSeparator/>
      </w:r>
    </w:p>
  </w:footnote>
  <w:footnote w:id="1">
    <w:p w14:paraId="796F5854" w14:textId="11F59B5F" w:rsidR="007F1FE2" w:rsidRPr="007F1FE2" w:rsidRDefault="007F1FE2">
      <w:pPr>
        <w:pStyle w:val="Notedebasdepage"/>
      </w:pPr>
      <w:r>
        <w:rPr>
          <w:rStyle w:val="Appelnotedebasdep"/>
        </w:rPr>
        <w:footnoteRef/>
      </w:r>
      <w:r>
        <w:t xml:space="preserve"> </w:t>
      </w:r>
      <w:r>
        <w:t xml:space="preserve">N.B.: </w:t>
      </w:r>
      <w:r w:rsidRPr="005E5201">
        <w:t>Please refer to Chapter 8.2 f</w:t>
      </w:r>
      <w:r>
        <w:t>or detailed information on NACE Codes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B4301" w14:textId="5C169E8D" w:rsidR="00DB322C" w:rsidRPr="0010738A" w:rsidRDefault="00DB322C" w:rsidP="00CF24F7">
    <w:pPr>
      <w:pStyle w:val="En-tte"/>
      <w:jc w:val="right"/>
      <w:rPr>
        <w:lang w:val="fr-BE"/>
      </w:rPr>
    </w:pPr>
    <w:r>
      <w:rPr>
        <w:noProof/>
      </w:rPr>
      <w:drawing>
        <wp:anchor distT="0" distB="0" distL="114300" distR="114300" simplePos="0" relativeHeight="251659264" behindDoc="0" locked="0" layoutInCell="1" allowOverlap="1" wp14:anchorId="47BA6E3F" wp14:editId="302B20C7">
          <wp:simplePos x="0" y="0"/>
          <wp:positionH relativeFrom="column">
            <wp:posOffset>-428625</wp:posOffset>
          </wp:positionH>
          <wp:positionV relativeFrom="paragraph">
            <wp:posOffset>-316230</wp:posOffset>
          </wp:positionV>
          <wp:extent cx="1866900" cy="715645"/>
          <wp:effectExtent l="0" t="0" r="0" b="8255"/>
          <wp:wrapNone/>
          <wp:docPr id="11" name="Image 11" descr="C:\Users\bnd\AppData\Local\Microsoft\Windows\INetCache\Content.Word\FOD_fr_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nd\AppData\Local\Microsoft\Windows\INetCache\Content.Word\FOD_fr_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715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738A">
      <w:rPr>
        <w:bCs/>
        <w:sz w:val="16"/>
        <w:szCs w:val="16"/>
        <w:lang w:val="fr-BE"/>
      </w:rPr>
      <w:fldChar w:fldCharType="begin"/>
    </w:r>
    <w:r w:rsidRPr="0010738A">
      <w:rPr>
        <w:bCs/>
        <w:sz w:val="16"/>
        <w:szCs w:val="16"/>
        <w:lang w:val="fr-BE"/>
      </w:rPr>
      <w:instrText xml:space="preserve"> PAGE </w:instrText>
    </w:r>
    <w:r w:rsidRPr="0010738A">
      <w:rPr>
        <w:bCs/>
        <w:sz w:val="16"/>
        <w:szCs w:val="16"/>
        <w:lang w:val="fr-BE"/>
      </w:rPr>
      <w:fldChar w:fldCharType="separate"/>
    </w:r>
    <w:r>
      <w:rPr>
        <w:bCs/>
        <w:noProof/>
        <w:sz w:val="16"/>
        <w:szCs w:val="16"/>
        <w:lang w:val="fr-BE"/>
      </w:rPr>
      <w:t>57</w:t>
    </w:r>
    <w:r w:rsidRPr="0010738A">
      <w:rPr>
        <w:bCs/>
        <w:sz w:val="16"/>
        <w:szCs w:val="16"/>
        <w:lang w:val="fr-BE"/>
      </w:rPr>
      <w:fldChar w:fldCharType="end"/>
    </w:r>
    <w:r w:rsidRPr="0010738A">
      <w:rPr>
        <w:bCs/>
        <w:sz w:val="16"/>
        <w:szCs w:val="16"/>
        <w:lang w:val="fr-BE"/>
      </w:rPr>
      <w:t>/</w:t>
    </w:r>
    <w:r w:rsidRPr="0010738A">
      <w:rPr>
        <w:bCs/>
        <w:sz w:val="16"/>
        <w:szCs w:val="16"/>
        <w:lang w:val="fr-BE"/>
      </w:rPr>
      <w:fldChar w:fldCharType="begin"/>
    </w:r>
    <w:r w:rsidRPr="0010738A">
      <w:rPr>
        <w:bCs/>
        <w:sz w:val="16"/>
        <w:szCs w:val="16"/>
        <w:lang w:val="fr-BE"/>
      </w:rPr>
      <w:instrText xml:space="preserve"> NUMPAGES  </w:instrText>
    </w:r>
    <w:r w:rsidRPr="0010738A">
      <w:rPr>
        <w:bCs/>
        <w:sz w:val="16"/>
        <w:szCs w:val="16"/>
        <w:lang w:val="fr-BE"/>
      </w:rPr>
      <w:fldChar w:fldCharType="separate"/>
    </w:r>
    <w:r>
      <w:rPr>
        <w:bCs/>
        <w:noProof/>
        <w:sz w:val="16"/>
        <w:szCs w:val="16"/>
        <w:lang w:val="fr-BE"/>
      </w:rPr>
      <w:t>89</w:t>
    </w:r>
    <w:r w:rsidRPr="0010738A">
      <w:rPr>
        <w:bCs/>
        <w:sz w:val="16"/>
        <w:szCs w:val="16"/>
        <w:lang w:val="fr-B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C4FFC" w14:textId="77777777" w:rsidR="00DB322C" w:rsidRDefault="00DB322C">
    <w:pPr>
      <w:pStyle w:val="En-tte"/>
    </w:pPr>
    <w:r>
      <w:rPr>
        <w:noProof/>
        <w:lang w:val="en-GB" w:eastAsia="en-GB"/>
      </w:rPr>
      <w:drawing>
        <wp:anchor distT="0" distB="0" distL="114300" distR="114300" simplePos="0" relativeHeight="251656192" behindDoc="0" locked="0" layoutInCell="1" allowOverlap="1" wp14:anchorId="2B01D4AA" wp14:editId="004859C6">
          <wp:simplePos x="0" y="0"/>
          <wp:positionH relativeFrom="column">
            <wp:posOffset>-7951</wp:posOffset>
          </wp:positionH>
          <wp:positionV relativeFrom="paragraph">
            <wp:posOffset>-469762</wp:posOffset>
          </wp:positionV>
          <wp:extent cx="3705225" cy="933450"/>
          <wp:effectExtent l="0" t="0" r="9525" b="0"/>
          <wp:wrapNone/>
          <wp:docPr id="13"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705225" cy="933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D5CAF"/>
    <w:multiLevelType w:val="hybridMultilevel"/>
    <w:tmpl w:val="EFA2D804"/>
    <w:lvl w:ilvl="0" w:tplc="C4E65386">
      <w:start w:val="1"/>
      <w:numFmt w:val="bullet"/>
      <w:lvlText w:val=""/>
      <w:lvlJc w:val="left"/>
      <w:pPr>
        <w:tabs>
          <w:tab w:val="num" w:pos="720"/>
        </w:tabs>
        <w:ind w:left="720" w:hanging="360"/>
      </w:pPr>
      <w:rPr>
        <w:rFonts w:ascii="Symbol" w:hAnsi="Symbol" w:hint="default"/>
      </w:rPr>
    </w:lvl>
    <w:lvl w:ilvl="1" w:tplc="A628D366" w:tentative="1">
      <w:start w:val="1"/>
      <w:numFmt w:val="bullet"/>
      <w:lvlText w:val=""/>
      <w:lvlJc w:val="left"/>
      <w:pPr>
        <w:tabs>
          <w:tab w:val="num" w:pos="1440"/>
        </w:tabs>
        <w:ind w:left="1440" w:hanging="360"/>
      </w:pPr>
      <w:rPr>
        <w:rFonts w:ascii="Symbol" w:hAnsi="Symbol" w:hint="default"/>
      </w:rPr>
    </w:lvl>
    <w:lvl w:ilvl="2" w:tplc="8D986BBE" w:tentative="1">
      <w:start w:val="1"/>
      <w:numFmt w:val="bullet"/>
      <w:lvlText w:val=""/>
      <w:lvlJc w:val="left"/>
      <w:pPr>
        <w:tabs>
          <w:tab w:val="num" w:pos="2160"/>
        </w:tabs>
        <w:ind w:left="2160" w:hanging="360"/>
      </w:pPr>
      <w:rPr>
        <w:rFonts w:ascii="Symbol" w:hAnsi="Symbol" w:hint="default"/>
      </w:rPr>
    </w:lvl>
    <w:lvl w:ilvl="3" w:tplc="BCC4644E" w:tentative="1">
      <w:start w:val="1"/>
      <w:numFmt w:val="bullet"/>
      <w:lvlText w:val=""/>
      <w:lvlJc w:val="left"/>
      <w:pPr>
        <w:tabs>
          <w:tab w:val="num" w:pos="2880"/>
        </w:tabs>
        <w:ind w:left="2880" w:hanging="360"/>
      </w:pPr>
      <w:rPr>
        <w:rFonts w:ascii="Symbol" w:hAnsi="Symbol" w:hint="default"/>
      </w:rPr>
    </w:lvl>
    <w:lvl w:ilvl="4" w:tplc="6860C7C4" w:tentative="1">
      <w:start w:val="1"/>
      <w:numFmt w:val="bullet"/>
      <w:lvlText w:val=""/>
      <w:lvlJc w:val="left"/>
      <w:pPr>
        <w:tabs>
          <w:tab w:val="num" w:pos="3600"/>
        </w:tabs>
        <w:ind w:left="3600" w:hanging="360"/>
      </w:pPr>
      <w:rPr>
        <w:rFonts w:ascii="Symbol" w:hAnsi="Symbol" w:hint="default"/>
      </w:rPr>
    </w:lvl>
    <w:lvl w:ilvl="5" w:tplc="45CE4554" w:tentative="1">
      <w:start w:val="1"/>
      <w:numFmt w:val="bullet"/>
      <w:lvlText w:val=""/>
      <w:lvlJc w:val="left"/>
      <w:pPr>
        <w:tabs>
          <w:tab w:val="num" w:pos="4320"/>
        </w:tabs>
        <w:ind w:left="4320" w:hanging="360"/>
      </w:pPr>
      <w:rPr>
        <w:rFonts w:ascii="Symbol" w:hAnsi="Symbol" w:hint="default"/>
      </w:rPr>
    </w:lvl>
    <w:lvl w:ilvl="6" w:tplc="FC5621D2" w:tentative="1">
      <w:start w:val="1"/>
      <w:numFmt w:val="bullet"/>
      <w:lvlText w:val=""/>
      <w:lvlJc w:val="left"/>
      <w:pPr>
        <w:tabs>
          <w:tab w:val="num" w:pos="5040"/>
        </w:tabs>
        <w:ind w:left="5040" w:hanging="360"/>
      </w:pPr>
      <w:rPr>
        <w:rFonts w:ascii="Symbol" w:hAnsi="Symbol" w:hint="default"/>
      </w:rPr>
    </w:lvl>
    <w:lvl w:ilvl="7" w:tplc="D76C0D6E" w:tentative="1">
      <w:start w:val="1"/>
      <w:numFmt w:val="bullet"/>
      <w:lvlText w:val=""/>
      <w:lvlJc w:val="left"/>
      <w:pPr>
        <w:tabs>
          <w:tab w:val="num" w:pos="5760"/>
        </w:tabs>
        <w:ind w:left="5760" w:hanging="360"/>
      </w:pPr>
      <w:rPr>
        <w:rFonts w:ascii="Symbol" w:hAnsi="Symbol" w:hint="default"/>
      </w:rPr>
    </w:lvl>
    <w:lvl w:ilvl="8" w:tplc="A300E08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2CB55F2"/>
    <w:multiLevelType w:val="hybridMultilevel"/>
    <w:tmpl w:val="A7641762"/>
    <w:lvl w:ilvl="0" w:tplc="ADF4D5C0">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B5A3C"/>
    <w:multiLevelType w:val="hybridMultilevel"/>
    <w:tmpl w:val="171C1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B6739"/>
    <w:multiLevelType w:val="hybridMultilevel"/>
    <w:tmpl w:val="AAA89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91A78"/>
    <w:multiLevelType w:val="hybridMultilevel"/>
    <w:tmpl w:val="3DF42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85401"/>
    <w:multiLevelType w:val="hybridMultilevel"/>
    <w:tmpl w:val="D478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DE75DE"/>
    <w:multiLevelType w:val="hybridMultilevel"/>
    <w:tmpl w:val="0BDC3102"/>
    <w:lvl w:ilvl="0" w:tplc="B7F24D6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322B19"/>
    <w:multiLevelType w:val="hybridMultilevel"/>
    <w:tmpl w:val="19BE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CB42D8"/>
    <w:multiLevelType w:val="hybridMultilevel"/>
    <w:tmpl w:val="58B48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35028E"/>
    <w:multiLevelType w:val="hybridMultilevel"/>
    <w:tmpl w:val="6DAA7A98"/>
    <w:lvl w:ilvl="0" w:tplc="E1E259DA">
      <w:start w:val="1"/>
      <w:numFmt w:val="bullet"/>
      <w:lvlText w:val="o"/>
      <w:lvlJc w:val="left"/>
      <w:pPr>
        <w:ind w:left="720" w:hanging="360"/>
      </w:pPr>
      <w:rPr>
        <w:rFonts w:ascii="Courier New" w:hAnsi="Courier New"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4B744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4C6102"/>
    <w:multiLevelType w:val="hybridMultilevel"/>
    <w:tmpl w:val="29669946"/>
    <w:lvl w:ilvl="0" w:tplc="2A209756">
      <w:start w:val="1"/>
      <w:numFmt w:val="bullet"/>
      <w:lvlText w:val=""/>
      <w:lvlJc w:val="left"/>
      <w:pPr>
        <w:ind w:left="405" w:hanging="360"/>
      </w:pPr>
      <w:rPr>
        <w:rFonts w:ascii="Wingdings" w:eastAsiaTheme="minorHAnsi" w:hAnsi="Wingdings"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15:restartNumberingAfterBreak="0">
    <w:nsid w:val="1D3521FE"/>
    <w:multiLevelType w:val="hybridMultilevel"/>
    <w:tmpl w:val="733E8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F878B7"/>
    <w:multiLevelType w:val="hybridMultilevel"/>
    <w:tmpl w:val="B4E2DE66"/>
    <w:lvl w:ilvl="0" w:tplc="6FC2EF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6A0A28"/>
    <w:multiLevelType w:val="hybridMultilevel"/>
    <w:tmpl w:val="B7142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5F6FDC"/>
    <w:multiLevelType w:val="hybridMultilevel"/>
    <w:tmpl w:val="3EE8BB90"/>
    <w:lvl w:ilvl="0" w:tplc="6FC2EF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C40DB0"/>
    <w:multiLevelType w:val="hybridMultilevel"/>
    <w:tmpl w:val="9F7AA8D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22E01ADC"/>
    <w:multiLevelType w:val="hybridMultilevel"/>
    <w:tmpl w:val="4A109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9410E5"/>
    <w:multiLevelType w:val="hybridMultilevel"/>
    <w:tmpl w:val="87E01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DF0129"/>
    <w:multiLevelType w:val="hybridMultilevel"/>
    <w:tmpl w:val="3AC61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5D68E6"/>
    <w:multiLevelType w:val="hybridMultilevel"/>
    <w:tmpl w:val="3ABEF7B2"/>
    <w:lvl w:ilvl="0" w:tplc="6FC2EF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117C73"/>
    <w:multiLevelType w:val="hybridMultilevel"/>
    <w:tmpl w:val="42484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6F5A80"/>
    <w:multiLevelType w:val="hybridMultilevel"/>
    <w:tmpl w:val="D1B6EF1A"/>
    <w:lvl w:ilvl="0" w:tplc="F870847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205AFF"/>
    <w:multiLevelType w:val="hybridMultilevel"/>
    <w:tmpl w:val="43126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882247"/>
    <w:multiLevelType w:val="hybridMultilevel"/>
    <w:tmpl w:val="64441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216747"/>
    <w:multiLevelType w:val="hybridMultilevel"/>
    <w:tmpl w:val="CBFE6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666018"/>
    <w:multiLevelType w:val="hybridMultilevel"/>
    <w:tmpl w:val="B23632AE"/>
    <w:lvl w:ilvl="0" w:tplc="DEA85C22">
      <w:start w:val="1"/>
      <w:numFmt w:val="decimal"/>
      <w:lvlText w:val="%1."/>
      <w:lvlJc w:val="left"/>
      <w:pPr>
        <w:ind w:left="1080" w:hanging="360"/>
      </w:pPr>
    </w:lvl>
    <w:lvl w:ilvl="1" w:tplc="0809000F">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3FC6623F"/>
    <w:multiLevelType w:val="hybridMultilevel"/>
    <w:tmpl w:val="B1EA0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FE5CA8"/>
    <w:multiLevelType w:val="hybridMultilevel"/>
    <w:tmpl w:val="24A2A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667E3B"/>
    <w:multiLevelType w:val="hybridMultilevel"/>
    <w:tmpl w:val="06D45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4A5E6B"/>
    <w:multiLevelType w:val="hybridMultilevel"/>
    <w:tmpl w:val="E2D24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FD2237"/>
    <w:multiLevelType w:val="hybridMultilevel"/>
    <w:tmpl w:val="92904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4B5B33"/>
    <w:multiLevelType w:val="multilevel"/>
    <w:tmpl w:val="18C817C4"/>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pStyle w:val="Titr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A926AAA"/>
    <w:multiLevelType w:val="hybridMultilevel"/>
    <w:tmpl w:val="8782FC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EB92983"/>
    <w:multiLevelType w:val="hybridMultilevel"/>
    <w:tmpl w:val="6F629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6A72F1"/>
    <w:multiLevelType w:val="multilevel"/>
    <w:tmpl w:val="9D7E5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9EB2576"/>
    <w:multiLevelType w:val="hybridMultilevel"/>
    <w:tmpl w:val="72EC5D86"/>
    <w:lvl w:ilvl="0" w:tplc="41FA605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403B31"/>
    <w:multiLevelType w:val="hybridMultilevel"/>
    <w:tmpl w:val="1DCA0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9029C8"/>
    <w:multiLevelType w:val="hybridMultilevel"/>
    <w:tmpl w:val="34589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7B55C3"/>
    <w:multiLevelType w:val="hybridMultilevel"/>
    <w:tmpl w:val="D3CAA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A261FB"/>
    <w:multiLevelType w:val="hybridMultilevel"/>
    <w:tmpl w:val="2754445E"/>
    <w:lvl w:ilvl="0" w:tplc="F870847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5E3634B"/>
    <w:multiLevelType w:val="hybridMultilevel"/>
    <w:tmpl w:val="FD3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37503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BAB1EDE"/>
    <w:multiLevelType w:val="hybridMultilevel"/>
    <w:tmpl w:val="E8F21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FA0151"/>
    <w:multiLevelType w:val="hybridMultilevel"/>
    <w:tmpl w:val="08B693F8"/>
    <w:lvl w:ilvl="0" w:tplc="23F25A8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0"/>
  </w:num>
  <w:num w:numId="3">
    <w:abstractNumId w:val="14"/>
  </w:num>
  <w:num w:numId="4">
    <w:abstractNumId w:val="24"/>
  </w:num>
  <w:num w:numId="5">
    <w:abstractNumId w:val="1"/>
  </w:num>
  <w:num w:numId="6">
    <w:abstractNumId w:val="11"/>
  </w:num>
  <w:num w:numId="7">
    <w:abstractNumId w:val="36"/>
  </w:num>
  <w:num w:numId="8">
    <w:abstractNumId w:val="44"/>
  </w:num>
  <w:num w:numId="9">
    <w:abstractNumId w:val="9"/>
  </w:num>
  <w:num w:numId="10">
    <w:abstractNumId w:val="27"/>
  </w:num>
  <w:num w:numId="11">
    <w:abstractNumId w:val="38"/>
  </w:num>
  <w:num w:numId="12">
    <w:abstractNumId w:val="41"/>
  </w:num>
  <w:num w:numId="13">
    <w:abstractNumId w:val="3"/>
  </w:num>
  <w:num w:numId="14">
    <w:abstractNumId w:val="33"/>
  </w:num>
  <w:num w:numId="15">
    <w:abstractNumId w:val="29"/>
  </w:num>
  <w:num w:numId="16">
    <w:abstractNumId w:val="2"/>
  </w:num>
  <w:num w:numId="17">
    <w:abstractNumId w:val="0"/>
  </w:num>
  <w:num w:numId="18">
    <w:abstractNumId w:val="37"/>
  </w:num>
  <w:num w:numId="19">
    <w:abstractNumId w:val="5"/>
  </w:num>
  <w:num w:numId="20">
    <w:abstractNumId w:val="25"/>
  </w:num>
  <w:num w:numId="21">
    <w:abstractNumId w:val="13"/>
  </w:num>
  <w:num w:numId="22">
    <w:abstractNumId w:val="28"/>
  </w:num>
  <w:num w:numId="23">
    <w:abstractNumId w:val="20"/>
  </w:num>
  <w:num w:numId="24">
    <w:abstractNumId w:val="35"/>
  </w:num>
  <w:num w:numId="25">
    <w:abstractNumId w:val="21"/>
  </w:num>
  <w:num w:numId="26">
    <w:abstractNumId w:val="12"/>
  </w:num>
  <w:num w:numId="27">
    <w:abstractNumId w:val="4"/>
  </w:num>
  <w:num w:numId="28">
    <w:abstractNumId w:val="43"/>
  </w:num>
  <w:num w:numId="29">
    <w:abstractNumId w:val="16"/>
  </w:num>
  <w:num w:numId="30">
    <w:abstractNumId w:val="15"/>
  </w:num>
  <w:num w:numId="31">
    <w:abstractNumId w:val="39"/>
  </w:num>
  <w:num w:numId="32">
    <w:abstractNumId w:val="31"/>
  </w:num>
  <w:num w:numId="33">
    <w:abstractNumId w:val="19"/>
  </w:num>
  <w:num w:numId="34">
    <w:abstractNumId w:val="8"/>
  </w:num>
  <w:num w:numId="35">
    <w:abstractNumId w:val="34"/>
  </w:num>
  <w:num w:numId="36">
    <w:abstractNumId w:val="7"/>
  </w:num>
  <w:num w:numId="37">
    <w:abstractNumId w:val="17"/>
  </w:num>
  <w:num w:numId="38">
    <w:abstractNumId w:val="23"/>
  </w:num>
  <w:num w:numId="39">
    <w:abstractNumId w:val="22"/>
  </w:num>
  <w:num w:numId="40">
    <w:abstractNumId w:val="40"/>
  </w:num>
  <w:num w:numId="41">
    <w:abstractNumId w:val="6"/>
  </w:num>
  <w:num w:numId="42">
    <w:abstractNumId w:val="26"/>
  </w:num>
  <w:num w:numId="43">
    <w:abstractNumId w:val="42"/>
  </w:num>
  <w:num w:numId="44">
    <w:abstractNumId w:val="10"/>
  </w:num>
  <w:num w:numId="45">
    <w:abstractNumId w:val="32"/>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6144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B7D"/>
    <w:rsid w:val="0000167C"/>
    <w:rsid w:val="00002175"/>
    <w:rsid w:val="000029B0"/>
    <w:rsid w:val="0001138B"/>
    <w:rsid w:val="00013FE0"/>
    <w:rsid w:val="00014745"/>
    <w:rsid w:val="000177B3"/>
    <w:rsid w:val="00020D0F"/>
    <w:rsid w:val="0002145E"/>
    <w:rsid w:val="00022258"/>
    <w:rsid w:val="0002235F"/>
    <w:rsid w:val="00022DB4"/>
    <w:rsid w:val="000245DB"/>
    <w:rsid w:val="00025A20"/>
    <w:rsid w:val="00026696"/>
    <w:rsid w:val="00027260"/>
    <w:rsid w:val="0003184F"/>
    <w:rsid w:val="00032BD0"/>
    <w:rsid w:val="00040C87"/>
    <w:rsid w:val="00041CC8"/>
    <w:rsid w:val="000427DC"/>
    <w:rsid w:val="00045255"/>
    <w:rsid w:val="00045BDF"/>
    <w:rsid w:val="00050C7F"/>
    <w:rsid w:val="00057652"/>
    <w:rsid w:val="00064369"/>
    <w:rsid w:val="00071130"/>
    <w:rsid w:val="00074518"/>
    <w:rsid w:val="000753DB"/>
    <w:rsid w:val="00075980"/>
    <w:rsid w:val="0008102A"/>
    <w:rsid w:val="00084820"/>
    <w:rsid w:val="000849DC"/>
    <w:rsid w:val="00086C91"/>
    <w:rsid w:val="00086E49"/>
    <w:rsid w:val="00090EB2"/>
    <w:rsid w:val="000932CA"/>
    <w:rsid w:val="00093FB0"/>
    <w:rsid w:val="00094801"/>
    <w:rsid w:val="0009739E"/>
    <w:rsid w:val="000A132B"/>
    <w:rsid w:val="000A184C"/>
    <w:rsid w:val="000A1EAF"/>
    <w:rsid w:val="000A34A3"/>
    <w:rsid w:val="000A4A82"/>
    <w:rsid w:val="000B2375"/>
    <w:rsid w:val="000B2387"/>
    <w:rsid w:val="000B4D70"/>
    <w:rsid w:val="000B67EC"/>
    <w:rsid w:val="000B6A5C"/>
    <w:rsid w:val="000C008E"/>
    <w:rsid w:val="000C086B"/>
    <w:rsid w:val="000C35DF"/>
    <w:rsid w:val="000C4612"/>
    <w:rsid w:val="000C611F"/>
    <w:rsid w:val="000C7413"/>
    <w:rsid w:val="000C7BDE"/>
    <w:rsid w:val="000D138A"/>
    <w:rsid w:val="000D1B09"/>
    <w:rsid w:val="000D35CC"/>
    <w:rsid w:val="000D5E3A"/>
    <w:rsid w:val="000D6BAD"/>
    <w:rsid w:val="000D6F6E"/>
    <w:rsid w:val="000E1A30"/>
    <w:rsid w:val="000E284D"/>
    <w:rsid w:val="000E2C47"/>
    <w:rsid w:val="000E4B54"/>
    <w:rsid w:val="000F0FEA"/>
    <w:rsid w:val="000F249C"/>
    <w:rsid w:val="000F4F48"/>
    <w:rsid w:val="000F7266"/>
    <w:rsid w:val="001012D6"/>
    <w:rsid w:val="001015DB"/>
    <w:rsid w:val="00103838"/>
    <w:rsid w:val="001041C1"/>
    <w:rsid w:val="00105026"/>
    <w:rsid w:val="0010628A"/>
    <w:rsid w:val="001062F0"/>
    <w:rsid w:val="00106527"/>
    <w:rsid w:val="001066E4"/>
    <w:rsid w:val="0010738A"/>
    <w:rsid w:val="00113357"/>
    <w:rsid w:val="0011500B"/>
    <w:rsid w:val="0011696F"/>
    <w:rsid w:val="00116B69"/>
    <w:rsid w:val="00116C32"/>
    <w:rsid w:val="0012300C"/>
    <w:rsid w:val="00123E41"/>
    <w:rsid w:val="0013446C"/>
    <w:rsid w:val="00134C5E"/>
    <w:rsid w:val="00141635"/>
    <w:rsid w:val="001421F0"/>
    <w:rsid w:val="00144030"/>
    <w:rsid w:val="00144665"/>
    <w:rsid w:val="0014590B"/>
    <w:rsid w:val="0014608F"/>
    <w:rsid w:val="001464A9"/>
    <w:rsid w:val="001474CD"/>
    <w:rsid w:val="00150835"/>
    <w:rsid w:val="00150F6C"/>
    <w:rsid w:val="00152138"/>
    <w:rsid w:val="00152719"/>
    <w:rsid w:val="0015410A"/>
    <w:rsid w:val="001548C4"/>
    <w:rsid w:val="00154A2E"/>
    <w:rsid w:val="00155D4F"/>
    <w:rsid w:val="00161593"/>
    <w:rsid w:val="00162552"/>
    <w:rsid w:val="00162BE5"/>
    <w:rsid w:val="001654FA"/>
    <w:rsid w:val="00165D79"/>
    <w:rsid w:val="00165E5E"/>
    <w:rsid w:val="001663C6"/>
    <w:rsid w:val="001664C4"/>
    <w:rsid w:val="00174A88"/>
    <w:rsid w:val="001769E8"/>
    <w:rsid w:val="00176EAC"/>
    <w:rsid w:val="00180510"/>
    <w:rsid w:val="001814FC"/>
    <w:rsid w:val="00181ABA"/>
    <w:rsid w:val="001823BD"/>
    <w:rsid w:val="00184878"/>
    <w:rsid w:val="0018494B"/>
    <w:rsid w:val="0018500E"/>
    <w:rsid w:val="00187CCF"/>
    <w:rsid w:val="001916ED"/>
    <w:rsid w:val="001916F6"/>
    <w:rsid w:val="00191939"/>
    <w:rsid w:val="0019233E"/>
    <w:rsid w:val="0019403B"/>
    <w:rsid w:val="001954E7"/>
    <w:rsid w:val="00197358"/>
    <w:rsid w:val="001A254B"/>
    <w:rsid w:val="001A3C39"/>
    <w:rsid w:val="001A4577"/>
    <w:rsid w:val="001A4B2D"/>
    <w:rsid w:val="001A7A0F"/>
    <w:rsid w:val="001B148A"/>
    <w:rsid w:val="001B3126"/>
    <w:rsid w:val="001B395E"/>
    <w:rsid w:val="001B491E"/>
    <w:rsid w:val="001B493A"/>
    <w:rsid w:val="001B5E04"/>
    <w:rsid w:val="001B5E26"/>
    <w:rsid w:val="001B672F"/>
    <w:rsid w:val="001C2EBF"/>
    <w:rsid w:val="001C36AE"/>
    <w:rsid w:val="001C3B07"/>
    <w:rsid w:val="001C3EFB"/>
    <w:rsid w:val="001C46ED"/>
    <w:rsid w:val="001C6DE8"/>
    <w:rsid w:val="001C6F23"/>
    <w:rsid w:val="001D0556"/>
    <w:rsid w:val="001D0C66"/>
    <w:rsid w:val="001D18BB"/>
    <w:rsid w:val="001D2F0E"/>
    <w:rsid w:val="001D32DB"/>
    <w:rsid w:val="001D418D"/>
    <w:rsid w:val="001D4516"/>
    <w:rsid w:val="001D4D48"/>
    <w:rsid w:val="001D6991"/>
    <w:rsid w:val="001D711C"/>
    <w:rsid w:val="001D7365"/>
    <w:rsid w:val="001E3464"/>
    <w:rsid w:val="001E471A"/>
    <w:rsid w:val="001E74D7"/>
    <w:rsid w:val="001F124F"/>
    <w:rsid w:val="001F569C"/>
    <w:rsid w:val="001F5D91"/>
    <w:rsid w:val="001F5F53"/>
    <w:rsid w:val="001F799E"/>
    <w:rsid w:val="001F7C21"/>
    <w:rsid w:val="002009D1"/>
    <w:rsid w:val="00200E34"/>
    <w:rsid w:val="00201C86"/>
    <w:rsid w:val="00203CB8"/>
    <w:rsid w:val="00204FD8"/>
    <w:rsid w:val="00205545"/>
    <w:rsid w:val="0020578E"/>
    <w:rsid w:val="00205C59"/>
    <w:rsid w:val="00207327"/>
    <w:rsid w:val="0021010F"/>
    <w:rsid w:val="00210799"/>
    <w:rsid w:val="002127D5"/>
    <w:rsid w:val="00216801"/>
    <w:rsid w:val="0021783F"/>
    <w:rsid w:val="00221D7C"/>
    <w:rsid w:val="00222BA9"/>
    <w:rsid w:val="00222E45"/>
    <w:rsid w:val="0022349B"/>
    <w:rsid w:val="00224050"/>
    <w:rsid w:val="002241DD"/>
    <w:rsid w:val="0022570B"/>
    <w:rsid w:val="00225C02"/>
    <w:rsid w:val="0023041C"/>
    <w:rsid w:val="0023300E"/>
    <w:rsid w:val="00234705"/>
    <w:rsid w:val="00235400"/>
    <w:rsid w:val="002404E4"/>
    <w:rsid w:val="0024064C"/>
    <w:rsid w:val="00243F30"/>
    <w:rsid w:val="002451BC"/>
    <w:rsid w:val="00245888"/>
    <w:rsid w:val="00247168"/>
    <w:rsid w:val="00250143"/>
    <w:rsid w:val="00251AF3"/>
    <w:rsid w:val="00251EC9"/>
    <w:rsid w:val="00252E54"/>
    <w:rsid w:val="00257653"/>
    <w:rsid w:val="002600CE"/>
    <w:rsid w:val="00267D47"/>
    <w:rsid w:val="002724C5"/>
    <w:rsid w:val="00272C4C"/>
    <w:rsid w:val="00274572"/>
    <w:rsid w:val="0027578E"/>
    <w:rsid w:val="00275AC0"/>
    <w:rsid w:val="00277886"/>
    <w:rsid w:val="00277E6E"/>
    <w:rsid w:val="00277FFD"/>
    <w:rsid w:val="00281959"/>
    <w:rsid w:val="00281DD2"/>
    <w:rsid w:val="00282187"/>
    <w:rsid w:val="00282E74"/>
    <w:rsid w:val="00283587"/>
    <w:rsid w:val="002871F8"/>
    <w:rsid w:val="002916EB"/>
    <w:rsid w:val="002927B8"/>
    <w:rsid w:val="00293A05"/>
    <w:rsid w:val="0029446E"/>
    <w:rsid w:val="00295D6F"/>
    <w:rsid w:val="002970AE"/>
    <w:rsid w:val="002A0925"/>
    <w:rsid w:val="002A1303"/>
    <w:rsid w:val="002A238F"/>
    <w:rsid w:val="002A2929"/>
    <w:rsid w:val="002A3676"/>
    <w:rsid w:val="002A3CF6"/>
    <w:rsid w:val="002A4DBF"/>
    <w:rsid w:val="002A5C80"/>
    <w:rsid w:val="002A5CB9"/>
    <w:rsid w:val="002A6BB0"/>
    <w:rsid w:val="002A724F"/>
    <w:rsid w:val="002B3A7D"/>
    <w:rsid w:val="002B3FEC"/>
    <w:rsid w:val="002B5788"/>
    <w:rsid w:val="002C0632"/>
    <w:rsid w:val="002C189B"/>
    <w:rsid w:val="002C199C"/>
    <w:rsid w:val="002C1CDC"/>
    <w:rsid w:val="002C261E"/>
    <w:rsid w:val="002C419E"/>
    <w:rsid w:val="002C523F"/>
    <w:rsid w:val="002C5D33"/>
    <w:rsid w:val="002C730E"/>
    <w:rsid w:val="002D26E0"/>
    <w:rsid w:val="002D624D"/>
    <w:rsid w:val="002D786C"/>
    <w:rsid w:val="002D7A3F"/>
    <w:rsid w:val="002D7BBB"/>
    <w:rsid w:val="002E3BB8"/>
    <w:rsid w:val="002E5A99"/>
    <w:rsid w:val="002E77D2"/>
    <w:rsid w:val="002F096C"/>
    <w:rsid w:val="002F2FD9"/>
    <w:rsid w:val="002F325F"/>
    <w:rsid w:val="002F40DF"/>
    <w:rsid w:val="002F437C"/>
    <w:rsid w:val="002F6EDF"/>
    <w:rsid w:val="0030197C"/>
    <w:rsid w:val="00302B59"/>
    <w:rsid w:val="0030305D"/>
    <w:rsid w:val="00304CC6"/>
    <w:rsid w:val="00305009"/>
    <w:rsid w:val="00307689"/>
    <w:rsid w:val="00314C96"/>
    <w:rsid w:val="0031635B"/>
    <w:rsid w:val="00316A11"/>
    <w:rsid w:val="0032070E"/>
    <w:rsid w:val="003208E9"/>
    <w:rsid w:val="00320D56"/>
    <w:rsid w:val="00322B18"/>
    <w:rsid w:val="00323113"/>
    <w:rsid w:val="00325C49"/>
    <w:rsid w:val="00326A50"/>
    <w:rsid w:val="003271A3"/>
    <w:rsid w:val="00327295"/>
    <w:rsid w:val="00327B9A"/>
    <w:rsid w:val="00327BCD"/>
    <w:rsid w:val="00332830"/>
    <w:rsid w:val="00333E66"/>
    <w:rsid w:val="00333EE2"/>
    <w:rsid w:val="00335A8B"/>
    <w:rsid w:val="00335CEF"/>
    <w:rsid w:val="003417FA"/>
    <w:rsid w:val="003420D3"/>
    <w:rsid w:val="00342362"/>
    <w:rsid w:val="003436B0"/>
    <w:rsid w:val="0034701B"/>
    <w:rsid w:val="0034763C"/>
    <w:rsid w:val="00351103"/>
    <w:rsid w:val="00351E9D"/>
    <w:rsid w:val="0035467E"/>
    <w:rsid w:val="0035619D"/>
    <w:rsid w:val="003568E2"/>
    <w:rsid w:val="0035741A"/>
    <w:rsid w:val="0036145B"/>
    <w:rsid w:val="003647AB"/>
    <w:rsid w:val="003648A7"/>
    <w:rsid w:val="003673BF"/>
    <w:rsid w:val="00372090"/>
    <w:rsid w:val="00372319"/>
    <w:rsid w:val="00372F71"/>
    <w:rsid w:val="00373741"/>
    <w:rsid w:val="00375474"/>
    <w:rsid w:val="00376641"/>
    <w:rsid w:val="00376CB5"/>
    <w:rsid w:val="00380E7B"/>
    <w:rsid w:val="00381CB7"/>
    <w:rsid w:val="00383DEB"/>
    <w:rsid w:val="003846BB"/>
    <w:rsid w:val="00384704"/>
    <w:rsid w:val="00384923"/>
    <w:rsid w:val="003858CD"/>
    <w:rsid w:val="00386AE5"/>
    <w:rsid w:val="0038733E"/>
    <w:rsid w:val="003879B4"/>
    <w:rsid w:val="00391770"/>
    <w:rsid w:val="003922D1"/>
    <w:rsid w:val="00392CFE"/>
    <w:rsid w:val="00393190"/>
    <w:rsid w:val="003936D5"/>
    <w:rsid w:val="00394246"/>
    <w:rsid w:val="00396683"/>
    <w:rsid w:val="0039758C"/>
    <w:rsid w:val="003A00B3"/>
    <w:rsid w:val="003A3136"/>
    <w:rsid w:val="003A3775"/>
    <w:rsid w:val="003A5309"/>
    <w:rsid w:val="003A6743"/>
    <w:rsid w:val="003A67F4"/>
    <w:rsid w:val="003A6C43"/>
    <w:rsid w:val="003B270C"/>
    <w:rsid w:val="003B5AC1"/>
    <w:rsid w:val="003B5C29"/>
    <w:rsid w:val="003B6CFF"/>
    <w:rsid w:val="003C0561"/>
    <w:rsid w:val="003C25E3"/>
    <w:rsid w:val="003C40BA"/>
    <w:rsid w:val="003C41DF"/>
    <w:rsid w:val="003C65A3"/>
    <w:rsid w:val="003C65C8"/>
    <w:rsid w:val="003D05E2"/>
    <w:rsid w:val="003D2709"/>
    <w:rsid w:val="003D3A6E"/>
    <w:rsid w:val="003E0082"/>
    <w:rsid w:val="003E0768"/>
    <w:rsid w:val="003E15E3"/>
    <w:rsid w:val="003E2388"/>
    <w:rsid w:val="003E45AC"/>
    <w:rsid w:val="003E7708"/>
    <w:rsid w:val="003F09EC"/>
    <w:rsid w:val="003F0CB6"/>
    <w:rsid w:val="003F627D"/>
    <w:rsid w:val="00402350"/>
    <w:rsid w:val="00402A5B"/>
    <w:rsid w:val="004034FB"/>
    <w:rsid w:val="00403600"/>
    <w:rsid w:val="0040481B"/>
    <w:rsid w:val="004117A5"/>
    <w:rsid w:val="004136C9"/>
    <w:rsid w:val="00414E81"/>
    <w:rsid w:val="004152AB"/>
    <w:rsid w:val="00417600"/>
    <w:rsid w:val="00420B82"/>
    <w:rsid w:val="00422F74"/>
    <w:rsid w:val="004236CC"/>
    <w:rsid w:val="0042650D"/>
    <w:rsid w:val="00430560"/>
    <w:rsid w:val="00431D6C"/>
    <w:rsid w:val="00434F6A"/>
    <w:rsid w:val="00435A25"/>
    <w:rsid w:val="004365DE"/>
    <w:rsid w:val="00436D9E"/>
    <w:rsid w:val="00437967"/>
    <w:rsid w:val="0044022B"/>
    <w:rsid w:val="004403F1"/>
    <w:rsid w:val="00440B34"/>
    <w:rsid w:val="0044122D"/>
    <w:rsid w:val="004432B2"/>
    <w:rsid w:val="0044353C"/>
    <w:rsid w:val="004439FA"/>
    <w:rsid w:val="00443FB5"/>
    <w:rsid w:val="00445F86"/>
    <w:rsid w:val="00446E38"/>
    <w:rsid w:val="00451DBF"/>
    <w:rsid w:val="00452107"/>
    <w:rsid w:val="004545CD"/>
    <w:rsid w:val="004560A8"/>
    <w:rsid w:val="00461C39"/>
    <w:rsid w:val="00461D71"/>
    <w:rsid w:val="0046246C"/>
    <w:rsid w:val="00462C1B"/>
    <w:rsid w:val="004664BF"/>
    <w:rsid w:val="00474FF5"/>
    <w:rsid w:val="00475864"/>
    <w:rsid w:val="00480DF9"/>
    <w:rsid w:val="00484A46"/>
    <w:rsid w:val="0048760B"/>
    <w:rsid w:val="0049207C"/>
    <w:rsid w:val="00493366"/>
    <w:rsid w:val="00496130"/>
    <w:rsid w:val="00497F83"/>
    <w:rsid w:val="004A09AE"/>
    <w:rsid w:val="004A1690"/>
    <w:rsid w:val="004A33C1"/>
    <w:rsid w:val="004A4DCE"/>
    <w:rsid w:val="004A6EA0"/>
    <w:rsid w:val="004A7B49"/>
    <w:rsid w:val="004B19D7"/>
    <w:rsid w:val="004B1C32"/>
    <w:rsid w:val="004B36A8"/>
    <w:rsid w:val="004B4282"/>
    <w:rsid w:val="004B6722"/>
    <w:rsid w:val="004C0313"/>
    <w:rsid w:val="004C0DEC"/>
    <w:rsid w:val="004C1861"/>
    <w:rsid w:val="004C55AC"/>
    <w:rsid w:val="004C56B8"/>
    <w:rsid w:val="004C7F6D"/>
    <w:rsid w:val="004D113D"/>
    <w:rsid w:val="004D26AB"/>
    <w:rsid w:val="004D4799"/>
    <w:rsid w:val="004D47EA"/>
    <w:rsid w:val="004D4A15"/>
    <w:rsid w:val="004D7A13"/>
    <w:rsid w:val="004E3D60"/>
    <w:rsid w:val="004E4626"/>
    <w:rsid w:val="004F0181"/>
    <w:rsid w:val="004F2AC3"/>
    <w:rsid w:val="004F3B34"/>
    <w:rsid w:val="004F4878"/>
    <w:rsid w:val="004F4F45"/>
    <w:rsid w:val="004F6116"/>
    <w:rsid w:val="00503029"/>
    <w:rsid w:val="00505EDD"/>
    <w:rsid w:val="00511CEF"/>
    <w:rsid w:val="00513719"/>
    <w:rsid w:val="00517654"/>
    <w:rsid w:val="00517C19"/>
    <w:rsid w:val="00523CDB"/>
    <w:rsid w:val="00524242"/>
    <w:rsid w:val="005250AE"/>
    <w:rsid w:val="00525BCC"/>
    <w:rsid w:val="005274F9"/>
    <w:rsid w:val="00527B71"/>
    <w:rsid w:val="005300F5"/>
    <w:rsid w:val="00530979"/>
    <w:rsid w:val="005310E1"/>
    <w:rsid w:val="0053119F"/>
    <w:rsid w:val="005329C6"/>
    <w:rsid w:val="00532F12"/>
    <w:rsid w:val="00533000"/>
    <w:rsid w:val="00533310"/>
    <w:rsid w:val="00533CF9"/>
    <w:rsid w:val="00534DF0"/>
    <w:rsid w:val="005352E2"/>
    <w:rsid w:val="005354F7"/>
    <w:rsid w:val="005360A4"/>
    <w:rsid w:val="005421C6"/>
    <w:rsid w:val="00543D3B"/>
    <w:rsid w:val="00545998"/>
    <w:rsid w:val="005459AA"/>
    <w:rsid w:val="00547710"/>
    <w:rsid w:val="005504D7"/>
    <w:rsid w:val="00550952"/>
    <w:rsid w:val="005525AF"/>
    <w:rsid w:val="005576F4"/>
    <w:rsid w:val="005578C3"/>
    <w:rsid w:val="00562DB6"/>
    <w:rsid w:val="005657ED"/>
    <w:rsid w:val="00565D44"/>
    <w:rsid w:val="00566DF6"/>
    <w:rsid w:val="00571EDE"/>
    <w:rsid w:val="00573EBD"/>
    <w:rsid w:val="0057547D"/>
    <w:rsid w:val="00576467"/>
    <w:rsid w:val="0057746C"/>
    <w:rsid w:val="005805FB"/>
    <w:rsid w:val="00580804"/>
    <w:rsid w:val="00582487"/>
    <w:rsid w:val="005825D2"/>
    <w:rsid w:val="005826DE"/>
    <w:rsid w:val="00585523"/>
    <w:rsid w:val="00585CD3"/>
    <w:rsid w:val="00587917"/>
    <w:rsid w:val="00590745"/>
    <w:rsid w:val="00591D0C"/>
    <w:rsid w:val="00592770"/>
    <w:rsid w:val="00592907"/>
    <w:rsid w:val="0059314F"/>
    <w:rsid w:val="005969BB"/>
    <w:rsid w:val="00597E75"/>
    <w:rsid w:val="005A026B"/>
    <w:rsid w:val="005A0B78"/>
    <w:rsid w:val="005A3BA4"/>
    <w:rsid w:val="005A56D2"/>
    <w:rsid w:val="005A58CD"/>
    <w:rsid w:val="005A5AEA"/>
    <w:rsid w:val="005A61C2"/>
    <w:rsid w:val="005A6D58"/>
    <w:rsid w:val="005A7E3C"/>
    <w:rsid w:val="005B125F"/>
    <w:rsid w:val="005B5437"/>
    <w:rsid w:val="005B6005"/>
    <w:rsid w:val="005B6628"/>
    <w:rsid w:val="005C27B8"/>
    <w:rsid w:val="005C3A4E"/>
    <w:rsid w:val="005C42AF"/>
    <w:rsid w:val="005C591E"/>
    <w:rsid w:val="005D0635"/>
    <w:rsid w:val="005D1E5E"/>
    <w:rsid w:val="005D512A"/>
    <w:rsid w:val="005D57E3"/>
    <w:rsid w:val="005D6987"/>
    <w:rsid w:val="005E175F"/>
    <w:rsid w:val="005E2453"/>
    <w:rsid w:val="005E3460"/>
    <w:rsid w:val="005E7801"/>
    <w:rsid w:val="005F17B3"/>
    <w:rsid w:val="005F1F75"/>
    <w:rsid w:val="005F65E1"/>
    <w:rsid w:val="00601844"/>
    <w:rsid w:val="0060196C"/>
    <w:rsid w:val="00601D1C"/>
    <w:rsid w:val="0060393C"/>
    <w:rsid w:val="00603A8D"/>
    <w:rsid w:val="0060522F"/>
    <w:rsid w:val="00605C37"/>
    <w:rsid w:val="00606F30"/>
    <w:rsid w:val="00607155"/>
    <w:rsid w:val="00612422"/>
    <w:rsid w:val="006146C8"/>
    <w:rsid w:val="00614DEA"/>
    <w:rsid w:val="00615992"/>
    <w:rsid w:val="00620A45"/>
    <w:rsid w:val="00621D65"/>
    <w:rsid w:val="00621EE0"/>
    <w:rsid w:val="0062636B"/>
    <w:rsid w:val="006330E0"/>
    <w:rsid w:val="006361A5"/>
    <w:rsid w:val="0063678C"/>
    <w:rsid w:val="006429A9"/>
    <w:rsid w:val="006434E4"/>
    <w:rsid w:val="00645789"/>
    <w:rsid w:val="00646514"/>
    <w:rsid w:val="00646A0A"/>
    <w:rsid w:val="00650839"/>
    <w:rsid w:val="00651157"/>
    <w:rsid w:val="0065153C"/>
    <w:rsid w:val="0065352F"/>
    <w:rsid w:val="00653844"/>
    <w:rsid w:val="00655D56"/>
    <w:rsid w:val="0065758A"/>
    <w:rsid w:val="006619CD"/>
    <w:rsid w:val="006634A8"/>
    <w:rsid w:val="006636B1"/>
    <w:rsid w:val="00665147"/>
    <w:rsid w:val="00666043"/>
    <w:rsid w:val="00666215"/>
    <w:rsid w:val="00666900"/>
    <w:rsid w:val="00667198"/>
    <w:rsid w:val="0067087B"/>
    <w:rsid w:val="00673101"/>
    <w:rsid w:val="00675A37"/>
    <w:rsid w:val="00677E4A"/>
    <w:rsid w:val="00682AD8"/>
    <w:rsid w:val="00683683"/>
    <w:rsid w:val="006864A7"/>
    <w:rsid w:val="00690A7D"/>
    <w:rsid w:val="0069114A"/>
    <w:rsid w:val="00694BAB"/>
    <w:rsid w:val="006974AB"/>
    <w:rsid w:val="006A086E"/>
    <w:rsid w:val="006A2987"/>
    <w:rsid w:val="006A2F22"/>
    <w:rsid w:val="006A441D"/>
    <w:rsid w:val="006A4F3F"/>
    <w:rsid w:val="006A5B87"/>
    <w:rsid w:val="006A6352"/>
    <w:rsid w:val="006A7C11"/>
    <w:rsid w:val="006B4B8C"/>
    <w:rsid w:val="006B655F"/>
    <w:rsid w:val="006C0851"/>
    <w:rsid w:val="006C560F"/>
    <w:rsid w:val="006C64FB"/>
    <w:rsid w:val="006C78CC"/>
    <w:rsid w:val="006D1EB2"/>
    <w:rsid w:val="006D36D8"/>
    <w:rsid w:val="006D6328"/>
    <w:rsid w:val="006E480E"/>
    <w:rsid w:val="006F0F98"/>
    <w:rsid w:val="006F2787"/>
    <w:rsid w:val="006F3E43"/>
    <w:rsid w:val="006F5AD6"/>
    <w:rsid w:val="006F6250"/>
    <w:rsid w:val="007006D0"/>
    <w:rsid w:val="0070095E"/>
    <w:rsid w:val="00703779"/>
    <w:rsid w:val="00704189"/>
    <w:rsid w:val="0070518D"/>
    <w:rsid w:val="00710EA6"/>
    <w:rsid w:val="007120F0"/>
    <w:rsid w:val="0071282B"/>
    <w:rsid w:val="007145B6"/>
    <w:rsid w:val="00714EEE"/>
    <w:rsid w:val="00715C1C"/>
    <w:rsid w:val="00716FE6"/>
    <w:rsid w:val="00720E0D"/>
    <w:rsid w:val="0072250A"/>
    <w:rsid w:val="007227E8"/>
    <w:rsid w:val="007248C0"/>
    <w:rsid w:val="007248C3"/>
    <w:rsid w:val="007257B9"/>
    <w:rsid w:val="00727654"/>
    <w:rsid w:val="007322B2"/>
    <w:rsid w:val="00732CB5"/>
    <w:rsid w:val="00733F1D"/>
    <w:rsid w:val="00735642"/>
    <w:rsid w:val="00741203"/>
    <w:rsid w:val="00743B0B"/>
    <w:rsid w:val="007440EC"/>
    <w:rsid w:val="007460F1"/>
    <w:rsid w:val="007469BA"/>
    <w:rsid w:val="00746E0B"/>
    <w:rsid w:val="0074771E"/>
    <w:rsid w:val="00750E27"/>
    <w:rsid w:val="00751131"/>
    <w:rsid w:val="007516FE"/>
    <w:rsid w:val="0075184B"/>
    <w:rsid w:val="00751C82"/>
    <w:rsid w:val="0075447C"/>
    <w:rsid w:val="00756CFB"/>
    <w:rsid w:val="00757057"/>
    <w:rsid w:val="007620EA"/>
    <w:rsid w:val="007641C3"/>
    <w:rsid w:val="007676DD"/>
    <w:rsid w:val="00767D5D"/>
    <w:rsid w:val="00771090"/>
    <w:rsid w:val="00774B67"/>
    <w:rsid w:val="00775288"/>
    <w:rsid w:val="00775B5E"/>
    <w:rsid w:val="00775F61"/>
    <w:rsid w:val="00776FEA"/>
    <w:rsid w:val="00777004"/>
    <w:rsid w:val="007802EF"/>
    <w:rsid w:val="00780933"/>
    <w:rsid w:val="00782754"/>
    <w:rsid w:val="00782F38"/>
    <w:rsid w:val="00783B63"/>
    <w:rsid w:val="00784E48"/>
    <w:rsid w:val="0079003A"/>
    <w:rsid w:val="00790389"/>
    <w:rsid w:val="00791074"/>
    <w:rsid w:val="00794A8B"/>
    <w:rsid w:val="00796DD8"/>
    <w:rsid w:val="007A3032"/>
    <w:rsid w:val="007A4CE8"/>
    <w:rsid w:val="007A5891"/>
    <w:rsid w:val="007A684C"/>
    <w:rsid w:val="007A7EF3"/>
    <w:rsid w:val="007B2AFD"/>
    <w:rsid w:val="007B2FA8"/>
    <w:rsid w:val="007B67B0"/>
    <w:rsid w:val="007B7646"/>
    <w:rsid w:val="007C248B"/>
    <w:rsid w:val="007C3294"/>
    <w:rsid w:val="007C4335"/>
    <w:rsid w:val="007C615A"/>
    <w:rsid w:val="007D057E"/>
    <w:rsid w:val="007D0B32"/>
    <w:rsid w:val="007D18EF"/>
    <w:rsid w:val="007D3247"/>
    <w:rsid w:val="007D7ED9"/>
    <w:rsid w:val="007E3805"/>
    <w:rsid w:val="007E4104"/>
    <w:rsid w:val="007E5A5C"/>
    <w:rsid w:val="007E79A7"/>
    <w:rsid w:val="007E7D3A"/>
    <w:rsid w:val="007F01A1"/>
    <w:rsid w:val="007F04D6"/>
    <w:rsid w:val="007F1FE2"/>
    <w:rsid w:val="007F35DC"/>
    <w:rsid w:val="00800E10"/>
    <w:rsid w:val="00801206"/>
    <w:rsid w:val="008048C9"/>
    <w:rsid w:val="0080662D"/>
    <w:rsid w:val="00806AFE"/>
    <w:rsid w:val="00807F0D"/>
    <w:rsid w:val="008102C4"/>
    <w:rsid w:val="00810E76"/>
    <w:rsid w:val="0081145C"/>
    <w:rsid w:val="0081238D"/>
    <w:rsid w:val="008150FF"/>
    <w:rsid w:val="00815A5E"/>
    <w:rsid w:val="0082058B"/>
    <w:rsid w:val="00820BA5"/>
    <w:rsid w:val="00822007"/>
    <w:rsid w:val="00823AB2"/>
    <w:rsid w:val="00823B28"/>
    <w:rsid w:val="00824D5C"/>
    <w:rsid w:val="00827288"/>
    <w:rsid w:val="0083166F"/>
    <w:rsid w:val="0083188A"/>
    <w:rsid w:val="008327D5"/>
    <w:rsid w:val="00833060"/>
    <w:rsid w:val="008333C9"/>
    <w:rsid w:val="008336C2"/>
    <w:rsid w:val="00833C1F"/>
    <w:rsid w:val="00833F73"/>
    <w:rsid w:val="008430D2"/>
    <w:rsid w:val="00846021"/>
    <w:rsid w:val="008465BB"/>
    <w:rsid w:val="0085297F"/>
    <w:rsid w:val="0086058B"/>
    <w:rsid w:val="00860592"/>
    <w:rsid w:val="00862585"/>
    <w:rsid w:val="008631F1"/>
    <w:rsid w:val="00863B2F"/>
    <w:rsid w:val="008645EB"/>
    <w:rsid w:val="00866A53"/>
    <w:rsid w:val="00871EAD"/>
    <w:rsid w:val="00872D05"/>
    <w:rsid w:val="00873C43"/>
    <w:rsid w:val="00873C4B"/>
    <w:rsid w:val="00873D9A"/>
    <w:rsid w:val="00875427"/>
    <w:rsid w:val="008768F0"/>
    <w:rsid w:val="00880717"/>
    <w:rsid w:val="0088215E"/>
    <w:rsid w:val="00882C11"/>
    <w:rsid w:val="00884135"/>
    <w:rsid w:val="00884277"/>
    <w:rsid w:val="00884BA0"/>
    <w:rsid w:val="00885A47"/>
    <w:rsid w:val="0088670B"/>
    <w:rsid w:val="00890FBD"/>
    <w:rsid w:val="00891D5D"/>
    <w:rsid w:val="00896A1A"/>
    <w:rsid w:val="00897402"/>
    <w:rsid w:val="008A0749"/>
    <w:rsid w:val="008A08CB"/>
    <w:rsid w:val="008A0968"/>
    <w:rsid w:val="008A2687"/>
    <w:rsid w:val="008A3B5C"/>
    <w:rsid w:val="008A7F7E"/>
    <w:rsid w:val="008B0D41"/>
    <w:rsid w:val="008B6241"/>
    <w:rsid w:val="008B74EB"/>
    <w:rsid w:val="008B7DB2"/>
    <w:rsid w:val="008C24EA"/>
    <w:rsid w:val="008C4806"/>
    <w:rsid w:val="008C78EB"/>
    <w:rsid w:val="008D03C0"/>
    <w:rsid w:val="008D05C2"/>
    <w:rsid w:val="008D07C1"/>
    <w:rsid w:val="008D1A9C"/>
    <w:rsid w:val="008D1D96"/>
    <w:rsid w:val="008D225E"/>
    <w:rsid w:val="008D23BF"/>
    <w:rsid w:val="008D2FF8"/>
    <w:rsid w:val="008D380E"/>
    <w:rsid w:val="008D3BC2"/>
    <w:rsid w:val="008D3F6D"/>
    <w:rsid w:val="008D7B9F"/>
    <w:rsid w:val="008E1DA1"/>
    <w:rsid w:val="008E20BB"/>
    <w:rsid w:val="008E3E9B"/>
    <w:rsid w:val="008E4EFD"/>
    <w:rsid w:val="008E5C62"/>
    <w:rsid w:val="008F2CB7"/>
    <w:rsid w:val="008F378C"/>
    <w:rsid w:val="008F759D"/>
    <w:rsid w:val="008F7B3D"/>
    <w:rsid w:val="008F7E98"/>
    <w:rsid w:val="0090034E"/>
    <w:rsid w:val="0090385E"/>
    <w:rsid w:val="00903967"/>
    <w:rsid w:val="00905720"/>
    <w:rsid w:val="00905FA9"/>
    <w:rsid w:val="0090705E"/>
    <w:rsid w:val="00910BF1"/>
    <w:rsid w:val="00911561"/>
    <w:rsid w:val="00912F0C"/>
    <w:rsid w:val="009144DE"/>
    <w:rsid w:val="009148BB"/>
    <w:rsid w:val="00914A91"/>
    <w:rsid w:val="009151C7"/>
    <w:rsid w:val="00915412"/>
    <w:rsid w:val="00915A15"/>
    <w:rsid w:val="00920F8A"/>
    <w:rsid w:val="0092106E"/>
    <w:rsid w:val="009258D7"/>
    <w:rsid w:val="00926375"/>
    <w:rsid w:val="00926A1F"/>
    <w:rsid w:val="0093207B"/>
    <w:rsid w:val="00932F5E"/>
    <w:rsid w:val="00933736"/>
    <w:rsid w:val="00934E52"/>
    <w:rsid w:val="00934FA2"/>
    <w:rsid w:val="00935FCF"/>
    <w:rsid w:val="00936B12"/>
    <w:rsid w:val="00940CD9"/>
    <w:rsid w:val="009438CF"/>
    <w:rsid w:val="00943B67"/>
    <w:rsid w:val="009441CD"/>
    <w:rsid w:val="0094621A"/>
    <w:rsid w:val="00946A16"/>
    <w:rsid w:val="00946CC4"/>
    <w:rsid w:val="00950597"/>
    <w:rsid w:val="009508AA"/>
    <w:rsid w:val="00950D32"/>
    <w:rsid w:val="00951886"/>
    <w:rsid w:val="00951A2E"/>
    <w:rsid w:val="00951BBE"/>
    <w:rsid w:val="00951FD6"/>
    <w:rsid w:val="00962BB6"/>
    <w:rsid w:val="009674DA"/>
    <w:rsid w:val="00972B7D"/>
    <w:rsid w:val="00975B81"/>
    <w:rsid w:val="00975F2F"/>
    <w:rsid w:val="009775E0"/>
    <w:rsid w:val="0098022B"/>
    <w:rsid w:val="00980E85"/>
    <w:rsid w:val="009811D9"/>
    <w:rsid w:val="009828CF"/>
    <w:rsid w:val="009833A4"/>
    <w:rsid w:val="009847D6"/>
    <w:rsid w:val="00985F9B"/>
    <w:rsid w:val="00987535"/>
    <w:rsid w:val="00987A91"/>
    <w:rsid w:val="00995146"/>
    <w:rsid w:val="0099610D"/>
    <w:rsid w:val="00996ACC"/>
    <w:rsid w:val="009A27E7"/>
    <w:rsid w:val="009A2C3C"/>
    <w:rsid w:val="009A526B"/>
    <w:rsid w:val="009A63F7"/>
    <w:rsid w:val="009A6A7C"/>
    <w:rsid w:val="009B1784"/>
    <w:rsid w:val="009B28D2"/>
    <w:rsid w:val="009B4C24"/>
    <w:rsid w:val="009B5D7A"/>
    <w:rsid w:val="009B792D"/>
    <w:rsid w:val="009C1236"/>
    <w:rsid w:val="009C138E"/>
    <w:rsid w:val="009C3F75"/>
    <w:rsid w:val="009C6E06"/>
    <w:rsid w:val="009D18BF"/>
    <w:rsid w:val="009D1A7D"/>
    <w:rsid w:val="009D1E25"/>
    <w:rsid w:val="009D329C"/>
    <w:rsid w:val="009D4312"/>
    <w:rsid w:val="009D4508"/>
    <w:rsid w:val="009D5EFB"/>
    <w:rsid w:val="009D706E"/>
    <w:rsid w:val="009E4E48"/>
    <w:rsid w:val="009E5136"/>
    <w:rsid w:val="009E6F46"/>
    <w:rsid w:val="009F020F"/>
    <w:rsid w:val="009F1A1B"/>
    <w:rsid w:val="009F2ED0"/>
    <w:rsid w:val="009F5E83"/>
    <w:rsid w:val="009F6CC9"/>
    <w:rsid w:val="009F7073"/>
    <w:rsid w:val="009F7900"/>
    <w:rsid w:val="00A00414"/>
    <w:rsid w:val="00A00C78"/>
    <w:rsid w:val="00A020E8"/>
    <w:rsid w:val="00A02879"/>
    <w:rsid w:val="00A03E34"/>
    <w:rsid w:val="00A04EB6"/>
    <w:rsid w:val="00A05203"/>
    <w:rsid w:val="00A10AD9"/>
    <w:rsid w:val="00A1316E"/>
    <w:rsid w:val="00A15431"/>
    <w:rsid w:val="00A16A66"/>
    <w:rsid w:val="00A17935"/>
    <w:rsid w:val="00A2154C"/>
    <w:rsid w:val="00A21CD7"/>
    <w:rsid w:val="00A2252B"/>
    <w:rsid w:val="00A22B99"/>
    <w:rsid w:val="00A231CC"/>
    <w:rsid w:val="00A25951"/>
    <w:rsid w:val="00A26684"/>
    <w:rsid w:val="00A26EC2"/>
    <w:rsid w:val="00A328E5"/>
    <w:rsid w:val="00A32A02"/>
    <w:rsid w:val="00A366AE"/>
    <w:rsid w:val="00A406B4"/>
    <w:rsid w:val="00A422AC"/>
    <w:rsid w:val="00A433E1"/>
    <w:rsid w:val="00A45FA5"/>
    <w:rsid w:val="00A46C7B"/>
    <w:rsid w:val="00A507DE"/>
    <w:rsid w:val="00A50A35"/>
    <w:rsid w:val="00A57244"/>
    <w:rsid w:val="00A60C4C"/>
    <w:rsid w:val="00A619E9"/>
    <w:rsid w:val="00A62033"/>
    <w:rsid w:val="00A65CAE"/>
    <w:rsid w:val="00A67070"/>
    <w:rsid w:val="00A67457"/>
    <w:rsid w:val="00A67D09"/>
    <w:rsid w:val="00A718B2"/>
    <w:rsid w:val="00A72E43"/>
    <w:rsid w:val="00A74F16"/>
    <w:rsid w:val="00A764FE"/>
    <w:rsid w:val="00A821C3"/>
    <w:rsid w:val="00A91E84"/>
    <w:rsid w:val="00A91E8E"/>
    <w:rsid w:val="00A92709"/>
    <w:rsid w:val="00A9308D"/>
    <w:rsid w:val="00A93EC8"/>
    <w:rsid w:val="00A96D39"/>
    <w:rsid w:val="00A97B48"/>
    <w:rsid w:val="00AA0C4E"/>
    <w:rsid w:val="00AA0EFD"/>
    <w:rsid w:val="00AA16E1"/>
    <w:rsid w:val="00AA4964"/>
    <w:rsid w:val="00AB3022"/>
    <w:rsid w:val="00AB3168"/>
    <w:rsid w:val="00AB54B5"/>
    <w:rsid w:val="00AB5F04"/>
    <w:rsid w:val="00AC140B"/>
    <w:rsid w:val="00AC1E0D"/>
    <w:rsid w:val="00AC40D7"/>
    <w:rsid w:val="00AC66BC"/>
    <w:rsid w:val="00AC6EDF"/>
    <w:rsid w:val="00AC71A4"/>
    <w:rsid w:val="00AD0ED8"/>
    <w:rsid w:val="00AD27B4"/>
    <w:rsid w:val="00AD46FC"/>
    <w:rsid w:val="00AD5556"/>
    <w:rsid w:val="00AD661A"/>
    <w:rsid w:val="00AE0194"/>
    <w:rsid w:val="00AE063F"/>
    <w:rsid w:val="00AE0991"/>
    <w:rsid w:val="00AE165A"/>
    <w:rsid w:val="00AE1F7D"/>
    <w:rsid w:val="00AE3EE9"/>
    <w:rsid w:val="00AE4197"/>
    <w:rsid w:val="00AE42E0"/>
    <w:rsid w:val="00AE4CCB"/>
    <w:rsid w:val="00AE5F81"/>
    <w:rsid w:val="00AE7E32"/>
    <w:rsid w:val="00AF0A9C"/>
    <w:rsid w:val="00AF4AF5"/>
    <w:rsid w:val="00AF729A"/>
    <w:rsid w:val="00AF7601"/>
    <w:rsid w:val="00AF77DB"/>
    <w:rsid w:val="00B013E9"/>
    <w:rsid w:val="00B0247F"/>
    <w:rsid w:val="00B0255B"/>
    <w:rsid w:val="00B02AEE"/>
    <w:rsid w:val="00B05B63"/>
    <w:rsid w:val="00B12CA8"/>
    <w:rsid w:val="00B1540B"/>
    <w:rsid w:val="00B176EF"/>
    <w:rsid w:val="00B20178"/>
    <w:rsid w:val="00B2135D"/>
    <w:rsid w:val="00B230CF"/>
    <w:rsid w:val="00B24205"/>
    <w:rsid w:val="00B248AC"/>
    <w:rsid w:val="00B27798"/>
    <w:rsid w:val="00B277C0"/>
    <w:rsid w:val="00B30ED5"/>
    <w:rsid w:val="00B3162C"/>
    <w:rsid w:val="00B3201E"/>
    <w:rsid w:val="00B34E67"/>
    <w:rsid w:val="00B41FFF"/>
    <w:rsid w:val="00B434D9"/>
    <w:rsid w:val="00B45535"/>
    <w:rsid w:val="00B471E0"/>
    <w:rsid w:val="00B501A0"/>
    <w:rsid w:val="00B52C57"/>
    <w:rsid w:val="00B53E83"/>
    <w:rsid w:val="00B54575"/>
    <w:rsid w:val="00B56896"/>
    <w:rsid w:val="00B627F0"/>
    <w:rsid w:val="00B63A2B"/>
    <w:rsid w:val="00B65BFE"/>
    <w:rsid w:val="00B66F07"/>
    <w:rsid w:val="00B6774D"/>
    <w:rsid w:val="00B7091F"/>
    <w:rsid w:val="00B71E3A"/>
    <w:rsid w:val="00B72BB5"/>
    <w:rsid w:val="00B7479E"/>
    <w:rsid w:val="00B755E6"/>
    <w:rsid w:val="00B75F6B"/>
    <w:rsid w:val="00B76985"/>
    <w:rsid w:val="00B77C24"/>
    <w:rsid w:val="00B77F80"/>
    <w:rsid w:val="00B80008"/>
    <w:rsid w:val="00B825FD"/>
    <w:rsid w:val="00B82F04"/>
    <w:rsid w:val="00B84E52"/>
    <w:rsid w:val="00B85155"/>
    <w:rsid w:val="00B86975"/>
    <w:rsid w:val="00B9042B"/>
    <w:rsid w:val="00B90A65"/>
    <w:rsid w:val="00B92EAF"/>
    <w:rsid w:val="00B93653"/>
    <w:rsid w:val="00B9481C"/>
    <w:rsid w:val="00B95914"/>
    <w:rsid w:val="00B96D7E"/>
    <w:rsid w:val="00BA287C"/>
    <w:rsid w:val="00BA37F3"/>
    <w:rsid w:val="00BA5584"/>
    <w:rsid w:val="00BA629B"/>
    <w:rsid w:val="00BA78E5"/>
    <w:rsid w:val="00BA7A60"/>
    <w:rsid w:val="00BB0D99"/>
    <w:rsid w:val="00BB1FC4"/>
    <w:rsid w:val="00BB22C7"/>
    <w:rsid w:val="00BB3B42"/>
    <w:rsid w:val="00BB4A1E"/>
    <w:rsid w:val="00BB62A5"/>
    <w:rsid w:val="00BB69A8"/>
    <w:rsid w:val="00BC0ACB"/>
    <w:rsid w:val="00BC18DD"/>
    <w:rsid w:val="00BC1E05"/>
    <w:rsid w:val="00BC336C"/>
    <w:rsid w:val="00BC3DDF"/>
    <w:rsid w:val="00BC45D1"/>
    <w:rsid w:val="00BC4C79"/>
    <w:rsid w:val="00BC5CBF"/>
    <w:rsid w:val="00BC5ECD"/>
    <w:rsid w:val="00BD011D"/>
    <w:rsid w:val="00BD15A6"/>
    <w:rsid w:val="00BD15C9"/>
    <w:rsid w:val="00BD2564"/>
    <w:rsid w:val="00BD2C8D"/>
    <w:rsid w:val="00BD5195"/>
    <w:rsid w:val="00BD5B7C"/>
    <w:rsid w:val="00BD7D0A"/>
    <w:rsid w:val="00BE049D"/>
    <w:rsid w:val="00BE0799"/>
    <w:rsid w:val="00BE08E7"/>
    <w:rsid w:val="00BE280E"/>
    <w:rsid w:val="00BE2BA8"/>
    <w:rsid w:val="00BE2E7A"/>
    <w:rsid w:val="00BE5297"/>
    <w:rsid w:val="00BE7DD0"/>
    <w:rsid w:val="00BF2137"/>
    <w:rsid w:val="00BF21B9"/>
    <w:rsid w:val="00BF35D7"/>
    <w:rsid w:val="00BF4BF9"/>
    <w:rsid w:val="00BF4C5E"/>
    <w:rsid w:val="00BF66D9"/>
    <w:rsid w:val="00C018A4"/>
    <w:rsid w:val="00C01ED2"/>
    <w:rsid w:val="00C02E41"/>
    <w:rsid w:val="00C040FE"/>
    <w:rsid w:val="00C04925"/>
    <w:rsid w:val="00C05505"/>
    <w:rsid w:val="00C06498"/>
    <w:rsid w:val="00C07958"/>
    <w:rsid w:val="00C101D1"/>
    <w:rsid w:val="00C12943"/>
    <w:rsid w:val="00C14E36"/>
    <w:rsid w:val="00C157BB"/>
    <w:rsid w:val="00C15DD1"/>
    <w:rsid w:val="00C164D0"/>
    <w:rsid w:val="00C17462"/>
    <w:rsid w:val="00C17482"/>
    <w:rsid w:val="00C23656"/>
    <w:rsid w:val="00C236F3"/>
    <w:rsid w:val="00C3110F"/>
    <w:rsid w:val="00C33AA8"/>
    <w:rsid w:val="00C3420A"/>
    <w:rsid w:val="00C354C2"/>
    <w:rsid w:val="00C3732A"/>
    <w:rsid w:val="00C37753"/>
    <w:rsid w:val="00C4015E"/>
    <w:rsid w:val="00C40836"/>
    <w:rsid w:val="00C42323"/>
    <w:rsid w:val="00C4241E"/>
    <w:rsid w:val="00C430D7"/>
    <w:rsid w:val="00C43F7B"/>
    <w:rsid w:val="00C44232"/>
    <w:rsid w:val="00C45CF6"/>
    <w:rsid w:val="00C46825"/>
    <w:rsid w:val="00C47517"/>
    <w:rsid w:val="00C4761F"/>
    <w:rsid w:val="00C501C9"/>
    <w:rsid w:val="00C51440"/>
    <w:rsid w:val="00C52A53"/>
    <w:rsid w:val="00C52A65"/>
    <w:rsid w:val="00C52FFE"/>
    <w:rsid w:val="00C53FF9"/>
    <w:rsid w:val="00C54F7D"/>
    <w:rsid w:val="00C560A5"/>
    <w:rsid w:val="00C56293"/>
    <w:rsid w:val="00C56846"/>
    <w:rsid w:val="00C5690D"/>
    <w:rsid w:val="00C56E03"/>
    <w:rsid w:val="00C57943"/>
    <w:rsid w:val="00C614EA"/>
    <w:rsid w:val="00C63106"/>
    <w:rsid w:val="00C6424E"/>
    <w:rsid w:val="00C64935"/>
    <w:rsid w:val="00C66265"/>
    <w:rsid w:val="00C666CE"/>
    <w:rsid w:val="00C66B47"/>
    <w:rsid w:val="00C67E75"/>
    <w:rsid w:val="00C70E7D"/>
    <w:rsid w:val="00C71629"/>
    <w:rsid w:val="00C72CF8"/>
    <w:rsid w:val="00C7312D"/>
    <w:rsid w:val="00C73C06"/>
    <w:rsid w:val="00C73C4D"/>
    <w:rsid w:val="00C7566B"/>
    <w:rsid w:val="00C81E62"/>
    <w:rsid w:val="00C82403"/>
    <w:rsid w:val="00C844CD"/>
    <w:rsid w:val="00C85329"/>
    <w:rsid w:val="00C86B9A"/>
    <w:rsid w:val="00C8765E"/>
    <w:rsid w:val="00C90B01"/>
    <w:rsid w:val="00C9133E"/>
    <w:rsid w:val="00C92B60"/>
    <w:rsid w:val="00C9360A"/>
    <w:rsid w:val="00C9361A"/>
    <w:rsid w:val="00C95796"/>
    <w:rsid w:val="00C979B2"/>
    <w:rsid w:val="00CA2B22"/>
    <w:rsid w:val="00CA3254"/>
    <w:rsid w:val="00CA4958"/>
    <w:rsid w:val="00CA5A23"/>
    <w:rsid w:val="00CA64F1"/>
    <w:rsid w:val="00CA78E7"/>
    <w:rsid w:val="00CA7D1D"/>
    <w:rsid w:val="00CB04D7"/>
    <w:rsid w:val="00CB4CF5"/>
    <w:rsid w:val="00CC0837"/>
    <w:rsid w:val="00CC1B90"/>
    <w:rsid w:val="00CC2B34"/>
    <w:rsid w:val="00CC2D17"/>
    <w:rsid w:val="00CC71A2"/>
    <w:rsid w:val="00CD0D68"/>
    <w:rsid w:val="00CD102E"/>
    <w:rsid w:val="00CD1FFC"/>
    <w:rsid w:val="00CD2AA2"/>
    <w:rsid w:val="00CD3FBB"/>
    <w:rsid w:val="00CD6205"/>
    <w:rsid w:val="00CE0A29"/>
    <w:rsid w:val="00CE10FA"/>
    <w:rsid w:val="00CE153B"/>
    <w:rsid w:val="00CE2962"/>
    <w:rsid w:val="00CE4387"/>
    <w:rsid w:val="00CE4B01"/>
    <w:rsid w:val="00CE55DB"/>
    <w:rsid w:val="00CE56BC"/>
    <w:rsid w:val="00CE5D26"/>
    <w:rsid w:val="00CF0AA4"/>
    <w:rsid w:val="00CF24F7"/>
    <w:rsid w:val="00CF3653"/>
    <w:rsid w:val="00CF725C"/>
    <w:rsid w:val="00D0028F"/>
    <w:rsid w:val="00D04D08"/>
    <w:rsid w:val="00D05550"/>
    <w:rsid w:val="00D05D33"/>
    <w:rsid w:val="00D06100"/>
    <w:rsid w:val="00D06874"/>
    <w:rsid w:val="00D07714"/>
    <w:rsid w:val="00D109CE"/>
    <w:rsid w:val="00D110D5"/>
    <w:rsid w:val="00D111D1"/>
    <w:rsid w:val="00D128AC"/>
    <w:rsid w:val="00D12B15"/>
    <w:rsid w:val="00D137F1"/>
    <w:rsid w:val="00D15D92"/>
    <w:rsid w:val="00D166E0"/>
    <w:rsid w:val="00D16D46"/>
    <w:rsid w:val="00D218EB"/>
    <w:rsid w:val="00D231CA"/>
    <w:rsid w:val="00D2362F"/>
    <w:rsid w:val="00D24B07"/>
    <w:rsid w:val="00D25DD7"/>
    <w:rsid w:val="00D33C8E"/>
    <w:rsid w:val="00D35A03"/>
    <w:rsid w:val="00D35AB8"/>
    <w:rsid w:val="00D40229"/>
    <w:rsid w:val="00D43037"/>
    <w:rsid w:val="00D434A7"/>
    <w:rsid w:val="00D46C38"/>
    <w:rsid w:val="00D4762A"/>
    <w:rsid w:val="00D51E7F"/>
    <w:rsid w:val="00D5523E"/>
    <w:rsid w:val="00D559CC"/>
    <w:rsid w:val="00D55EFD"/>
    <w:rsid w:val="00D5638B"/>
    <w:rsid w:val="00D567F1"/>
    <w:rsid w:val="00D57DD6"/>
    <w:rsid w:val="00D57F43"/>
    <w:rsid w:val="00D61D98"/>
    <w:rsid w:val="00D62302"/>
    <w:rsid w:val="00D65B93"/>
    <w:rsid w:val="00D7799F"/>
    <w:rsid w:val="00D81DD7"/>
    <w:rsid w:val="00D82C58"/>
    <w:rsid w:val="00D86A29"/>
    <w:rsid w:val="00D878EF"/>
    <w:rsid w:val="00D87D06"/>
    <w:rsid w:val="00D97D84"/>
    <w:rsid w:val="00DA0281"/>
    <w:rsid w:val="00DA27FE"/>
    <w:rsid w:val="00DA2BAE"/>
    <w:rsid w:val="00DA3D3B"/>
    <w:rsid w:val="00DA5E63"/>
    <w:rsid w:val="00DA6874"/>
    <w:rsid w:val="00DA6B3C"/>
    <w:rsid w:val="00DA7FCD"/>
    <w:rsid w:val="00DB322C"/>
    <w:rsid w:val="00DB348F"/>
    <w:rsid w:val="00DB3847"/>
    <w:rsid w:val="00DB48F4"/>
    <w:rsid w:val="00DB51D4"/>
    <w:rsid w:val="00DB55E5"/>
    <w:rsid w:val="00DB5A91"/>
    <w:rsid w:val="00DB6338"/>
    <w:rsid w:val="00DB68E8"/>
    <w:rsid w:val="00DC08AF"/>
    <w:rsid w:val="00DC09F9"/>
    <w:rsid w:val="00DC12C0"/>
    <w:rsid w:val="00DC22B7"/>
    <w:rsid w:val="00DC24A2"/>
    <w:rsid w:val="00DC315D"/>
    <w:rsid w:val="00DC5C95"/>
    <w:rsid w:val="00DC6DCE"/>
    <w:rsid w:val="00DC7712"/>
    <w:rsid w:val="00DD02DE"/>
    <w:rsid w:val="00DD0353"/>
    <w:rsid w:val="00DD3FD0"/>
    <w:rsid w:val="00DD43C1"/>
    <w:rsid w:val="00DD4894"/>
    <w:rsid w:val="00DD4DC8"/>
    <w:rsid w:val="00DD5CF0"/>
    <w:rsid w:val="00DD7465"/>
    <w:rsid w:val="00DE18DD"/>
    <w:rsid w:val="00DE1F47"/>
    <w:rsid w:val="00DE3242"/>
    <w:rsid w:val="00DE449C"/>
    <w:rsid w:val="00DE5DFD"/>
    <w:rsid w:val="00DE6231"/>
    <w:rsid w:val="00DE69AE"/>
    <w:rsid w:val="00DF0E87"/>
    <w:rsid w:val="00DF0FEE"/>
    <w:rsid w:val="00DF11DA"/>
    <w:rsid w:val="00DF1ECE"/>
    <w:rsid w:val="00DF26E0"/>
    <w:rsid w:val="00DF44C7"/>
    <w:rsid w:val="00DF51F1"/>
    <w:rsid w:val="00E004CD"/>
    <w:rsid w:val="00E01101"/>
    <w:rsid w:val="00E018F6"/>
    <w:rsid w:val="00E021F2"/>
    <w:rsid w:val="00E034C2"/>
    <w:rsid w:val="00E06E6A"/>
    <w:rsid w:val="00E07712"/>
    <w:rsid w:val="00E10734"/>
    <w:rsid w:val="00E117A7"/>
    <w:rsid w:val="00E11C06"/>
    <w:rsid w:val="00E1205D"/>
    <w:rsid w:val="00E149B6"/>
    <w:rsid w:val="00E1771E"/>
    <w:rsid w:val="00E17C11"/>
    <w:rsid w:val="00E22838"/>
    <w:rsid w:val="00E26F63"/>
    <w:rsid w:val="00E3193A"/>
    <w:rsid w:val="00E328B3"/>
    <w:rsid w:val="00E37057"/>
    <w:rsid w:val="00E400B1"/>
    <w:rsid w:val="00E40864"/>
    <w:rsid w:val="00E40BC9"/>
    <w:rsid w:val="00E413DB"/>
    <w:rsid w:val="00E437D5"/>
    <w:rsid w:val="00E43D2F"/>
    <w:rsid w:val="00E44846"/>
    <w:rsid w:val="00E469A1"/>
    <w:rsid w:val="00E50401"/>
    <w:rsid w:val="00E50493"/>
    <w:rsid w:val="00E5371C"/>
    <w:rsid w:val="00E537BA"/>
    <w:rsid w:val="00E53A91"/>
    <w:rsid w:val="00E53ABE"/>
    <w:rsid w:val="00E5453F"/>
    <w:rsid w:val="00E54FB1"/>
    <w:rsid w:val="00E55AA2"/>
    <w:rsid w:val="00E57124"/>
    <w:rsid w:val="00E61E4E"/>
    <w:rsid w:val="00E62035"/>
    <w:rsid w:val="00E62385"/>
    <w:rsid w:val="00E6309A"/>
    <w:rsid w:val="00E63F9B"/>
    <w:rsid w:val="00E64D08"/>
    <w:rsid w:val="00E67896"/>
    <w:rsid w:val="00E67C34"/>
    <w:rsid w:val="00E7292D"/>
    <w:rsid w:val="00E7502C"/>
    <w:rsid w:val="00E77E9B"/>
    <w:rsid w:val="00E80041"/>
    <w:rsid w:val="00E811F0"/>
    <w:rsid w:val="00E838D3"/>
    <w:rsid w:val="00E84B5A"/>
    <w:rsid w:val="00E87619"/>
    <w:rsid w:val="00E87A34"/>
    <w:rsid w:val="00E92D4E"/>
    <w:rsid w:val="00E9480F"/>
    <w:rsid w:val="00E97A45"/>
    <w:rsid w:val="00EA0764"/>
    <w:rsid w:val="00EA0F11"/>
    <w:rsid w:val="00EA11A7"/>
    <w:rsid w:val="00EA1A4A"/>
    <w:rsid w:val="00EA45BF"/>
    <w:rsid w:val="00EA622A"/>
    <w:rsid w:val="00EB03E6"/>
    <w:rsid w:val="00EB0812"/>
    <w:rsid w:val="00EB3A74"/>
    <w:rsid w:val="00EB417F"/>
    <w:rsid w:val="00EB4743"/>
    <w:rsid w:val="00EB48A0"/>
    <w:rsid w:val="00EB4D74"/>
    <w:rsid w:val="00EB64C5"/>
    <w:rsid w:val="00EC03AB"/>
    <w:rsid w:val="00EC1218"/>
    <w:rsid w:val="00EC130E"/>
    <w:rsid w:val="00EC34FF"/>
    <w:rsid w:val="00EC3EF0"/>
    <w:rsid w:val="00EC4417"/>
    <w:rsid w:val="00EC45EE"/>
    <w:rsid w:val="00EC4D6C"/>
    <w:rsid w:val="00EC5B75"/>
    <w:rsid w:val="00ED3FAC"/>
    <w:rsid w:val="00EE662C"/>
    <w:rsid w:val="00EF13C0"/>
    <w:rsid w:val="00EF2603"/>
    <w:rsid w:val="00F00967"/>
    <w:rsid w:val="00F02A05"/>
    <w:rsid w:val="00F0423E"/>
    <w:rsid w:val="00F045F1"/>
    <w:rsid w:val="00F046C2"/>
    <w:rsid w:val="00F06658"/>
    <w:rsid w:val="00F06ABD"/>
    <w:rsid w:val="00F10C99"/>
    <w:rsid w:val="00F12385"/>
    <w:rsid w:val="00F126CE"/>
    <w:rsid w:val="00F13779"/>
    <w:rsid w:val="00F13B6C"/>
    <w:rsid w:val="00F15D1C"/>
    <w:rsid w:val="00F15F90"/>
    <w:rsid w:val="00F17C84"/>
    <w:rsid w:val="00F21B9A"/>
    <w:rsid w:val="00F23CD3"/>
    <w:rsid w:val="00F24BF1"/>
    <w:rsid w:val="00F266B4"/>
    <w:rsid w:val="00F274DA"/>
    <w:rsid w:val="00F30BBA"/>
    <w:rsid w:val="00F31622"/>
    <w:rsid w:val="00F32353"/>
    <w:rsid w:val="00F32C23"/>
    <w:rsid w:val="00F33618"/>
    <w:rsid w:val="00F341AC"/>
    <w:rsid w:val="00F37CAF"/>
    <w:rsid w:val="00F41DB4"/>
    <w:rsid w:val="00F43BD0"/>
    <w:rsid w:val="00F45C56"/>
    <w:rsid w:val="00F4766C"/>
    <w:rsid w:val="00F501EA"/>
    <w:rsid w:val="00F51AAA"/>
    <w:rsid w:val="00F52083"/>
    <w:rsid w:val="00F52FAB"/>
    <w:rsid w:val="00F53590"/>
    <w:rsid w:val="00F543EB"/>
    <w:rsid w:val="00F547E0"/>
    <w:rsid w:val="00F56A5F"/>
    <w:rsid w:val="00F61822"/>
    <w:rsid w:val="00F61A82"/>
    <w:rsid w:val="00F63E93"/>
    <w:rsid w:val="00F64608"/>
    <w:rsid w:val="00F6473C"/>
    <w:rsid w:val="00F66533"/>
    <w:rsid w:val="00F66815"/>
    <w:rsid w:val="00F715B8"/>
    <w:rsid w:val="00F75FF0"/>
    <w:rsid w:val="00F767D5"/>
    <w:rsid w:val="00F82360"/>
    <w:rsid w:val="00F82C9B"/>
    <w:rsid w:val="00F83FD0"/>
    <w:rsid w:val="00F84CAD"/>
    <w:rsid w:val="00F87326"/>
    <w:rsid w:val="00F906BB"/>
    <w:rsid w:val="00F91DC5"/>
    <w:rsid w:val="00F92C1E"/>
    <w:rsid w:val="00F93155"/>
    <w:rsid w:val="00F97B40"/>
    <w:rsid w:val="00FA3CBD"/>
    <w:rsid w:val="00FA5082"/>
    <w:rsid w:val="00FA6D01"/>
    <w:rsid w:val="00FB1523"/>
    <w:rsid w:val="00FB2CAA"/>
    <w:rsid w:val="00FB49B7"/>
    <w:rsid w:val="00FB758F"/>
    <w:rsid w:val="00FC24D2"/>
    <w:rsid w:val="00FC283C"/>
    <w:rsid w:val="00FC7BED"/>
    <w:rsid w:val="00FD1C22"/>
    <w:rsid w:val="00FD2947"/>
    <w:rsid w:val="00FD2AD5"/>
    <w:rsid w:val="00FD75A4"/>
    <w:rsid w:val="00FD75AD"/>
    <w:rsid w:val="00FE002D"/>
    <w:rsid w:val="00FE0A5A"/>
    <w:rsid w:val="00FE128D"/>
    <w:rsid w:val="00FE13E0"/>
    <w:rsid w:val="00FE19DE"/>
    <w:rsid w:val="00FE22AF"/>
    <w:rsid w:val="00FE4500"/>
    <w:rsid w:val="00FE6EF8"/>
    <w:rsid w:val="00FE77D1"/>
    <w:rsid w:val="00FE78E0"/>
    <w:rsid w:val="00FE79DF"/>
    <w:rsid w:val="00FE7DB5"/>
    <w:rsid w:val="00FF0660"/>
    <w:rsid w:val="00FF4D10"/>
    <w:rsid w:val="00FF7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261994A1"/>
  <w15:docId w15:val="{A8D111ED-CE1A-4291-A5C0-4B7416E20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BB22C7"/>
    <w:pPr>
      <w:keepNext/>
      <w:keepLines/>
      <w:numPr>
        <w:numId w:val="45"/>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Titre1"/>
    <w:next w:val="Normal"/>
    <w:link w:val="Titre2Car"/>
    <w:uiPriority w:val="9"/>
    <w:unhideWhenUsed/>
    <w:qFormat/>
    <w:rsid w:val="00BB22C7"/>
    <w:pPr>
      <w:numPr>
        <w:ilvl w:val="1"/>
      </w:numPr>
      <w:outlineLvl w:val="1"/>
    </w:pPr>
    <w:rPr>
      <w:lang w:val="fr-FR"/>
    </w:rPr>
  </w:style>
  <w:style w:type="paragraph" w:styleId="Titre3">
    <w:name w:val="heading 3"/>
    <w:basedOn w:val="Titre1"/>
    <w:next w:val="Normal"/>
    <w:link w:val="Titre3Car"/>
    <w:uiPriority w:val="9"/>
    <w:unhideWhenUsed/>
    <w:qFormat/>
    <w:rsid w:val="00C95796"/>
    <w:pPr>
      <w:numPr>
        <w:ilvl w:val="2"/>
      </w:numPr>
      <w:outlineLvl w:val="2"/>
    </w:pPr>
    <w:rPr>
      <w:lang w:val="fr-FR"/>
    </w:rPr>
  </w:style>
  <w:style w:type="paragraph" w:styleId="Titre4">
    <w:name w:val="heading 4"/>
    <w:basedOn w:val="Normal"/>
    <w:next w:val="Normal"/>
    <w:link w:val="Titre4Car"/>
    <w:uiPriority w:val="9"/>
    <w:unhideWhenUsed/>
    <w:qFormat/>
    <w:rsid w:val="0092106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22C7"/>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BB22C7"/>
    <w:rPr>
      <w:rFonts w:asciiTheme="majorHAnsi" w:eastAsiaTheme="majorEastAsia" w:hAnsiTheme="majorHAnsi" w:cstheme="majorBidi"/>
      <w:color w:val="2E74B5" w:themeColor="accent1" w:themeShade="BF"/>
      <w:sz w:val="32"/>
      <w:szCs w:val="32"/>
      <w:lang w:val="fr-FR"/>
    </w:rPr>
  </w:style>
  <w:style w:type="character" w:customStyle="1" w:styleId="Titre3Car">
    <w:name w:val="Titre 3 Car"/>
    <w:basedOn w:val="Policepardfaut"/>
    <w:link w:val="Titre3"/>
    <w:uiPriority w:val="9"/>
    <w:rsid w:val="00C95796"/>
    <w:rPr>
      <w:rFonts w:asciiTheme="majorHAnsi" w:eastAsiaTheme="majorEastAsia" w:hAnsiTheme="majorHAnsi" w:cstheme="majorBidi"/>
      <w:color w:val="2E74B5" w:themeColor="accent1" w:themeShade="BF"/>
      <w:sz w:val="32"/>
      <w:szCs w:val="32"/>
      <w:lang w:val="fr-FR"/>
    </w:rPr>
  </w:style>
  <w:style w:type="character" w:styleId="Lienhypertexte">
    <w:name w:val="Hyperlink"/>
    <w:basedOn w:val="Policepardfaut"/>
    <w:uiPriority w:val="99"/>
    <w:unhideWhenUsed/>
    <w:rsid w:val="00972B7D"/>
    <w:rPr>
      <w:color w:val="0563C1" w:themeColor="hyperlink"/>
      <w:u w:val="single"/>
    </w:rPr>
  </w:style>
  <w:style w:type="table" w:styleId="Grilledutableau">
    <w:name w:val="Table Grid"/>
    <w:basedOn w:val="TableauNormal"/>
    <w:uiPriority w:val="39"/>
    <w:rsid w:val="00D16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F759D"/>
    <w:pPr>
      <w:tabs>
        <w:tab w:val="center" w:pos="4680"/>
        <w:tab w:val="right" w:pos="9360"/>
      </w:tabs>
      <w:spacing w:after="0" w:line="240" w:lineRule="auto"/>
    </w:pPr>
  </w:style>
  <w:style w:type="character" w:customStyle="1" w:styleId="En-tteCar">
    <w:name w:val="En-tête Car"/>
    <w:basedOn w:val="Policepardfaut"/>
    <w:link w:val="En-tte"/>
    <w:uiPriority w:val="99"/>
    <w:rsid w:val="008F759D"/>
  </w:style>
  <w:style w:type="paragraph" w:styleId="Pieddepage">
    <w:name w:val="footer"/>
    <w:basedOn w:val="Normal"/>
    <w:link w:val="PieddepageCar"/>
    <w:uiPriority w:val="99"/>
    <w:unhideWhenUsed/>
    <w:rsid w:val="008F759D"/>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F759D"/>
  </w:style>
  <w:style w:type="paragraph" w:styleId="Paragraphedeliste">
    <w:name w:val="List Paragraph"/>
    <w:basedOn w:val="Normal"/>
    <w:uiPriority w:val="34"/>
    <w:qFormat/>
    <w:rsid w:val="00032BD0"/>
    <w:pPr>
      <w:ind w:left="720"/>
      <w:contextualSpacing/>
    </w:pPr>
  </w:style>
  <w:style w:type="paragraph" w:styleId="En-ttedetabledesmatires">
    <w:name w:val="TOC Heading"/>
    <w:basedOn w:val="Titre1"/>
    <w:next w:val="Normal"/>
    <w:uiPriority w:val="39"/>
    <w:unhideWhenUsed/>
    <w:qFormat/>
    <w:rsid w:val="00144030"/>
    <w:pPr>
      <w:outlineLvl w:val="9"/>
    </w:pPr>
  </w:style>
  <w:style w:type="paragraph" w:styleId="TM2">
    <w:name w:val="toc 2"/>
    <w:basedOn w:val="Normal"/>
    <w:next w:val="Normal"/>
    <w:autoRedefine/>
    <w:uiPriority w:val="39"/>
    <w:unhideWhenUsed/>
    <w:rsid w:val="00144030"/>
    <w:pPr>
      <w:spacing w:after="100"/>
      <w:ind w:left="220"/>
    </w:pPr>
    <w:rPr>
      <w:rFonts w:eastAsiaTheme="minorEastAsia" w:cs="Times New Roman"/>
    </w:rPr>
  </w:style>
  <w:style w:type="paragraph" w:styleId="TM1">
    <w:name w:val="toc 1"/>
    <w:basedOn w:val="Normal"/>
    <w:next w:val="Normal"/>
    <w:autoRedefine/>
    <w:uiPriority w:val="39"/>
    <w:unhideWhenUsed/>
    <w:rsid w:val="00144030"/>
    <w:pPr>
      <w:spacing w:after="100"/>
    </w:pPr>
    <w:rPr>
      <w:rFonts w:eastAsiaTheme="minorEastAsia" w:cs="Times New Roman"/>
    </w:rPr>
  </w:style>
  <w:style w:type="paragraph" w:styleId="TM3">
    <w:name w:val="toc 3"/>
    <w:basedOn w:val="Normal"/>
    <w:next w:val="Normal"/>
    <w:autoRedefine/>
    <w:uiPriority w:val="39"/>
    <w:unhideWhenUsed/>
    <w:rsid w:val="00144030"/>
    <w:pPr>
      <w:spacing w:after="100"/>
      <w:ind w:left="440"/>
    </w:pPr>
    <w:rPr>
      <w:rFonts w:eastAsiaTheme="minorEastAsia" w:cs="Times New Roman"/>
    </w:rPr>
  </w:style>
  <w:style w:type="character" w:styleId="Marquedecommentaire">
    <w:name w:val="annotation reference"/>
    <w:basedOn w:val="Policepardfaut"/>
    <w:uiPriority w:val="99"/>
    <w:semiHidden/>
    <w:unhideWhenUsed/>
    <w:rsid w:val="001041C1"/>
    <w:rPr>
      <w:sz w:val="16"/>
      <w:szCs w:val="16"/>
    </w:rPr>
  </w:style>
  <w:style w:type="paragraph" w:styleId="Commentaire">
    <w:name w:val="annotation text"/>
    <w:basedOn w:val="Normal"/>
    <w:link w:val="CommentaireCar"/>
    <w:uiPriority w:val="99"/>
    <w:unhideWhenUsed/>
    <w:rsid w:val="001041C1"/>
    <w:pPr>
      <w:spacing w:line="240" w:lineRule="auto"/>
    </w:pPr>
    <w:rPr>
      <w:sz w:val="20"/>
      <w:szCs w:val="20"/>
    </w:rPr>
  </w:style>
  <w:style w:type="character" w:customStyle="1" w:styleId="CommentaireCar">
    <w:name w:val="Commentaire Car"/>
    <w:basedOn w:val="Policepardfaut"/>
    <w:link w:val="Commentaire"/>
    <w:uiPriority w:val="99"/>
    <w:rsid w:val="001041C1"/>
    <w:rPr>
      <w:sz w:val="20"/>
      <w:szCs w:val="20"/>
    </w:rPr>
  </w:style>
  <w:style w:type="paragraph" w:styleId="Objetducommentaire">
    <w:name w:val="annotation subject"/>
    <w:basedOn w:val="Commentaire"/>
    <w:next w:val="Commentaire"/>
    <w:link w:val="ObjetducommentaireCar"/>
    <w:uiPriority w:val="99"/>
    <w:semiHidden/>
    <w:unhideWhenUsed/>
    <w:rsid w:val="001041C1"/>
    <w:rPr>
      <w:b/>
      <w:bCs/>
    </w:rPr>
  </w:style>
  <w:style w:type="character" w:customStyle="1" w:styleId="ObjetducommentaireCar">
    <w:name w:val="Objet du commentaire Car"/>
    <w:basedOn w:val="CommentaireCar"/>
    <w:link w:val="Objetducommentaire"/>
    <w:uiPriority w:val="99"/>
    <w:semiHidden/>
    <w:rsid w:val="001041C1"/>
    <w:rPr>
      <w:b/>
      <w:bCs/>
      <w:sz w:val="20"/>
      <w:szCs w:val="20"/>
    </w:rPr>
  </w:style>
  <w:style w:type="paragraph" w:styleId="Textedebulles">
    <w:name w:val="Balloon Text"/>
    <w:basedOn w:val="Normal"/>
    <w:link w:val="TextedebullesCar"/>
    <w:uiPriority w:val="99"/>
    <w:semiHidden/>
    <w:unhideWhenUsed/>
    <w:rsid w:val="001041C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041C1"/>
    <w:rPr>
      <w:rFonts w:ascii="Segoe UI" w:hAnsi="Segoe UI" w:cs="Segoe UI"/>
      <w:sz w:val="18"/>
      <w:szCs w:val="18"/>
    </w:rPr>
  </w:style>
  <w:style w:type="paragraph" w:customStyle="1" w:styleId="Default">
    <w:name w:val="Default"/>
    <w:rsid w:val="00A67457"/>
    <w:pPr>
      <w:autoSpaceDE w:val="0"/>
      <w:autoSpaceDN w:val="0"/>
      <w:adjustRightInd w:val="0"/>
      <w:spacing w:after="0" w:line="240" w:lineRule="auto"/>
    </w:pPr>
    <w:rPr>
      <w:rFonts w:ascii="Calibri" w:hAnsi="Calibri" w:cs="Calibri"/>
      <w:color w:val="000000"/>
      <w:sz w:val="24"/>
      <w:szCs w:val="24"/>
    </w:rPr>
  </w:style>
  <w:style w:type="character" w:styleId="Lienhypertextesuivivisit">
    <w:name w:val="FollowedHyperlink"/>
    <w:basedOn w:val="Policepardfaut"/>
    <w:uiPriority w:val="99"/>
    <w:semiHidden/>
    <w:unhideWhenUsed/>
    <w:rsid w:val="006C560F"/>
    <w:rPr>
      <w:color w:val="954F72" w:themeColor="followedHyperlink"/>
      <w:u w:val="single"/>
    </w:rPr>
  </w:style>
  <w:style w:type="paragraph" w:styleId="NormalWeb">
    <w:name w:val="Normal (Web)"/>
    <w:basedOn w:val="Normal"/>
    <w:uiPriority w:val="99"/>
    <w:semiHidden/>
    <w:unhideWhenUsed/>
    <w:rsid w:val="00EF2603"/>
    <w:pPr>
      <w:spacing w:before="100" w:beforeAutospacing="1" w:after="100" w:afterAutospacing="1" w:line="240" w:lineRule="auto"/>
    </w:pPr>
    <w:rPr>
      <w:rFonts w:ascii="Times New Roman" w:eastAsia="Times New Roman" w:hAnsi="Times New Roman" w:cs="Times New Roman"/>
      <w:sz w:val="24"/>
      <w:szCs w:val="24"/>
    </w:rPr>
  </w:style>
  <w:style w:type="paragraph" w:styleId="Titre">
    <w:name w:val="Title"/>
    <w:basedOn w:val="Normal"/>
    <w:next w:val="Normal"/>
    <w:link w:val="TitreCar"/>
    <w:uiPriority w:val="10"/>
    <w:qFormat/>
    <w:rsid w:val="00806A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06AFE"/>
    <w:rPr>
      <w:rFonts w:asciiTheme="majorHAnsi" w:eastAsiaTheme="majorEastAsia" w:hAnsiTheme="majorHAnsi" w:cstheme="majorBidi"/>
      <w:spacing w:val="-10"/>
      <w:kern w:val="28"/>
      <w:sz w:val="56"/>
      <w:szCs w:val="56"/>
    </w:rPr>
  </w:style>
  <w:style w:type="character" w:customStyle="1" w:styleId="Titre4Car">
    <w:name w:val="Titre 4 Car"/>
    <w:basedOn w:val="Policepardfaut"/>
    <w:link w:val="Titre4"/>
    <w:uiPriority w:val="9"/>
    <w:rsid w:val="0092106E"/>
    <w:rPr>
      <w:rFonts w:asciiTheme="majorHAnsi" w:eastAsiaTheme="majorEastAsia" w:hAnsiTheme="majorHAnsi" w:cstheme="majorBidi"/>
      <w:i/>
      <w:iCs/>
      <w:color w:val="2E74B5" w:themeColor="accent1" w:themeShade="BF"/>
    </w:rPr>
  </w:style>
  <w:style w:type="paragraph" w:customStyle="1" w:styleId="CM4">
    <w:name w:val="CM4"/>
    <w:basedOn w:val="Default"/>
    <w:next w:val="Default"/>
    <w:uiPriority w:val="99"/>
    <w:rsid w:val="00C57943"/>
    <w:rPr>
      <w:rFonts w:ascii="EUAlbertina" w:hAnsi="EUAlbertina" w:cstheme="minorBidi"/>
      <w:color w:val="auto"/>
    </w:rPr>
  </w:style>
  <w:style w:type="paragraph" w:styleId="Notedebasdepage">
    <w:name w:val="footnote text"/>
    <w:basedOn w:val="Normal"/>
    <w:link w:val="NotedebasdepageCar"/>
    <w:uiPriority w:val="99"/>
    <w:semiHidden/>
    <w:unhideWhenUsed/>
    <w:rsid w:val="00F1377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13779"/>
    <w:rPr>
      <w:sz w:val="20"/>
      <w:szCs w:val="20"/>
    </w:rPr>
  </w:style>
  <w:style w:type="character" w:styleId="Appelnotedebasdep">
    <w:name w:val="footnote reference"/>
    <w:basedOn w:val="Policepardfaut"/>
    <w:uiPriority w:val="99"/>
    <w:semiHidden/>
    <w:unhideWhenUsed/>
    <w:rsid w:val="00F13779"/>
    <w:rPr>
      <w:vertAlign w:val="superscript"/>
    </w:rPr>
  </w:style>
  <w:style w:type="paragraph" w:styleId="Notedefin">
    <w:name w:val="endnote text"/>
    <w:basedOn w:val="Normal"/>
    <w:link w:val="NotedefinCar"/>
    <w:uiPriority w:val="99"/>
    <w:semiHidden/>
    <w:unhideWhenUsed/>
    <w:rsid w:val="009A6A7C"/>
    <w:pPr>
      <w:spacing w:after="0" w:line="240" w:lineRule="auto"/>
    </w:pPr>
    <w:rPr>
      <w:sz w:val="20"/>
      <w:szCs w:val="20"/>
    </w:rPr>
  </w:style>
  <w:style w:type="character" w:customStyle="1" w:styleId="NotedefinCar">
    <w:name w:val="Note de fin Car"/>
    <w:basedOn w:val="Policepardfaut"/>
    <w:link w:val="Notedefin"/>
    <w:uiPriority w:val="99"/>
    <w:semiHidden/>
    <w:rsid w:val="009A6A7C"/>
    <w:rPr>
      <w:sz w:val="20"/>
      <w:szCs w:val="20"/>
    </w:rPr>
  </w:style>
  <w:style w:type="character" w:styleId="Appeldenotedefin">
    <w:name w:val="endnote reference"/>
    <w:basedOn w:val="Policepardfaut"/>
    <w:uiPriority w:val="99"/>
    <w:semiHidden/>
    <w:unhideWhenUsed/>
    <w:rsid w:val="009A6A7C"/>
    <w:rPr>
      <w:vertAlign w:val="superscript"/>
    </w:rPr>
  </w:style>
  <w:style w:type="paragraph" w:styleId="PrformatHTML">
    <w:name w:val="HTML Preformatted"/>
    <w:basedOn w:val="Normal"/>
    <w:link w:val="PrformatHTMLCar"/>
    <w:uiPriority w:val="99"/>
    <w:unhideWhenUsed/>
    <w:rsid w:val="00F71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PrformatHTMLCar">
    <w:name w:val="Préformaté HTML Car"/>
    <w:basedOn w:val="Policepardfaut"/>
    <w:link w:val="PrformatHTML"/>
    <w:uiPriority w:val="99"/>
    <w:rsid w:val="00F715B8"/>
    <w:rPr>
      <w:rFonts w:ascii="Courier New" w:eastAsia="Times New Roman" w:hAnsi="Courier New" w:cs="Courier New"/>
      <w:sz w:val="20"/>
      <w:szCs w:val="20"/>
      <w:lang w:val="en-GB" w:eastAsia="en-GB"/>
    </w:rPr>
  </w:style>
  <w:style w:type="paragraph" w:styleId="Lgende">
    <w:name w:val="caption"/>
    <w:basedOn w:val="Normal"/>
    <w:next w:val="Normal"/>
    <w:uiPriority w:val="35"/>
    <w:unhideWhenUsed/>
    <w:qFormat/>
    <w:rsid w:val="00943B67"/>
    <w:pPr>
      <w:spacing w:after="200" w:line="240" w:lineRule="auto"/>
    </w:pPr>
    <w:rPr>
      <w:i/>
      <w:iCs/>
      <w:color w:val="44546A" w:themeColor="text2"/>
      <w:sz w:val="18"/>
      <w:szCs w:val="18"/>
    </w:rPr>
  </w:style>
  <w:style w:type="character" w:styleId="Mentionnonrsolue">
    <w:name w:val="Unresolved Mention"/>
    <w:basedOn w:val="Policepardfaut"/>
    <w:uiPriority w:val="99"/>
    <w:semiHidden/>
    <w:unhideWhenUsed/>
    <w:rsid w:val="00D35AB8"/>
    <w:rPr>
      <w:color w:val="605E5C"/>
      <w:shd w:val="clear" w:color="auto" w:fill="E1DFDD"/>
    </w:rPr>
  </w:style>
  <w:style w:type="table" w:customStyle="1" w:styleId="Grilledutableau1">
    <w:name w:val="Grille du tableau1"/>
    <w:basedOn w:val="TableauNormal"/>
    <w:next w:val="Grilledutableau"/>
    <w:uiPriority w:val="39"/>
    <w:rsid w:val="007F04D6"/>
    <w:pPr>
      <w:spacing w:after="0" w:line="240" w:lineRule="auto"/>
    </w:pPr>
    <w:rPr>
      <w:rFonts w:ascii="Calibri" w:eastAsia="Calibri" w:hAnsi="Calibri"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7F1FE2"/>
    <w:rPr>
      <w:color w:val="605E5C"/>
      <w:shd w:val="clear" w:color="auto" w:fill="E1DFDD"/>
    </w:rPr>
  </w:style>
  <w:style w:type="paragraph" w:styleId="Rvision">
    <w:name w:val="Revision"/>
    <w:hidden/>
    <w:uiPriority w:val="99"/>
    <w:semiHidden/>
    <w:rsid w:val="007F1FE2"/>
    <w:pPr>
      <w:spacing w:after="0" w:line="240" w:lineRule="auto"/>
    </w:pPr>
    <w:rPr>
      <w:lang w:val="nl-NL"/>
    </w:rPr>
  </w:style>
  <w:style w:type="paragraph" w:customStyle="1" w:styleId="msonormal0">
    <w:name w:val="msonormal"/>
    <w:basedOn w:val="Normal"/>
    <w:rsid w:val="007F1F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7F1FE2"/>
    <w:pPr>
      <w:spacing w:before="100" w:beforeAutospacing="1" w:after="100" w:afterAutospacing="1" w:line="240" w:lineRule="auto"/>
    </w:pPr>
    <w:rPr>
      <w:rFonts w:ascii="Times New Roman" w:eastAsia="Times New Roman" w:hAnsi="Times New Roman" w:cs="Times New Roman"/>
      <w:color w:val="FFC000"/>
      <w:sz w:val="24"/>
      <w:szCs w:val="24"/>
    </w:rPr>
  </w:style>
  <w:style w:type="paragraph" w:customStyle="1" w:styleId="xl64">
    <w:name w:val="xl64"/>
    <w:basedOn w:val="Normal"/>
    <w:rsid w:val="007F1FE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5">
    <w:name w:val="xl65"/>
    <w:basedOn w:val="Normal"/>
    <w:rsid w:val="007F1F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7F1FE2"/>
    <w:pPr>
      <w:spacing w:before="100" w:beforeAutospacing="1" w:after="100" w:afterAutospacing="1" w:line="240" w:lineRule="auto"/>
    </w:pPr>
    <w:rPr>
      <w:rFonts w:ascii="Times New Roman" w:eastAsia="Times New Roman" w:hAnsi="Times New Roman" w:cs="Times New Roman"/>
      <w:b/>
      <w:bCs/>
      <w:sz w:val="24"/>
      <w:szCs w:val="24"/>
    </w:rPr>
  </w:style>
  <w:style w:type="table" w:styleId="Tableausimple5">
    <w:name w:val="Plain Table 5"/>
    <w:basedOn w:val="TableauNormal"/>
    <w:uiPriority w:val="99"/>
    <w:rsid w:val="007F1FE2"/>
    <w:pPr>
      <w:spacing w:after="0" w:line="240" w:lineRule="auto"/>
    </w:pPr>
    <w:rPr>
      <w:lang w:val="nl-N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Grille5Fonc-Accentuation3">
    <w:name w:val="Grid Table 5 Dark Accent 3"/>
    <w:basedOn w:val="TableauNormal"/>
    <w:uiPriority w:val="50"/>
    <w:rsid w:val="007F1FE2"/>
    <w:pPr>
      <w:spacing w:after="0" w:line="240" w:lineRule="auto"/>
    </w:pPr>
    <w:rPr>
      <w:lang w:val="nl-N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11853">
      <w:bodyDiv w:val="1"/>
      <w:marLeft w:val="0"/>
      <w:marRight w:val="0"/>
      <w:marTop w:val="0"/>
      <w:marBottom w:val="0"/>
      <w:divBdr>
        <w:top w:val="none" w:sz="0" w:space="0" w:color="auto"/>
        <w:left w:val="none" w:sz="0" w:space="0" w:color="auto"/>
        <w:bottom w:val="none" w:sz="0" w:space="0" w:color="auto"/>
        <w:right w:val="none" w:sz="0" w:space="0" w:color="auto"/>
      </w:divBdr>
    </w:div>
    <w:div w:id="19088982">
      <w:bodyDiv w:val="1"/>
      <w:marLeft w:val="0"/>
      <w:marRight w:val="0"/>
      <w:marTop w:val="0"/>
      <w:marBottom w:val="0"/>
      <w:divBdr>
        <w:top w:val="none" w:sz="0" w:space="0" w:color="auto"/>
        <w:left w:val="none" w:sz="0" w:space="0" w:color="auto"/>
        <w:bottom w:val="none" w:sz="0" w:space="0" w:color="auto"/>
        <w:right w:val="none" w:sz="0" w:space="0" w:color="auto"/>
      </w:divBdr>
    </w:div>
    <w:div w:id="22438379">
      <w:bodyDiv w:val="1"/>
      <w:marLeft w:val="0"/>
      <w:marRight w:val="0"/>
      <w:marTop w:val="0"/>
      <w:marBottom w:val="0"/>
      <w:divBdr>
        <w:top w:val="none" w:sz="0" w:space="0" w:color="auto"/>
        <w:left w:val="none" w:sz="0" w:space="0" w:color="auto"/>
        <w:bottom w:val="none" w:sz="0" w:space="0" w:color="auto"/>
        <w:right w:val="none" w:sz="0" w:space="0" w:color="auto"/>
      </w:divBdr>
    </w:div>
    <w:div w:id="23748470">
      <w:bodyDiv w:val="1"/>
      <w:marLeft w:val="0"/>
      <w:marRight w:val="0"/>
      <w:marTop w:val="0"/>
      <w:marBottom w:val="0"/>
      <w:divBdr>
        <w:top w:val="none" w:sz="0" w:space="0" w:color="auto"/>
        <w:left w:val="none" w:sz="0" w:space="0" w:color="auto"/>
        <w:bottom w:val="none" w:sz="0" w:space="0" w:color="auto"/>
        <w:right w:val="none" w:sz="0" w:space="0" w:color="auto"/>
      </w:divBdr>
    </w:div>
    <w:div w:id="26875185">
      <w:bodyDiv w:val="1"/>
      <w:marLeft w:val="0"/>
      <w:marRight w:val="0"/>
      <w:marTop w:val="0"/>
      <w:marBottom w:val="0"/>
      <w:divBdr>
        <w:top w:val="none" w:sz="0" w:space="0" w:color="auto"/>
        <w:left w:val="none" w:sz="0" w:space="0" w:color="auto"/>
        <w:bottom w:val="none" w:sz="0" w:space="0" w:color="auto"/>
        <w:right w:val="none" w:sz="0" w:space="0" w:color="auto"/>
      </w:divBdr>
    </w:div>
    <w:div w:id="30813821">
      <w:bodyDiv w:val="1"/>
      <w:marLeft w:val="0"/>
      <w:marRight w:val="0"/>
      <w:marTop w:val="0"/>
      <w:marBottom w:val="0"/>
      <w:divBdr>
        <w:top w:val="none" w:sz="0" w:space="0" w:color="auto"/>
        <w:left w:val="none" w:sz="0" w:space="0" w:color="auto"/>
        <w:bottom w:val="none" w:sz="0" w:space="0" w:color="auto"/>
        <w:right w:val="none" w:sz="0" w:space="0" w:color="auto"/>
      </w:divBdr>
    </w:div>
    <w:div w:id="38020744">
      <w:bodyDiv w:val="1"/>
      <w:marLeft w:val="0"/>
      <w:marRight w:val="0"/>
      <w:marTop w:val="0"/>
      <w:marBottom w:val="0"/>
      <w:divBdr>
        <w:top w:val="none" w:sz="0" w:space="0" w:color="auto"/>
        <w:left w:val="none" w:sz="0" w:space="0" w:color="auto"/>
        <w:bottom w:val="none" w:sz="0" w:space="0" w:color="auto"/>
        <w:right w:val="none" w:sz="0" w:space="0" w:color="auto"/>
      </w:divBdr>
    </w:div>
    <w:div w:id="42870423">
      <w:bodyDiv w:val="1"/>
      <w:marLeft w:val="0"/>
      <w:marRight w:val="0"/>
      <w:marTop w:val="0"/>
      <w:marBottom w:val="0"/>
      <w:divBdr>
        <w:top w:val="none" w:sz="0" w:space="0" w:color="auto"/>
        <w:left w:val="none" w:sz="0" w:space="0" w:color="auto"/>
        <w:bottom w:val="none" w:sz="0" w:space="0" w:color="auto"/>
        <w:right w:val="none" w:sz="0" w:space="0" w:color="auto"/>
      </w:divBdr>
    </w:div>
    <w:div w:id="53049164">
      <w:bodyDiv w:val="1"/>
      <w:marLeft w:val="0"/>
      <w:marRight w:val="0"/>
      <w:marTop w:val="0"/>
      <w:marBottom w:val="0"/>
      <w:divBdr>
        <w:top w:val="none" w:sz="0" w:space="0" w:color="auto"/>
        <w:left w:val="none" w:sz="0" w:space="0" w:color="auto"/>
        <w:bottom w:val="none" w:sz="0" w:space="0" w:color="auto"/>
        <w:right w:val="none" w:sz="0" w:space="0" w:color="auto"/>
      </w:divBdr>
    </w:div>
    <w:div w:id="66850279">
      <w:bodyDiv w:val="1"/>
      <w:marLeft w:val="0"/>
      <w:marRight w:val="0"/>
      <w:marTop w:val="0"/>
      <w:marBottom w:val="0"/>
      <w:divBdr>
        <w:top w:val="none" w:sz="0" w:space="0" w:color="auto"/>
        <w:left w:val="none" w:sz="0" w:space="0" w:color="auto"/>
        <w:bottom w:val="none" w:sz="0" w:space="0" w:color="auto"/>
        <w:right w:val="none" w:sz="0" w:space="0" w:color="auto"/>
      </w:divBdr>
    </w:div>
    <w:div w:id="70660190">
      <w:bodyDiv w:val="1"/>
      <w:marLeft w:val="0"/>
      <w:marRight w:val="0"/>
      <w:marTop w:val="0"/>
      <w:marBottom w:val="0"/>
      <w:divBdr>
        <w:top w:val="none" w:sz="0" w:space="0" w:color="auto"/>
        <w:left w:val="none" w:sz="0" w:space="0" w:color="auto"/>
        <w:bottom w:val="none" w:sz="0" w:space="0" w:color="auto"/>
        <w:right w:val="none" w:sz="0" w:space="0" w:color="auto"/>
      </w:divBdr>
    </w:div>
    <w:div w:id="76369822">
      <w:bodyDiv w:val="1"/>
      <w:marLeft w:val="0"/>
      <w:marRight w:val="0"/>
      <w:marTop w:val="0"/>
      <w:marBottom w:val="0"/>
      <w:divBdr>
        <w:top w:val="none" w:sz="0" w:space="0" w:color="auto"/>
        <w:left w:val="none" w:sz="0" w:space="0" w:color="auto"/>
        <w:bottom w:val="none" w:sz="0" w:space="0" w:color="auto"/>
        <w:right w:val="none" w:sz="0" w:space="0" w:color="auto"/>
      </w:divBdr>
    </w:div>
    <w:div w:id="79759947">
      <w:bodyDiv w:val="1"/>
      <w:marLeft w:val="0"/>
      <w:marRight w:val="0"/>
      <w:marTop w:val="0"/>
      <w:marBottom w:val="0"/>
      <w:divBdr>
        <w:top w:val="none" w:sz="0" w:space="0" w:color="auto"/>
        <w:left w:val="none" w:sz="0" w:space="0" w:color="auto"/>
        <w:bottom w:val="none" w:sz="0" w:space="0" w:color="auto"/>
        <w:right w:val="none" w:sz="0" w:space="0" w:color="auto"/>
      </w:divBdr>
    </w:div>
    <w:div w:id="80180814">
      <w:bodyDiv w:val="1"/>
      <w:marLeft w:val="0"/>
      <w:marRight w:val="0"/>
      <w:marTop w:val="0"/>
      <w:marBottom w:val="0"/>
      <w:divBdr>
        <w:top w:val="none" w:sz="0" w:space="0" w:color="auto"/>
        <w:left w:val="none" w:sz="0" w:space="0" w:color="auto"/>
        <w:bottom w:val="none" w:sz="0" w:space="0" w:color="auto"/>
        <w:right w:val="none" w:sz="0" w:space="0" w:color="auto"/>
      </w:divBdr>
    </w:div>
    <w:div w:id="92097685">
      <w:bodyDiv w:val="1"/>
      <w:marLeft w:val="0"/>
      <w:marRight w:val="0"/>
      <w:marTop w:val="0"/>
      <w:marBottom w:val="0"/>
      <w:divBdr>
        <w:top w:val="none" w:sz="0" w:space="0" w:color="auto"/>
        <w:left w:val="none" w:sz="0" w:space="0" w:color="auto"/>
        <w:bottom w:val="none" w:sz="0" w:space="0" w:color="auto"/>
        <w:right w:val="none" w:sz="0" w:space="0" w:color="auto"/>
      </w:divBdr>
    </w:div>
    <w:div w:id="92552106">
      <w:bodyDiv w:val="1"/>
      <w:marLeft w:val="0"/>
      <w:marRight w:val="0"/>
      <w:marTop w:val="0"/>
      <w:marBottom w:val="0"/>
      <w:divBdr>
        <w:top w:val="none" w:sz="0" w:space="0" w:color="auto"/>
        <w:left w:val="none" w:sz="0" w:space="0" w:color="auto"/>
        <w:bottom w:val="none" w:sz="0" w:space="0" w:color="auto"/>
        <w:right w:val="none" w:sz="0" w:space="0" w:color="auto"/>
      </w:divBdr>
    </w:div>
    <w:div w:id="95105065">
      <w:bodyDiv w:val="1"/>
      <w:marLeft w:val="0"/>
      <w:marRight w:val="0"/>
      <w:marTop w:val="0"/>
      <w:marBottom w:val="0"/>
      <w:divBdr>
        <w:top w:val="none" w:sz="0" w:space="0" w:color="auto"/>
        <w:left w:val="none" w:sz="0" w:space="0" w:color="auto"/>
        <w:bottom w:val="none" w:sz="0" w:space="0" w:color="auto"/>
        <w:right w:val="none" w:sz="0" w:space="0" w:color="auto"/>
      </w:divBdr>
    </w:div>
    <w:div w:id="97675775">
      <w:bodyDiv w:val="1"/>
      <w:marLeft w:val="0"/>
      <w:marRight w:val="0"/>
      <w:marTop w:val="0"/>
      <w:marBottom w:val="0"/>
      <w:divBdr>
        <w:top w:val="none" w:sz="0" w:space="0" w:color="auto"/>
        <w:left w:val="none" w:sz="0" w:space="0" w:color="auto"/>
        <w:bottom w:val="none" w:sz="0" w:space="0" w:color="auto"/>
        <w:right w:val="none" w:sz="0" w:space="0" w:color="auto"/>
      </w:divBdr>
    </w:div>
    <w:div w:id="104350255">
      <w:bodyDiv w:val="1"/>
      <w:marLeft w:val="0"/>
      <w:marRight w:val="0"/>
      <w:marTop w:val="0"/>
      <w:marBottom w:val="0"/>
      <w:divBdr>
        <w:top w:val="none" w:sz="0" w:space="0" w:color="auto"/>
        <w:left w:val="none" w:sz="0" w:space="0" w:color="auto"/>
        <w:bottom w:val="none" w:sz="0" w:space="0" w:color="auto"/>
        <w:right w:val="none" w:sz="0" w:space="0" w:color="auto"/>
      </w:divBdr>
    </w:div>
    <w:div w:id="105121349">
      <w:bodyDiv w:val="1"/>
      <w:marLeft w:val="0"/>
      <w:marRight w:val="0"/>
      <w:marTop w:val="0"/>
      <w:marBottom w:val="0"/>
      <w:divBdr>
        <w:top w:val="none" w:sz="0" w:space="0" w:color="auto"/>
        <w:left w:val="none" w:sz="0" w:space="0" w:color="auto"/>
        <w:bottom w:val="none" w:sz="0" w:space="0" w:color="auto"/>
        <w:right w:val="none" w:sz="0" w:space="0" w:color="auto"/>
      </w:divBdr>
    </w:div>
    <w:div w:id="108597453">
      <w:bodyDiv w:val="1"/>
      <w:marLeft w:val="0"/>
      <w:marRight w:val="0"/>
      <w:marTop w:val="0"/>
      <w:marBottom w:val="0"/>
      <w:divBdr>
        <w:top w:val="none" w:sz="0" w:space="0" w:color="auto"/>
        <w:left w:val="none" w:sz="0" w:space="0" w:color="auto"/>
        <w:bottom w:val="none" w:sz="0" w:space="0" w:color="auto"/>
        <w:right w:val="none" w:sz="0" w:space="0" w:color="auto"/>
      </w:divBdr>
    </w:div>
    <w:div w:id="126747890">
      <w:bodyDiv w:val="1"/>
      <w:marLeft w:val="0"/>
      <w:marRight w:val="0"/>
      <w:marTop w:val="0"/>
      <w:marBottom w:val="0"/>
      <w:divBdr>
        <w:top w:val="none" w:sz="0" w:space="0" w:color="auto"/>
        <w:left w:val="none" w:sz="0" w:space="0" w:color="auto"/>
        <w:bottom w:val="none" w:sz="0" w:space="0" w:color="auto"/>
        <w:right w:val="none" w:sz="0" w:space="0" w:color="auto"/>
      </w:divBdr>
    </w:div>
    <w:div w:id="130485996">
      <w:bodyDiv w:val="1"/>
      <w:marLeft w:val="0"/>
      <w:marRight w:val="0"/>
      <w:marTop w:val="0"/>
      <w:marBottom w:val="0"/>
      <w:divBdr>
        <w:top w:val="none" w:sz="0" w:space="0" w:color="auto"/>
        <w:left w:val="none" w:sz="0" w:space="0" w:color="auto"/>
        <w:bottom w:val="none" w:sz="0" w:space="0" w:color="auto"/>
        <w:right w:val="none" w:sz="0" w:space="0" w:color="auto"/>
      </w:divBdr>
    </w:div>
    <w:div w:id="132451460">
      <w:bodyDiv w:val="1"/>
      <w:marLeft w:val="0"/>
      <w:marRight w:val="0"/>
      <w:marTop w:val="0"/>
      <w:marBottom w:val="0"/>
      <w:divBdr>
        <w:top w:val="none" w:sz="0" w:space="0" w:color="auto"/>
        <w:left w:val="none" w:sz="0" w:space="0" w:color="auto"/>
        <w:bottom w:val="none" w:sz="0" w:space="0" w:color="auto"/>
        <w:right w:val="none" w:sz="0" w:space="0" w:color="auto"/>
      </w:divBdr>
    </w:div>
    <w:div w:id="132991512">
      <w:bodyDiv w:val="1"/>
      <w:marLeft w:val="0"/>
      <w:marRight w:val="0"/>
      <w:marTop w:val="0"/>
      <w:marBottom w:val="0"/>
      <w:divBdr>
        <w:top w:val="none" w:sz="0" w:space="0" w:color="auto"/>
        <w:left w:val="none" w:sz="0" w:space="0" w:color="auto"/>
        <w:bottom w:val="none" w:sz="0" w:space="0" w:color="auto"/>
        <w:right w:val="none" w:sz="0" w:space="0" w:color="auto"/>
      </w:divBdr>
    </w:div>
    <w:div w:id="137957895">
      <w:bodyDiv w:val="1"/>
      <w:marLeft w:val="0"/>
      <w:marRight w:val="0"/>
      <w:marTop w:val="0"/>
      <w:marBottom w:val="0"/>
      <w:divBdr>
        <w:top w:val="none" w:sz="0" w:space="0" w:color="auto"/>
        <w:left w:val="none" w:sz="0" w:space="0" w:color="auto"/>
        <w:bottom w:val="none" w:sz="0" w:space="0" w:color="auto"/>
        <w:right w:val="none" w:sz="0" w:space="0" w:color="auto"/>
      </w:divBdr>
    </w:div>
    <w:div w:id="141777690">
      <w:bodyDiv w:val="1"/>
      <w:marLeft w:val="0"/>
      <w:marRight w:val="0"/>
      <w:marTop w:val="0"/>
      <w:marBottom w:val="0"/>
      <w:divBdr>
        <w:top w:val="none" w:sz="0" w:space="0" w:color="auto"/>
        <w:left w:val="none" w:sz="0" w:space="0" w:color="auto"/>
        <w:bottom w:val="none" w:sz="0" w:space="0" w:color="auto"/>
        <w:right w:val="none" w:sz="0" w:space="0" w:color="auto"/>
      </w:divBdr>
    </w:div>
    <w:div w:id="144014310">
      <w:bodyDiv w:val="1"/>
      <w:marLeft w:val="0"/>
      <w:marRight w:val="0"/>
      <w:marTop w:val="0"/>
      <w:marBottom w:val="0"/>
      <w:divBdr>
        <w:top w:val="none" w:sz="0" w:space="0" w:color="auto"/>
        <w:left w:val="none" w:sz="0" w:space="0" w:color="auto"/>
        <w:bottom w:val="none" w:sz="0" w:space="0" w:color="auto"/>
        <w:right w:val="none" w:sz="0" w:space="0" w:color="auto"/>
      </w:divBdr>
    </w:div>
    <w:div w:id="146046795">
      <w:bodyDiv w:val="1"/>
      <w:marLeft w:val="0"/>
      <w:marRight w:val="0"/>
      <w:marTop w:val="0"/>
      <w:marBottom w:val="0"/>
      <w:divBdr>
        <w:top w:val="none" w:sz="0" w:space="0" w:color="auto"/>
        <w:left w:val="none" w:sz="0" w:space="0" w:color="auto"/>
        <w:bottom w:val="none" w:sz="0" w:space="0" w:color="auto"/>
        <w:right w:val="none" w:sz="0" w:space="0" w:color="auto"/>
      </w:divBdr>
    </w:div>
    <w:div w:id="146090716">
      <w:bodyDiv w:val="1"/>
      <w:marLeft w:val="0"/>
      <w:marRight w:val="0"/>
      <w:marTop w:val="0"/>
      <w:marBottom w:val="0"/>
      <w:divBdr>
        <w:top w:val="none" w:sz="0" w:space="0" w:color="auto"/>
        <w:left w:val="none" w:sz="0" w:space="0" w:color="auto"/>
        <w:bottom w:val="none" w:sz="0" w:space="0" w:color="auto"/>
        <w:right w:val="none" w:sz="0" w:space="0" w:color="auto"/>
      </w:divBdr>
    </w:div>
    <w:div w:id="146364440">
      <w:bodyDiv w:val="1"/>
      <w:marLeft w:val="0"/>
      <w:marRight w:val="0"/>
      <w:marTop w:val="0"/>
      <w:marBottom w:val="0"/>
      <w:divBdr>
        <w:top w:val="none" w:sz="0" w:space="0" w:color="auto"/>
        <w:left w:val="none" w:sz="0" w:space="0" w:color="auto"/>
        <w:bottom w:val="none" w:sz="0" w:space="0" w:color="auto"/>
        <w:right w:val="none" w:sz="0" w:space="0" w:color="auto"/>
      </w:divBdr>
    </w:div>
    <w:div w:id="146938490">
      <w:bodyDiv w:val="1"/>
      <w:marLeft w:val="0"/>
      <w:marRight w:val="0"/>
      <w:marTop w:val="0"/>
      <w:marBottom w:val="0"/>
      <w:divBdr>
        <w:top w:val="none" w:sz="0" w:space="0" w:color="auto"/>
        <w:left w:val="none" w:sz="0" w:space="0" w:color="auto"/>
        <w:bottom w:val="none" w:sz="0" w:space="0" w:color="auto"/>
        <w:right w:val="none" w:sz="0" w:space="0" w:color="auto"/>
      </w:divBdr>
    </w:div>
    <w:div w:id="150800460">
      <w:bodyDiv w:val="1"/>
      <w:marLeft w:val="0"/>
      <w:marRight w:val="0"/>
      <w:marTop w:val="0"/>
      <w:marBottom w:val="0"/>
      <w:divBdr>
        <w:top w:val="none" w:sz="0" w:space="0" w:color="auto"/>
        <w:left w:val="none" w:sz="0" w:space="0" w:color="auto"/>
        <w:bottom w:val="none" w:sz="0" w:space="0" w:color="auto"/>
        <w:right w:val="none" w:sz="0" w:space="0" w:color="auto"/>
      </w:divBdr>
    </w:div>
    <w:div w:id="157431115">
      <w:bodyDiv w:val="1"/>
      <w:marLeft w:val="0"/>
      <w:marRight w:val="0"/>
      <w:marTop w:val="0"/>
      <w:marBottom w:val="0"/>
      <w:divBdr>
        <w:top w:val="none" w:sz="0" w:space="0" w:color="auto"/>
        <w:left w:val="none" w:sz="0" w:space="0" w:color="auto"/>
        <w:bottom w:val="none" w:sz="0" w:space="0" w:color="auto"/>
        <w:right w:val="none" w:sz="0" w:space="0" w:color="auto"/>
      </w:divBdr>
    </w:div>
    <w:div w:id="166945082">
      <w:bodyDiv w:val="1"/>
      <w:marLeft w:val="0"/>
      <w:marRight w:val="0"/>
      <w:marTop w:val="0"/>
      <w:marBottom w:val="0"/>
      <w:divBdr>
        <w:top w:val="none" w:sz="0" w:space="0" w:color="auto"/>
        <w:left w:val="none" w:sz="0" w:space="0" w:color="auto"/>
        <w:bottom w:val="none" w:sz="0" w:space="0" w:color="auto"/>
        <w:right w:val="none" w:sz="0" w:space="0" w:color="auto"/>
      </w:divBdr>
    </w:div>
    <w:div w:id="167138078">
      <w:bodyDiv w:val="1"/>
      <w:marLeft w:val="0"/>
      <w:marRight w:val="0"/>
      <w:marTop w:val="0"/>
      <w:marBottom w:val="0"/>
      <w:divBdr>
        <w:top w:val="none" w:sz="0" w:space="0" w:color="auto"/>
        <w:left w:val="none" w:sz="0" w:space="0" w:color="auto"/>
        <w:bottom w:val="none" w:sz="0" w:space="0" w:color="auto"/>
        <w:right w:val="none" w:sz="0" w:space="0" w:color="auto"/>
      </w:divBdr>
    </w:div>
    <w:div w:id="169107619">
      <w:bodyDiv w:val="1"/>
      <w:marLeft w:val="0"/>
      <w:marRight w:val="0"/>
      <w:marTop w:val="0"/>
      <w:marBottom w:val="0"/>
      <w:divBdr>
        <w:top w:val="none" w:sz="0" w:space="0" w:color="auto"/>
        <w:left w:val="none" w:sz="0" w:space="0" w:color="auto"/>
        <w:bottom w:val="none" w:sz="0" w:space="0" w:color="auto"/>
        <w:right w:val="none" w:sz="0" w:space="0" w:color="auto"/>
      </w:divBdr>
    </w:div>
    <w:div w:id="183057321">
      <w:bodyDiv w:val="1"/>
      <w:marLeft w:val="0"/>
      <w:marRight w:val="0"/>
      <w:marTop w:val="0"/>
      <w:marBottom w:val="0"/>
      <w:divBdr>
        <w:top w:val="none" w:sz="0" w:space="0" w:color="auto"/>
        <w:left w:val="none" w:sz="0" w:space="0" w:color="auto"/>
        <w:bottom w:val="none" w:sz="0" w:space="0" w:color="auto"/>
        <w:right w:val="none" w:sz="0" w:space="0" w:color="auto"/>
      </w:divBdr>
    </w:div>
    <w:div w:id="185751999">
      <w:bodyDiv w:val="1"/>
      <w:marLeft w:val="0"/>
      <w:marRight w:val="0"/>
      <w:marTop w:val="0"/>
      <w:marBottom w:val="0"/>
      <w:divBdr>
        <w:top w:val="none" w:sz="0" w:space="0" w:color="auto"/>
        <w:left w:val="none" w:sz="0" w:space="0" w:color="auto"/>
        <w:bottom w:val="none" w:sz="0" w:space="0" w:color="auto"/>
        <w:right w:val="none" w:sz="0" w:space="0" w:color="auto"/>
      </w:divBdr>
    </w:div>
    <w:div w:id="191188131">
      <w:bodyDiv w:val="1"/>
      <w:marLeft w:val="0"/>
      <w:marRight w:val="0"/>
      <w:marTop w:val="0"/>
      <w:marBottom w:val="0"/>
      <w:divBdr>
        <w:top w:val="none" w:sz="0" w:space="0" w:color="auto"/>
        <w:left w:val="none" w:sz="0" w:space="0" w:color="auto"/>
        <w:bottom w:val="none" w:sz="0" w:space="0" w:color="auto"/>
        <w:right w:val="none" w:sz="0" w:space="0" w:color="auto"/>
      </w:divBdr>
    </w:div>
    <w:div w:id="194345346">
      <w:bodyDiv w:val="1"/>
      <w:marLeft w:val="0"/>
      <w:marRight w:val="0"/>
      <w:marTop w:val="0"/>
      <w:marBottom w:val="0"/>
      <w:divBdr>
        <w:top w:val="none" w:sz="0" w:space="0" w:color="auto"/>
        <w:left w:val="none" w:sz="0" w:space="0" w:color="auto"/>
        <w:bottom w:val="none" w:sz="0" w:space="0" w:color="auto"/>
        <w:right w:val="none" w:sz="0" w:space="0" w:color="auto"/>
      </w:divBdr>
    </w:div>
    <w:div w:id="204028058">
      <w:bodyDiv w:val="1"/>
      <w:marLeft w:val="0"/>
      <w:marRight w:val="0"/>
      <w:marTop w:val="0"/>
      <w:marBottom w:val="0"/>
      <w:divBdr>
        <w:top w:val="none" w:sz="0" w:space="0" w:color="auto"/>
        <w:left w:val="none" w:sz="0" w:space="0" w:color="auto"/>
        <w:bottom w:val="none" w:sz="0" w:space="0" w:color="auto"/>
        <w:right w:val="none" w:sz="0" w:space="0" w:color="auto"/>
      </w:divBdr>
    </w:div>
    <w:div w:id="228267330">
      <w:bodyDiv w:val="1"/>
      <w:marLeft w:val="0"/>
      <w:marRight w:val="0"/>
      <w:marTop w:val="0"/>
      <w:marBottom w:val="0"/>
      <w:divBdr>
        <w:top w:val="none" w:sz="0" w:space="0" w:color="auto"/>
        <w:left w:val="none" w:sz="0" w:space="0" w:color="auto"/>
        <w:bottom w:val="none" w:sz="0" w:space="0" w:color="auto"/>
        <w:right w:val="none" w:sz="0" w:space="0" w:color="auto"/>
      </w:divBdr>
    </w:div>
    <w:div w:id="231819521">
      <w:bodyDiv w:val="1"/>
      <w:marLeft w:val="0"/>
      <w:marRight w:val="0"/>
      <w:marTop w:val="0"/>
      <w:marBottom w:val="0"/>
      <w:divBdr>
        <w:top w:val="none" w:sz="0" w:space="0" w:color="auto"/>
        <w:left w:val="none" w:sz="0" w:space="0" w:color="auto"/>
        <w:bottom w:val="none" w:sz="0" w:space="0" w:color="auto"/>
        <w:right w:val="none" w:sz="0" w:space="0" w:color="auto"/>
      </w:divBdr>
    </w:div>
    <w:div w:id="237328848">
      <w:bodyDiv w:val="1"/>
      <w:marLeft w:val="0"/>
      <w:marRight w:val="0"/>
      <w:marTop w:val="0"/>
      <w:marBottom w:val="0"/>
      <w:divBdr>
        <w:top w:val="none" w:sz="0" w:space="0" w:color="auto"/>
        <w:left w:val="none" w:sz="0" w:space="0" w:color="auto"/>
        <w:bottom w:val="none" w:sz="0" w:space="0" w:color="auto"/>
        <w:right w:val="none" w:sz="0" w:space="0" w:color="auto"/>
      </w:divBdr>
    </w:div>
    <w:div w:id="239170547">
      <w:bodyDiv w:val="1"/>
      <w:marLeft w:val="0"/>
      <w:marRight w:val="0"/>
      <w:marTop w:val="0"/>
      <w:marBottom w:val="0"/>
      <w:divBdr>
        <w:top w:val="none" w:sz="0" w:space="0" w:color="auto"/>
        <w:left w:val="none" w:sz="0" w:space="0" w:color="auto"/>
        <w:bottom w:val="none" w:sz="0" w:space="0" w:color="auto"/>
        <w:right w:val="none" w:sz="0" w:space="0" w:color="auto"/>
      </w:divBdr>
    </w:div>
    <w:div w:id="248122810">
      <w:bodyDiv w:val="1"/>
      <w:marLeft w:val="0"/>
      <w:marRight w:val="0"/>
      <w:marTop w:val="0"/>
      <w:marBottom w:val="0"/>
      <w:divBdr>
        <w:top w:val="none" w:sz="0" w:space="0" w:color="auto"/>
        <w:left w:val="none" w:sz="0" w:space="0" w:color="auto"/>
        <w:bottom w:val="none" w:sz="0" w:space="0" w:color="auto"/>
        <w:right w:val="none" w:sz="0" w:space="0" w:color="auto"/>
      </w:divBdr>
    </w:div>
    <w:div w:id="254442383">
      <w:bodyDiv w:val="1"/>
      <w:marLeft w:val="0"/>
      <w:marRight w:val="0"/>
      <w:marTop w:val="0"/>
      <w:marBottom w:val="0"/>
      <w:divBdr>
        <w:top w:val="none" w:sz="0" w:space="0" w:color="auto"/>
        <w:left w:val="none" w:sz="0" w:space="0" w:color="auto"/>
        <w:bottom w:val="none" w:sz="0" w:space="0" w:color="auto"/>
        <w:right w:val="none" w:sz="0" w:space="0" w:color="auto"/>
      </w:divBdr>
    </w:div>
    <w:div w:id="256718013">
      <w:bodyDiv w:val="1"/>
      <w:marLeft w:val="0"/>
      <w:marRight w:val="0"/>
      <w:marTop w:val="0"/>
      <w:marBottom w:val="0"/>
      <w:divBdr>
        <w:top w:val="none" w:sz="0" w:space="0" w:color="auto"/>
        <w:left w:val="none" w:sz="0" w:space="0" w:color="auto"/>
        <w:bottom w:val="none" w:sz="0" w:space="0" w:color="auto"/>
        <w:right w:val="none" w:sz="0" w:space="0" w:color="auto"/>
      </w:divBdr>
    </w:div>
    <w:div w:id="263608582">
      <w:bodyDiv w:val="1"/>
      <w:marLeft w:val="0"/>
      <w:marRight w:val="0"/>
      <w:marTop w:val="0"/>
      <w:marBottom w:val="0"/>
      <w:divBdr>
        <w:top w:val="none" w:sz="0" w:space="0" w:color="auto"/>
        <w:left w:val="none" w:sz="0" w:space="0" w:color="auto"/>
        <w:bottom w:val="none" w:sz="0" w:space="0" w:color="auto"/>
        <w:right w:val="none" w:sz="0" w:space="0" w:color="auto"/>
      </w:divBdr>
    </w:div>
    <w:div w:id="267348382">
      <w:bodyDiv w:val="1"/>
      <w:marLeft w:val="0"/>
      <w:marRight w:val="0"/>
      <w:marTop w:val="0"/>
      <w:marBottom w:val="0"/>
      <w:divBdr>
        <w:top w:val="none" w:sz="0" w:space="0" w:color="auto"/>
        <w:left w:val="none" w:sz="0" w:space="0" w:color="auto"/>
        <w:bottom w:val="none" w:sz="0" w:space="0" w:color="auto"/>
        <w:right w:val="none" w:sz="0" w:space="0" w:color="auto"/>
      </w:divBdr>
    </w:div>
    <w:div w:id="281767671">
      <w:bodyDiv w:val="1"/>
      <w:marLeft w:val="0"/>
      <w:marRight w:val="0"/>
      <w:marTop w:val="0"/>
      <w:marBottom w:val="0"/>
      <w:divBdr>
        <w:top w:val="none" w:sz="0" w:space="0" w:color="auto"/>
        <w:left w:val="none" w:sz="0" w:space="0" w:color="auto"/>
        <w:bottom w:val="none" w:sz="0" w:space="0" w:color="auto"/>
        <w:right w:val="none" w:sz="0" w:space="0" w:color="auto"/>
      </w:divBdr>
    </w:div>
    <w:div w:id="282427315">
      <w:bodyDiv w:val="1"/>
      <w:marLeft w:val="0"/>
      <w:marRight w:val="0"/>
      <w:marTop w:val="0"/>
      <w:marBottom w:val="0"/>
      <w:divBdr>
        <w:top w:val="none" w:sz="0" w:space="0" w:color="auto"/>
        <w:left w:val="none" w:sz="0" w:space="0" w:color="auto"/>
        <w:bottom w:val="none" w:sz="0" w:space="0" w:color="auto"/>
        <w:right w:val="none" w:sz="0" w:space="0" w:color="auto"/>
      </w:divBdr>
    </w:div>
    <w:div w:id="288125733">
      <w:bodyDiv w:val="1"/>
      <w:marLeft w:val="0"/>
      <w:marRight w:val="0"/>
      <w:marTop w:val="0"/>
      <w:marBottom w:val="0"/>
      <w:divBdr>
        <w:top w:val="none" w:sz="0" w:space="0" w:color="auto"/>
        <w:left w:val="none" w:sz="0" w:space="0" w:color="auto"/>
        <w:bottom w:val="none" w:sz="0" w:space="0" w:color="auto"/>
        <w:right w:val="none" w:sz="0" w:space="0" w:color="auto"/>
      </w:divBdr>
    </w:div>
    <w:div w:id="290357225">
      <w:bodyDiv w:val="1"/>
      <w:marLeft w:val="0"/>
      <w:marRight w:val="0"/>
      <w:marTop w:val="0"/>
      <w:marBottom w:val="0"/>
      <w:divBdr>
        <w:top w:val="none" w:sz="0" w:space="0" w:color="auto"/>
        <w:left w:val="none" w:sz="0" w:space="0" w:color="auto"/>
        <w:bottom w:val="none" w:sz="0" w:space="0" w:color="auto"/>
        <w:right w:val="none" w:sz="0" w:space="0" w:color="auto"/>
      </w:divBdr>
    </w:div>
    <w:div w:id="293221978">
      <w:bodyDiv w:val="1"/>
      <w:marLeft w:val="0"/>
      <w:marRight w:val="0"/>
      <w:marTop w:val="0"/>
      <w:marBottom w:val="0"/>
      <w:divBdr>
        <w:top w:val="none" w:sz="0" w:space="0" w:color="auto"/>
        <w:left w:val="none" w:sz="0" w:space="0" w:color="auto"/>
        <w:bottom w:val="none" w:sz="0" w:space="0" w:color="auto"/>
        <w:right w:val="none" w:sz="0" w:space="0" w:color="auto"/>
      </w:divBdr>
    </w:div>
    <w:div w:id="301160710">
      <w:bodyDiv w:val="1"/>
      <w:marLeft w:val="0"/>
      <w:marRight w:val="0"/>
      <w:marTop w:val="0"/>
      <w:marBottom w:val="0"/>
      <w:divBdr>
        <w:top w:val="none" w:sz="0" w:space="0" w:color="auto"/>
        <w:left w:val="none" w:sz="0" w:space="0" w:color="auto"/>
        <w:bottom w:val="none" w:sz="0" w:space="0" w:color="auto"/>
        <w:right w:val="none" w:sz="0" w:space="0" w:color="auto"/>
      </w:divBdr>
    </w:div>
    <w:div w:id="306323248">
      <w:bodyDiv w:val="1"/>
      <w:marLeft w:val="0"/>
      <w:marRight w:val="0"/>
      <w:marTop w:val="0"/>
      <w:marBottom w:val="0"/>
      <w:divBdr>
        <w:top w:val="none" w:sz="0" w:space="0" w:color="auto"/>
        <w:left w:val="none" w:sz="0" w:space="0" w:color="auto"/>
        <w:bottom w:val="none" w:sz="0" w:space="0" w:color="auto"/>
        <w:right w:val="none" w:sz="0" w:space="0" w:color="auto"/>
      </w:divBdr>
    </w:div>
    <w:div w:id="310138745">
      <w:bodyDiv w:val="1"/>
      <w:marLeft w:val="0"/>
      <w:marRight w:val="0"/>
      <w:marTop w:val="0"/>
      <w:marBottom w:val="0"/>
      <w:divBdr>
        <w:top w:val="none" w:sz="0" w:space="0" w:color="auto"/>
        <w:left w:val="none" w:sz="0" w:space="0" w:color="auto"/>
        <w:bottom w:val="none" w:sz="0" w:space="0" w:color="auto"/>
        <w:right w:val="none" w:sz="0" w:space="0" w:color="auto"/>
      </w:divBdr>
    </w:div>
    <w:div w:id="311371075">
      <w:bodyDiv w:val="1"/>
      <w:marLeft w:val="0"/>
      <w:marRight w:val="0"/>
      <w:marTop w:val="0"/>
      <w:marBottom w:val="0"/>
      <w:divBdr>
        <w:top w:val="none" w:sz="0" w:space="0" w:color="auto"/>
        <w:left w:val="none" w:sz="0" w:space="0" w:color="auto"/>
        <w:bottom w:val="none" w:sz="0" w:space="0" w:color="auto"/>
        <w:right w:val="none" w:sz="0" w:space="0" w:color="auto"/>
      </w:divBdr>
    </w:div>
    <w:div w:id="314577159">
      <w:bodyDiv w:val="1"/>
      <w:marLeft w:val="0"/>
      <w:marRight w:val="0"/>
      <w:marTop w:val="0"/>
      <w:marBottom w:val="0"/>
      <w:divBdr>
        <w:top w:val="none" w:sz="0" w:space="0" w:color="auto"/>
        <w:left w:val="none" w:sz="0" w:space="0" w:color="auto"/>
        <w:bottom w:val="none" w:sz="0" w:space="0" w:color="auto"/>
        <w:right w:val="none" w:sz="0" w:space="0" w:color="auto"/>
      </w:divBdr>
    </w:div>
    <w:div w:id="325785946">
      <w:bodyDiv w:val="1"/>
      <w:marLeft w:val="0"/>
      <w:marRight w:val="0"/>
      <w:marTop w:val="0"/>
      <w:marBottom w:val="0"/>
      <w:divBdr>
        <w:top w:val="none" w:sz="0" w:space="0" w:color="auto"/>
        <w:left w:val="none" w:sz="0" w:space="0" w:color="auto"/>
        <w:bottom w:val="none" w:sz="0" w:space="0" w:color="auto"/>
        <w:right w:val="none" w:sz="0" w:space="0" w:color="auto"/>
      </w:divBdr>
    </w:div>
    <w:div w:id="327291123">
      <w:bodyDiv w:val="1"/>
      <w:marLeft w:val="0"/>
      <w:marRight w:val="0"/>
      <w:marTop w:val="0"/>
      <w:marBottom w:val="0"/>
      <w:divBdr>
        <w:top w:val="none" w:sz="0" w:space="0" w:color="auto"/>
        <w:left w:val="none" w:sz="0" w:space="0" w:color="auto"/>
        <w:bottom w:val="none" w:sz="0" w:space="0" w:color="auto"/>
        <w:right w:val="none" w:sz="0" w:space="0" w:color="auto"/>
      </w:divBdr>
    </w:div>
    <w:div w:id="331841359">
      <w:bodyDiv w:val="1"/>
      <w:marLeft w:val="0"/>
      <w:marRight w:val="0"/>
      <w:marTop w:val="0"/>
      <w:marBottom w:val="0"/>
      <w:divBdr>
        <w:top w:val="none" w:sz="0" w:space="0" w:color="auto"/>
        <w:left w:val="none" w:sz="0" w:space="0" w:color="auto"/>
        <w:bottom w:val="none" w:sz="0" w:space="0" w:color="auto"/>
        <w:right w:val="none" w:sz="0" w:space="0" w:color="auto"/>
      </w:divBdr>
    </w:div>
    <w:div w:id="336463464">
      <w:bodyDiv w:val="1"/>
      <w:marLeft w:val="0"/>
      <w:marRight w:val="0"/>
      <w:marTop w:val="0"/>
      <w:marBottom w:val="0"/>
      <w:divBdr>
        <w:top w:val="none" w:sz="0" w:space="0" w:color="auto"/>
        <w:left w:val="none" w:sz="0" w:space="0" w:color="auto"/>
        <w:bottom w:val="none" w:sz="0" w:space="0" w:color="auto"/>
        <w:right w:val="none" w:sz="0" w:space="0" w:color="auto"/>
      </w:divBdr>
    </w:div>
    <w:div w:id="336806603">
      <w:bodyDiv w:val="1"/>
      <w:marLeft w:val="0"/>
      <w:marRight w:val="0"/>
      <w:marTop w:val="0"/>
      <w:marBottom w:val="0"/>
      <w:divBdr>
        <w:top w:val="none" w:sz="0" w:space="0" w:color="auto"/>
        <w:left w:val="none" w:sz="0" w:space="0" w:color="auto"/>
        <w:bottom w:val="none" w:sz="0" w:space="0" w:color="auto"/>
        <w:right w:val="none" w:sz="0" w:space="0" w:color="auto"/>
      </w:divBdr>
    </w:div>
    <w:div w:id="337001925">
      <w:bodyDiv w:val="1"/>
      <w:marLeft w:val="0"/>
      <w:marRight w:val="0"/>
      <w:marTop w:val="0"/>
      <w:marBottom w:val="0"/>
      <w:divBdr>
        <w:top w:val="none" w:sz="0" w:space="0" w:color="auto"/>
        <w:left w:val="none" w:sz="0" w:space="0" w:color="auto"/>
        <w:bottom w:val="none" w:sz="0" w:space="0" w:color="auto"/>
        <w:right w:val="none" w:sz="0" w:space="0" w:color="auto"/>
      </w:divBdr>
    </w:div>
    <w:div w:id="347870309">
      <w:bodyDiv w:val="1"/>
      <w:marLeft w:val="0"/>
      <w:marRight w:val="0"/>
      <w:marTop w:val="0"/>
      <w:marBottom w:val="0"/>
      <w:divBdr>
        <w:top w:val="none" w:sz="0" w:space="0" w:color="auto"/>
        <w:left w:val="none" w:sz="0" w:space="0" w:color="auto"/>
        <w:bottom w:val="none" w:sz="0" w:space="0" w:color="auto"/>
        <w:right w:val="none" w:sz="0" w:space="0" w:color="auto"/>
      </w:divBdr>
      <w:divsChild>
        <w:div w:id="207036052">
          <w:marLeft w:val="547"/>
          <w:marRight w:val="0"/>
          <w:marTop w:val="96"/>
          <w:marBottom w:val="0"/>
          <w:divBdr>
            <w:top w:val="none" w:sz="0" w:space="0" w:color="auto"/>
            <w:left w:val="none" w:sz="0" w:space="0" w:color="auto"/>
            <w:bottom w:val="none" w:sz="0" w:space="0" w:color="auto"/>
            <w:right w:val="none" w:sz="0" w:space="0" w:color="auto"/>
          </w:divBdr>
        </w:div>
        <w:div w:id="1056515155">
          <w:marLeft w:val="547"/>
          <w:marRight w:val="0"/>
          <w:marTop w:val="96"/>
          <w:marBottom w:val="0"/>
          <w:divBdr>
            <w:top w:val="none" w:sz="0" w:space="0" w:color="auto"/>
            <w:left w:val="none" w:sz="0" w:space="0" w:color="auto"/>
            <w:bottom w:val="none" w:sz="0" w:space="0" w:color="auto"/>
            <w:right w:val="none" w:sz="0" w:space="0" w:color="auto"/>
          </w:divBdr>
        </w:div>
        <w:div w:id="1826041861">
          <w:marLeft w:val="547"/>
          <w:marRight w:val="0"/>
          <w:marTop w:val="96"/>
          <w:marBottom w:val="0"/>
          <w:divBdr>
            <w:top w:val="none" w:sz="0" w:space="0" w:color="auto"/>
            <w:left w:val="none" w:sz="0" w:space="0" w:color="auto"/>
            <w:bottom w:val="none" w:sz="0" w:space="0" w:color="auto"/>
            <w:right w:val="none" w:sz="0" w:space="0" w:color="auto"/>
          </w:divBdr>
        </w:div>
      </w:divsChild>
    </w:div>
    <w:div w:id="349376134">
      <w:bodyDiv w:val="1"/>
      <w:marLeft w:val="0"/>
      <w:marRight w:val="0"/>
      <w:marTop w:val="0"/>
      <w:marBottom w:val="0"/>
      <w:divBdr>
        <w:top w:val="none" w:sz="0" w:space="0" w:color="auto"/>
        <w:left w:val="none" w:sz="0" w:space="0" w:color="auto"/>
        <w:bottom w:val="none" w:sz="0" w:space="0" w:color="auto"/>
        <w:right w:val="none" w:sz="0" w:space="0" w:color="auto"/>
      </w:divBdr>
    </w:div>
    <w:div w:id="353507678">
      <w:bodyDiv w:val="1"/>
      <w:marLeft w:val="0"/>
      <w:marRight w:val="0"/>
      <w:marTop w:val="0"/>
      <w:marBottom w:val="0"/>
      <w:divBdr>
        <w:top w:val="none" w:sz="0" w:space="0" w:color="auto"/>
        <w:left w:val="none" w:sz="0" w:space="0" w:color="auto"/>
        <w:bottom w:val="none" w:sz="0" w:space="0" w:color="auto"/>
        <w:right w:val="none" w:sz="0" w:space="0" w:color="auto"/>
      </w:divBdr>
    </w:div>
    <w:div w:id="357118875">
      <w:bodyDiv w:val="1"/>
      <w:marLeft w:val="0"/>
      <w:marRight w:val="0"/>
      <w:marTop w:val="0"/>
      <w:marBottom w:val="0"/>
      <w:divBdr>
        <w:top w:val="none" w:sz="0" w:space="0" w:color="auto"/>
        <w:left w:val="none" w:sz="0" w:space="0" w:color="auto"/>
        <w:bottom w:val="none" w:sz="0" w:space="0" w:color="auto"/>
        <w:right w:val="none" w:sz="0" w:space="0" w:color="auto"/>
      </w:divBdr>
    </w:div>
    <w:div w:id="361443913">
      <w:bodyDiv w:val="1"/>
      <w:marLeft w:val="0"/>
      <w:marRight w:val="0"/>
      <w:marTop w:val="0"/>
      <w:marBottom w:val="0"/>
      <w:divBdr>
        <w:top w:val="none" w:sz="0" w:space="0" w:color="auto"/>
        <w:left w:val="none" w:sz="0" w:space="0" w:color="auto"/>
        <w:bottom w:val="none" w:sz="0" w:space="0" w:color="auto"/>
        <w:right w:val="none" w:sz="0" w:space="0" w:color="auto"/>
      </w:divBdr>
    </w:div>
    <w:div w:id="363100152">
      <w:bodyDiv w:val="1"/>
      <w:marLeft w:val="0"/>
      <w:marRight w:val="0"/>
      <w:marTop w:val="0"/>
      <w:marBottom w:val="0"/>
      <w:divBdr>
        <w:top w:val="none" w:sz="0" w:space="0" w:color="auto"/>
        <w:left w:val="none" w:sz="0" w:space="0" w:color="auto"/>
        <w:bottom w:val="none" w:sz="0" w:space="0" w:color="auto"/>
        <w:right w:val="none" w:sz="0" w:space="0" w:color="auto"/>
      </w:divBdr>
    </w:div>
    <w:div w:id="371031794">
      <w:bodyDiv w:val="1"/>
      <w:marLeft w:val="0"/>
      <w:marRight w:val="0"/>
      <w:marTop w:val="0"/>
      <w:marBottom w:val="0"/>
      <w:divBdr>
        <w:top w:val="none" w:sz="0" w:space="0" w:color="auto"/>
        <w:left w:val="none" w:sz="0" w:space="0" w:color="auto"/>
        <w:bottom w:val="none" w:sz="0" w:space="0" w:color="auto"/>
        <w:right w:val="none" w:sz="0" w:space="0" w:color="auto"/>
      </w:divBdr>
    </w:div>
    <w:div w:id="383455339">
      <w:bodyDiv w:val="1"/>
      <w:marLeft w:val="0"/>
      <w:marRight w:val="0"/>
      <w:marTop w:val="0"/>
      <w:marBottom w:val="0"/>
      <w:divBdr>
        <w:top w:val="none" w:sz="0" w:space="0" w:color="auto"/>
        <w:left w:val="none" w:sz="0" w:space="0" w:color="auto"/>
        <w:bottom w:val="none" w:sz="0" w:space="0" w:color="auto"/>
        <w:right w:val="none" w:sz="0" w:space="0" w:color="auto"/>
      </w:divBdr>
    </w:div>
    <w:div w:id="386340650">
      <w:bodyDiv w:val="1"/>
      <w:marLeft w:val="0"/>
      <w:marRight w:val="0"/>
      <w:marTop w:val="0"/>
      <w:marBottom w:val="0"/>
      <w:divBdr>
        <w:top w:val="none" w:sz="0" w:space="0" w:color="auto"/>
        <w:left w:val="none" w:sz="0" w:space="0" w:color="auto"/>
        <w:bottom w:val="none" w:sz="0" w:space="0" w:color="auto"/>
        <w:right w:val="none" w:sz="0" w:space="0" w:color="auto"/>
      </w:divBdr>
    </w:div>
    <w:div w:id="388264399">
      <w:bodyDiv w:val="1"/>
      <w:marLeft w:val="0"/>
      <w:marRight w:val="0"/>
      <w:marTop w:val="0"/>
      <w:marBottom w:val="0"/>
      <w:divBdr>
        <w:top w:val="none" w:sz="0" w:space="0" w:color="auto"/>
        <w:left w:val="none" w:sz="0" w:space="0" w:color="auto"/>
        <w:bottom w:val="none" w:sz="0" w:space="0" w:color="auto"/>
        <w:right w:val="none" w:sz="0" w:space="0" w:color="auto"/>
      </w:divBdr>
    </w:div>
    <w:div w:id="393479342">
      <w:bodyDiv w:val="1"/>
      <w:marLeft w:val="0"/>
      <w:marRight w:val="0"/>
      <w:marTop w:val="0"/>
      <w:marBottom w:val="0"/>
      <w:divBdr>
        <w:top w:val="none" w:sz="0" w:space="0" w:color="auto"/>
        <w:left w:val="none" w:sz="0" w:space="0" w:color="auto"/>
        <w:bottom w:val="none" w:sz="0" w:space="0" w:color="auto"/>
        <w:right w:val="none" w:sz="0" w:space="0" w:color="auto"/>
      </w:divBdr>
    </w:div>
    <w:div w:id="395711127">
      <w:bodyDiv w:val="1"/>
      <w:marLeft w:val="0"/>
      <w:marRight w:val="0"/>
      <w:marTop w:val="0"/>
      <w:marBottom w:val="0"/>
      <w:divBdr>
        <w:top w:val="none" w:sz="0" w:space="0" w:color="auto"/>
        <w:left w:val="none" w:sz="0" w:space="0" w:color="auto"/>
        <w:bottom w:val="none" w:sz="0" w:space="0" w:color="auto"/>
        <w:right w:val="none" w:sz="0" w:space="0" w:color="auto"/>
      </w:divBdr>
    </w:div>
    <w:div w:id="401831312">
      <w:bodyDiv w:val="1"/>
      <w:marLeft w:val="0"/>
      <w:marRight w:val="0"/>
      <w:marTop w:val="0"/>
      <w:marBottom w:val="0"/>
      <w:divBdr>
        <w:top w:val="none" w:sz="0" w:space="0" w:color="auto"/>
        <w:left w:val="none" w:sz="0" w:space="0" w:color="auto"/>
        <w:bottom w:val="none" w:sz="0" w:space="0" w:color="auto"/>
        <w:right w:val="none" w:sz="0" w:space="0" w:color="auto"/>
      </w:divBdr>
    </w:div>
    <w:div w:id="402025130">
      <w:bodyDiv w:val="1"/>
      <w:marLeft w:val="0"/>
      <w:marRight w:val="0"/>
      <w:marTop w:val="0"/>
      <w:marBottom w:val="0"/>
      <w:divBdr>
        <w:top w:val="none" w:sz="0" w:space="0" w:color="auto"/>
        <w:left w:val="none" w:sz="0" w:space="0" w:color="auto"/>
        <w:bottom w:val="none" w:sz="0" w:space="0" w:color="auto"/>
        <w:right w:val="none" w:sz="0" w:space="0" w:color="auto"/>
      </w:divBdr>
    </w:div>
    <w:div w:id="405107586">
      <w:bodyDiv w:val="1"/>
      <w:marLeft w:val="0"/>
      <w:marRight w:val="0"/>
      <w:marTop w:val="0"/>
      <w:marBottom w:val="0"/>
      <w:divBdr>
        <w:top w:val="none" w:sz="0" w:space="0" w:color="auto"/>
        <w:left w:val="none" w:sz="0" w:space="0" w:color="auto"/>
        <w:bottom w:val="none" w:sz="0" w:space="0" w:color="auto"/>
        <w:right w:val="none" w:sz="0" w:space="0" w:color="auto"/>
      </w:divBdr>
    </w:div>
    <w:div w:id="408504191">
      <w:bodyDiv w:val="1"/>
      <w:marLeft w:val="0"/>
      <w:marRight w:val="0"/>
      <w:marTop w:val="0"/>
      <w:marBottom w:val="0"/>
      <w:divBdr>
        <w:top w:val="none" w:sz="0" w:space="0" w:color="auto"/>
        <w:left w:val="none" w:sz="0" w:space="0" w:color="auto"/>
        <w:bottom w:val="none" w:sz="0" w:space="0" w:color="auto"/>
        <w:right w:val="none" w:sz="0" w:space="0" w:color="auto"/>
      </w:divBdr>
    </w:div>
    <w:div w:id="424114751">
      <w:bodyDiv w:val="1"/>
      <w:marLeft w:val="0"/>
      <w:marRight w:val="0"/>
      <w:marTop w:val="0"/>
      <w:marBottom w:val="0"/>
      <w:divBdr>
        <w:top w:val="none" w:sz="0" w:space="0" w:color="auto"/>
        <w:left w:val="none" w:sz="0" w:space="0" w:color="auto"/>
        <w:bottom w:val="none" w:sz="0" w:space="0" w:color="auto"/>
        <w:right w:val="none" w:sz="0" w:space="0" w:color="auto"/>
      </w:divBdr>
    </w:div>
    <w:div w:id="430399258">
      <w:bodyDiv w:val="1"/>
      <w:marLeft w:val="0"/>
      <w:marRight w:val="0"/>
      <w:marTop w:val="0"/>
      <w:marBottom w:val="0"/>
      <w:divBdr>
        <w:top w:val="none" w:sz="0" w:space="0" w:color="auto"/>
        <w:left w:val="none" w:sz="0" w:space="0" w:color="auto"/>
        <w:bottom w:val="none" w:sz="0" w:space="0" w:color="auto"/>
        <w:right w:val="none" w:sz="0" w:space="0" w:color="auto"/>
      </w:divBdr>
    </w:div>
    <w:div w:id="435904286">
      <w:bodyDiv w:val="1"/>
      <w:marLeft w:val="0"/>
      <w:marRight w:val="0"/>
      <w:marTop w:val="0"/>
      <w:marBottom w:val="0"/>
      <w:divBdr>
        <w:top w:val="none" w:sz="0" w:space="0" w:color="auto"/>
        <w:left w:val="none" w:sz="0" w:space="0" w:color="auto"/>
        <w:bottom w:val="none" w:sz="0" w:space="0" w:color="auto"/>
        <w:right w:val="none" w:sz="0" w:space="0" w:color="auto"/>
      </w:divBdr>
    </w:div>
    <w:div w:id="436486340">
      <w:bodyDiv w:val="1"/>
      <w:marLeft w:val="0"/>
      <w:marRight w:val="0"/>
      <w:marTop w:val="0"/>
      <w:marBottom w:val="0"/>
      <w:divBdr>
        <w:top w:val="none" w:sz="0" w:space="0" w:color="auto"/>
        <w:left w:val="none" w:sz="0" w:space="0" w:color="auto"/>
        <w:bottom w:val="none" w:sz="0" w:space="0" w:color="auto"/>
        <w:right w:val="none" w:sz="0" w:space="0" w:color="auto"/>
      </w:divBdr>
    </w:div>
    <w:div w:id="439377581">
      <w:bodyDiv w:val="1"/>
      <w:marLeft w:val="0"/>
      <w:marRight w:val="0"/>
      <w:marTop w:val="0"/>
      <w:marBottom w:val="0"/>
      <w:divBdr>
        <w:top w:val="none" w:sz="0" w:space="0" w:color="auto"/>
        <w:left w:val="none" w:sz="0" w:space="0" w:color="auto"/>
        <w:bottom w:val="none" w:sz="0" w:space="0" w:color="auto"/>
        <w:right w:val="none" w:sz="0" w:space="0" w:color="auto"/>
      </w:divBdr>
    </w:div>
    <w:div w:id="460195748">
      <w:bodyDiv w:val="1"/>
      <w:marLeft w:val="0"/>
      <w:marRight w:val="0"/>
      <w:marTop w:val="0"/>
      <w:marBottom w:val="0"/>
      <w:divBdr>
        <w:top w:val="none" w:sz="0" w:space="0" w:color="auto"/>
        <w:left w:val="none" w:sz="0" w:space="0" w:color="auto"/>
        <w:bottom w:val="none" w:sz="0" w:space="0" w:color="auto"/>
        <w:right w:val="none" w:sz="0" w:space="0" w:color="auto"/>
      </w:divBdr>
    </w:div>
    <w:div w:id="461193830">
      <w:bodyDiv w:val="1"/>
      <w:marLeft w:val="0"/>
      <w:marRight w:val="0"/>
      <w:marTop w:val="0"/>
      <w:marBottom w:val="0"/>
      <w:divBdr>
        <w:top w:val="none" w:sz="0" w:space="0" w:color="auto"/>
        <w:left w:val="none" w:sz="0" w:space="0" w:color="auto"/>
        <w:bottom w:val="none" w:sz="0" w:space="0" w:color="auto"/>
        <w:right w:val="none" w:sz="0" w:space="0" w:color="auto"/>
      </w:divBdr>
    </w:div>
    <w:div w:id="488401639">
      <w:bodyDiv w:val="1"/>
      <w:marLeft w:val="0"/>
      <w:marRight w:val="0"/>
      <w:marTop w:val="0"/>
      <w:marBottom w:val="0"/>
      <w:divBdr>
        <w:top w:val="none" w:sz="0" w:space="0" w:color="auto"/>
        <w:left w:val="none" w:sz="0" w:space="0" w:color="auto"/>
        <w:bottom w:val="none" w:sz="0" w:space="0" w:color="auto"/>
        <w:right w:val="none" w:sz="0" w:space="0" w:color="auto"/>
      </w:divBdr>
    </w:div>
    <w:div w:id="491024887">
      <w:bodyDiv w:val="1"/>
      <w:marLeft w:val="0"/>
      <w:marRight w:val="0"/>
      <w:marTop w:val="0"/>
      <w:marBottom w:val="0"/>
      <w:divBdr>
        <w:top w:val="none" w:sz="0" w:space="0" w:color="auto"/>
        <w:left w:val="none" w:sz="0" w:space="0" w:color="auto"/>
        <w:bottom w:val="none" w:sz="0" w:space="0" w:color="auto"/>
        <w:right w:val="none" w:sz="0" w:space="0" w:color="auto"/>
      </w:divBdr>
    </w:div>
    <w:div w:id="492141360">
      <w:bodyDiv w:val="1"/>
      <w:marLeft w:val="0"/>
      <w:marRight w:val="0"/>
      <w:marTop w:val="0"/>
      <w:marBottom w:val="0"/>
      <w:divBdr>
        <w:top w:val="none" w:sz="0" w:space="0" w:color="auto"/>
        <w:left w:val="none" w:sz="0" w:space="0" w:color="auto"/>
        <w:bottom w:val="none" w:sz="0" w:space="0" w:color="auto"/>
        <w:right w:val="none" w:sz="0" w:space="0" w:color="auto"/>
      </w:divBdr>
    </w:div>
    <w:div w:id="492725603">
      <w:bodyDiv w:val="1"/>
      <w:marLeft w:val="0"/>
      <w:marRight w:val="0"/>
      <w:marTop w:val="0"/>
      <w:marBottom w:val="0"/>
      <w:divBdr>
        <w:top w:val="none" w:sz="0" w:space="0" w:color="auto"/>
        <w:left w:val="none" w:sz="0" w:space="0" w:color="auto"/>
        <w:bottom w:val="none" w:sz="0" w:space="0" w:color="auto"/>
        <w:right w:val="none" w:sz="0" w:space="0" w:color="auto"/>
      </w:divBdr>
    </w:div>
    <w:div w:id="499737767">
      <w:bodyDiv w:val="1"/>
      <w:marLeft w:val="0"/>
      <w:marRight w:val="0"/>
      <w:marTop w:val="0"/>
      <w:marBottom w:val="0"/>
      <w:divBdr>
        <w:top w:val="none" w:sz="0" w:space="0" w:color="auto"/>
        <w:left w:val="none" w:sz="0" w:space="0" w:color="auto"/>
        <w:bottom w:val="none" w:sz="0" w:space="0" w:color="auto"/>
        <w:right w:val="none" w:sz="0" w:space="0" w:color="auto"/>
      </w:divBdr>
    </w:div>
    <w:div w:id="500700009">
      <w:bodyDiv w:val="1"/>
      <w:marLeft w:val="0"/>
      <w:marRight w:val="0"/>
      <w:marTop w:val="0"/>
      <w:marBottom w:val="0"/>
      <w:divBdr>
        <w:top w:val="none" w:sz="0" w:space="0" w:color="auto"/>
        <w:left w:val="none" w:sz="0" w:space="0" w:color="auto"/>
        <w:bottom w:val="none" w:sz="0" w:space="0" w:color="auto"/>
        <w:right w:val="none" w:sz="0" w:space="0" w:color="auto"/>
      </w:divBdr>
    </w:div>
    <w:div w:id="501628560">
      <w:bodyDiv w:val="1"/>
      <w:marLeft w:val="0"/>
      <w:marRight w:val="0"/>
      <w:marTop w:val="0"/>
      <w:marBottom w:val="0"/>
      <w:divBdr>
        <w:top w:val="none" w:sz="0" w:space="0" w:color="auto"/>
        <w:left w:val="none" w:sz="0" w:space="0" w:color="auto"/>
        <w:bottom w:val="none" w:sz="0" w:space="0" w:color="auto"/>
        <w:right w:val="none" w:sz="0" w:space="0" w:color="auto"/>
      </w:divBdr>
    </w:div>
    <w:div w:id="503980452">
      <w:bodyDiv w:val="1"/>
      <w:marLeft w:val="0"/>
      <w:marRight w:val="0"/>
      <w:marTop w:val="0"/>
      <w:marBottom w:val="0"/>
      <w:divBdr>
        <w:top w:val="none" w:sz="0" w:space="0" w:color="auto"/>
        <w:left w:val="none" w:sz="0" w:space="0" w:color="auto"/>
        <w:bottom w:val="none" w:sz="0" w:space="0" w:color="auto"/>
        <w:right w:val="none" w:sz="0" w:space="0" w:color="auto"/>
      </w:divBdr>
    </w:div>
    <w:div w:id="504129181">
      <w:bodyDiv w:val="1"/>
      <w:marLeft w:val="0"/>
      <w:marRight w:val="0"/>
      <w:marTop w:val="0"/>
      <w:marBottom w:val="0"/>
      <w:divBdr>
        <w:top w:val="none" w:sz="0" w:space="0" w:color="auto"/>
        <w:left w:val="none" w:sz="0" w:space="0" w:color="auto"/>
        <w:bottom w:val="none" w:sz="0" w:space="0" w:color="auto"/>
        <w:right w:val="none" w:sz="0" w:space="0" w:color="auto"/>
      </w:divBdr>
    </w:div>
    <w:div w:id="517617434">
      <w:bodyDiv w:val="1"/>
      <w:marLeft w:val="0"/>
      <w:marRight w:val="0"/>
      <w:marTop w:val="0"/>
      <w:marBottom w:val="0"/>
      <w:divBdr>
        <w:top w:val="none" w:sz="0" w:space="0" w:color="auto"/>
        <w:left w:val="none" w:sz="0" w:space="0" w:color="auto"/>
        <w:bottom w:val="none" w:sz="0" w:space="0" w:color="auto"/>
        <w:right w:val="none" w:sz="0" w:space="0" w:color="auto"/>
      </w:divBdr>
    </w:div>
    <w:div w:id="518393613">
      <w:bodyDiv w:val="1"/>
      <w:marLeft w:val="0"/>
      <w:marRight w:val="0"/>
      <w:marTop w:val="0"/>
      <w:marBottom w:val="0"/>
      <w:divBdr>
        <w:top w:val="none" w:sz="0" w:space="0" w:color="auto"/>
        <w:left w:val="none" w:sz="0" w:space="0" w:color="auto"/>
        <w:bottom w:val="none" w:sz="0" w:space="0" w:color="auto"/>
        <w:right w:val="none" w:sz="0" w:space="0" w:color="auto"/>
      </w:divBdr>
    </w:div>
    <w:div w:id="549346020">
      <w:bodyDiv w:val="1"/>
      <w:marLeft w:val="0"/>
      <w:marRight w:val="0"/>
      <w:marTop w:val="0"/>
      <w:marBottom w:val="0"/>
      <w:divBdr>
        <w:top w:val="none" w:sz="0" w:space="0" w:color="auto"/>
        <w:left w:val="none" w:sz="0" w:space="0" w:color="auto"/>
        <w:bottom w:val="none" w:sz="0" w:space="0" w:color="auto"/>
        <w:right w:val="none" w:sz="0" w:space="0" w:color="auto"/>
      </w:divBdr>
    </w:div>
    <w:div w:id="556355651">
      <w:bodyDiv w:val="1"/>
      <w:marLeft w:val="0"/>
      <w:marRight w:val="0"/>
      <w:marTop w:val="0"/>
      <w:marBottom w:val="0"/>
      <w:divBdr>
        <w:top w:val="none" w:sz="0" w:space="0" w:color="auto"/>
        <w:left w:val="none" w:sz="0" w:space="0" w:color="auto"/>
        <w:bottom w:val="none" w:sz="0" w:space="0" w:color="auto"/>
        <w:right w:val="none" w:sz="0" w:space="0" w:color="auto"/>
      </w:divBdr>
    </w:div>
    <w:div w:id="567768558">
      <w:bodyDiv w:val="1"/>
      <w:marLeft w:val="0"/>
      <w:marRight w:val="0"/>
      <w:marTop w:val="0"/>
      <w:marBottom w:val="0"/>
      <w:divBdr>
        <w:top w:val="none" w:sz="0" w:space="0" w:color="auto"/>
        <w:left w:val="none" w:sz="0" w:space="0" w:color="auto"/>
        <w:bottom w:val="none" w:sz="0" w:space="0" w:color="auto"/>
        <w:right w:val="none" w:sz="0" w:space="0" w:color="auto"/>
      </w:divBdr>
    </w:div>
    <w:div w:id="572009104">
      <w:bodyDiv w:val="1"/>
      <w:marLeft w:val="0"/>
      <w:marRight w:val="0"/>
      <w:marTop w:val="0"/>
      <w:marBottom w:val="0"/>
      <w:divBdr>
        <w:top w:val="none" w:sz="0" w:space="0" w:color="auto"/>
        <w:left w:val="none" w:sz="0" w:space="0" w:color="auto"/>
        <w:bottom w:val="none" w:sz="0" w:space="0" w:color="auto"/>
        <w:right w:val="none" w:sz="0" w:space="0" w:color="auto"/>
      </w:divBdr>
    </w:div>
    <w:div w:id="574241996">
      <w:bodyDiv w:val="1"/>
      <w:marLeft w:val="0"/>
      <w:marRight w:val="0"/>
      <w:marTop w:val="0"/>
      <w:marBottom w:val="0"/>
      <w:divBdr>
        <w:top w:val="none" w:sz="0" w:space="0" w:color="auto"/>
        <w:left w:val="none" w:sz="0" w:space="0" w:color="auto"/>
        <w:bottom w:val="none" w:sz="0" w:space="0" w:color="auto"/>
        <w:right w:val="none" w:sz="0" w:space="0" w:color="auto"/>
      </w:divBdr>
    </w:div>
    <w:div w:id="574633831">
      <w:bodyDiv w:val="1"/>
      <w:marLeft w:val="0"/>
      <w:marRight w:val="0"/>
      <w:marTop w:val="0"/>
      <w:marBottom w:val="0"/>
      <w:divBdr>
        <w:top w:val="none" w:sz="0" w:space="0" w:color="auto"/>
        <w:left w:val="none" w:sz="0" w:space="0" w:color="auto"/>
        <w:bottom w:val="none" w:sz="0" w:space="0" w:color="auto"/>
        <w:right w:val="none" w:sz="0" w:space="0" w:color="auto"/>
      </w:divBdr>
    </w:div>
    <w:div w:id="578292293">
      <w:bodyDiv w:val="1"/>
      <w:marLeft w:val="0"/>
      <w:marRight w:val="0"/>
      <w:marTop w:val="0"/>
      <w:marBottom w:val="0"/>
      <w:divBdr>
        <w:top w:val="none" w:sz="0" w:space="0" w:color="auto"/>
        <w:left w:val="none" w:sz="0" w:space="0" w:color="auto"/>
        <w:bottom w:val="none" w:sz="0" w:space="0" w:color="auto"/>
        <w:right w:val="none" w:sz="0" w:space="0" w:color="auto"/>
      </w:divBdr>
    </w:div>
    <w:div w:id="578951037">
      <w:bodyDiv w:val="1"/>
      <w:marLeft w:val="0"/>
      <w:marRight w:val="0"/>
      <w:marTop w:val="0"/>
      <w:marBottom w:val="0"/>
      <w:divBdr>
        <w:top w:val="none" w:sz="0" w:space="0" w:color="auto"/>
        <w:left w:val="none" w:sz="0" w:space="0" w:color="auto"/>
        <w:bottom w:val="none" w:sz="0" w:space="0" w:color="auto"/>
        <w:right w:val="none" w:sz="0" w:space="0" w:color="auto"/>
      </w:divBdr>
    </w:div>
    <w:div w:id="580065513">
      <w:bodyDiv w:val="1"/>
      <w:marLeft w:val="0"/>
      <w:marRight w:val="0"/>
      <w:marTop w:val="0"/>
      <w:marBottom w:val="0"/>
      <w:divBdr>
        <w:top w:val="none" w:sz="0" w:space="0" w:color="auto"/>
        <w:left w:val="none" w:sz="0" w:space="0" w:color="auto"/>
        <w:bottom w:val="none" w:sz="0" w:space="0" w:color="auto"/>
        <w:right w:val="none" w:sz="0" w:space="0" w:color="auto"/>
      </w:divBdr>
    </w:div>
    <w:div w:id="586424688">
      <w:bodyDiv w:val="1"/>
      <w:marLeft w:val="0"/>
      <w:marRight w:val="0"/>
      <w:marTop w:val="0"/>
      <w:marBottom w:val="0"/>
      <w:divBdr>
        <w:top w:val="none" w:sz="0" w:space="0" w:color="auto"/>
        <w:left w:val="none" w:sz="0" w:space="0" w:color="auto"/>
        <w:bottom w:val="none" w:sz="0" w:space="0" w:color="auto"/>
        <w:right w:val="none" w:sz="0" w:space="0" w:color="auto"/>
      </w:divBdr>
    </w:div>
    <w:div w:id="591014051">
      <w:bodyDiv w:val="1"/>
      <w:marLeft w:val="0"/>
      <w:marRight w:val="0"/>
      <w:marTop w:val="0"/>
      <w:marBottom w:val="0"/>
      <w:divBdr>
        <w:top w:val="none" w:sz="0" w:space="0" w:color="auto"/>
        <w:left w:val="none" w:sz="0" w:space="0" w:color="auto"/>
        <w:bottom w:val="none" w:sz="0" w:space="0" w:color="auto"/>
        <w:right w:val="none" w:sz="0" w:space="0" w:color="auto"/>
      </w:divBdr>
    </w:div>
    <w:div w:id="599532231">
      <w:bodyDiv w:val="1"/>
      <w:marLeft w:val="0"/>
      <w:marRight w:val="0"/>
      <w:marTop w:val="0"/>
      <w:marBottom w:val="0"/>
      <w:divBdr>
        <w:top w:val="none" w:sz="0" w:space="0" w:color="auto"/>
        <w:left w:val="none" w:sz="0" w:space="0" w:color="auto"/>
        <w:bottom w:val="none" w:sz="0" w:space="0" w:color="auto"/>
        <w:right w:val="none" w:sz="0" w:space="0" w:color="auto"/>
      </w:divBdr>
    </w:div>
    <w:div w:id="610892948">
      <w:bodyDiv w:val="1"/>
      <w:marLeft w:val="0"/>
      <w:marRight w:val="0"/>
      <w:marTop w:val="0"/>
      <w:marBottom w:val="0"/>
      <w:divBdr>
        <w:top w:val="none" w:sz="0" w:space="0" w:color="auto"/>
        <w:left w:val="none" w:sz="0" w:space="0" w:color="auto"/>
        <w:bottom w:val="none" w:sz="0" w:space="0" w:color="auto"/>
        <w:right w:val="none" w:sz="0" w:space="0" w:color="auto"/>
      </w:divBdr>
    </w:div>
    <w:div w:id="613556149">
      <w:bodyDiv w:val="1"/>
      <w:marLeft w:val="0"/>
      <w:marRight w:val="0"/>
      <w:marTop w:val="0"/>
      <w:marBottom w:val="0"/>
      <w:divBdr>
        <w:top w:val="none" w:sz="0" w:space="0" w:color="auto"/>
        <w:left w:val="none" w:sz="0" w:space="0" w:color="auto"/>
        <w:bottom w:val="none" w:sz="0" w:space="0" w:color="auto"/>
        <w:right w:val="none" w:sz="0" w:space="0" w:color="auto"/>
      </w:divBdr>
    </w:div>
    <w:div w:id="618999036">
      <w:bodyDiv w:val="1"/>
      <w:marLeft w:val="0"/>
      <w:marRight w:val="0"/>
      <w:marTop w:val="0"/>
      <w:marBottom w:val="0"/>
      <w:divBdr>
        <w:top w:val="none" w:sz="0" w:space="0" w:color="auto"/>
        <w:left w:val="none" w:sz="0" w:space="0" w:color="auto"/>
        <w:bottom w:val="none" w:sz="0" w:space="0" w:color="auto"/>
        <w:right w:val="none" w:sz="0" w:space="0" w:color="auto"/>
      </w:divBdr>
    </w:div>
    <w:div w:id="620527504">
      <w:bodyDiv w:val="1"/>
      <w:marLeft w:val="0"/>
      <w:marRight w:val="0"/>
      <w:marTop w:val="0"/>
      <w:marBottom w:val="0"/>
      <w:divBdr>
        <w:top w:val="none" w:sz="0" w:space="0" w:color="auto"/>
        <w:left w:val="none" w:sz="0" w:space="0" w:color="auto"/>
        <w:bottom w:val="none" w:sz="0" w:space="0" w:color="auto"/>
        <w:right w:val="none" w:sz="0" w:space="0" w:color="auto"/>
      </w:divBdr>
    </w:div>
    <w:div w:id="621768453">
      <w:bodyDiv w:val="1"/>
      <w:marLeft w:val="0"/>
      <w:marRight w:val="0"/>
      <w:marTop w:val="0"/>
      <w:marBottom w:val="0"/>
      <w:divBdr>
        <w:top w:val="none" w:sz="0" w:space="0" w:color="auto"/>
        <w:left w:val="none" w:sz="0" w:space="0" w:color="auto"/>
        <w:bottom w:val="none" w:sz="0" w:space="0" w:color="auto"/>
        <w:right w:val="none" w:sz="0" w:space="0" w:color="auto"/>
      </w:divBdr>
    </w:div>
    <w:div w:id="625703556">
      <w:bodyDiv w:val="1"/>
      <w:marLeft w:val="0"/>
      <w:marRight w:val="0"/>
      <w:marTop w:val="0"/>
      <w:marBottom w:val="0"/>
      <w:divBdr>
        <w:top w:val="none" w:sz="0" w:space="0" w:color="auto"/>
        <w:left w:val="none" w:sz="0" w:space="0" w:color="auto"/>
        <w:bottom w:val="none" w:sz="0" w:space="0" w:color="auto"/>
        <w:right w:val="none" w:sz="0" w:space="0" w:color="auto"/>
      </w:divBdr>
    </w:div>
    <w:div w:id="626274879">
      <w:bodyDiv w:val="1"/>
      <w:marLeft w:val="0"/>
      <w:marRight w:val="0"/>
      <w:marTop w:val="0"/>
      <w:marBottom w:val="0"/>
      <w:divBdr>
        <w:top w:val="none" w:sz="0" w:space="0" w:color="auto"/>
        <w:left w:val="none" w:sz="0" w:space="0" w:color="auto"/>
        <w:bottom w:val="none" w:sz="0" w:space="0" w:color="auto"/>
        <w:right w:val="none" w:sz="0" w:space="0" w:color="auto"/>
      </w:divBdr>
    </w:div>
    <w:div w:id="632635262">
      <w:bodyDiv w:val="1"/>
      <w:marLeft w:val="0"/>
      <w:marRight w:val="0"/>
      <w:marTop w:val="0"/>
      <w:marBottom w:val="0"/>
      <w:divBdr>
        <w:top w:val="none" w:sz="0" w:space="0" w:color="auto"/>
        <w:left w:val="none" w:sz="0" w:space="0" w:color="auto"/>
        <w:bottom w:val="none" w:sz="0" w:space="0" w:color="auto"/>
        <w:right w:val="none" w:sz="0" w:space="0" w:color="auto"/>
      </w:divBdr>
    </w:div>
    <w:div w:id="647324650">
      <w:bodyDiv w:val="1"/>
      <w:marLeft w:val="0"/>
      <w:marRight w:val="0"/>
      <w:marTop w:val="0"/>
      <w:marBottom w:val="0"/>
      <w:divBdr>
        <w:top w:val="none" w:sz="0" w:space="0" w:color="auto"/>
        <w:left w:val="none" w:sz="0" w:space="0" w:color="auto"/>
        <w:bottom w:val="none" w:sz="0" w:space="0" w:color="auto"/>
        <w:right w:val="none" w:sz="0" w:space="0" w:color="auto"/>
      </w:divBdr>
    </w:div>
    <w:div w:id="651564573">
      <w:bodyDiv w:val="1"/>
      <w:marLeft w:val="0"/>
      <w:marRight w:val="0"/>
      <w:marTop w:val="0"/>
      <w:marBottom w:val="0"/>
      <w:divBdr>
        <w:top w:val="none" w:sz="0" w:space="0" w:color="auto"/>
        <w:left w:val="none" w:sz="0" w:space="0" w:color="auto"/>
        <w:bottom w:val="none" w:sz="0" w:space="0" w:color="auto"/>
        <w:right w:val="none" w:sz="0" w:space="0" w:color="auto"/>
      </w:divBdr>
    </w:div>
    <w:div w:id="654577091">
      <w:bodyDiv w:val="1"/>
      <w:marLeft w:val="0"/>
      <w:marRight w:val="0"/>
      <w:marTop w:val="0"/>
      <w:marBottom w:val="0"/>
      <w:divBdr>
        <w:top w:val="none" w:sz="0" w:space="0" w:color="auto"/>
        <w:left w:val="none" w:sz="0" w:space="0" w:color="auto"/>
        <w:bottom w:val="none" w:sz="0" w:space="0" w:color="auto"/>
        <w:right w:val="none" w:sz="0" w:space="0" w:color="auto"/>
      </w:divBdr>
    </w:div>
    <w:div w:id="670763276">
      <w:bodyDiv w:val="1"/>
      <w:marLeft w:val="0"/>
      <w:marRight w:val="0"/>
      <w:marTop w:val="0"/>
      <w:marBottom w:val="0"/>
      <w:divBdr>
        <w:top w:val="none" w:sz="0" w:space="0" w:color="auto"/>
        <w:left w:val="none" w:sz="0" w:space="0" w:color="auto"/>
        <w:bottom w:val="none" w:sz="0" w:space="0" w:color="auto"/>
        <w:right w:val="none" w:sz="0" w:space="0" w:color="auto"/>
      </w:divBdr>
    </w:div>
    <w:div w:id="676814344">
      <w:bodyDiv w:val="1"/>
      <w:marLeft w:val="0"/>
      <w:marRight w:val="0"/>
      <w:marTop w:val="0"/>
      <w:marBottom w:val="0"/>
      <w:divBdr>
        <w:top w:val="none" w:sz="0" w:space="0" w:color="auto"/>
        <w:left w:val="none" w:sz="0" w:space="0" w:color="auto"/>
        <w:bottom w:val="none" w:sz="0" w:space="0" w:color="auto"/>
        <w:right w:val="none" w:sz="0" w:space="0" w:color="auto"/>
      </w:divBdr>
    </w:div>
    <w:div w:id="681590875">
      <w:bodyDiv w:val="1"/>
      <w:marLeft w:val="0"/>
      <w:marRight w:val="0"/>
      <w:marTop w:val="0"/>
      <w:marBottom w:val="0"/>
      <w:divBdr>
        <w:top w:val="none" w:sz="0" w:space="0" w:color="auto"/>
        <w:left w:val="none" w:sz="0" w:space="0" w:color="auto"/>
        <w:bottom w:val="none" w:sz="0" w:space="0" w:color="auto"/>
        <w:right w:val="none" w:sz="0" w:space="0" w:color="auto"/>
      </w:divBdr>
    </w:div>
    <w:div w:id="691802773">
      <w:bodyDiv w:val="1"/>
      <w:marLeft w:val="0"/>
      <w:marRight w:val="0"/>
      <w:marTop w:val="0"/>
      <w:marBottom w:val="0"/>
      <w:divBdr>
        <w:top w:val="none" w:sz="0" w:space="0" w:color="auto"/>
        <w:left w:val="none" w:sz="0" w:space="0" w:color="auto"/>
        <w:bottom w:val="none" w:sz="0" w:space="0" w:color="auto"/>
        <w:right w:val="none" w:sz="0" w:space="0" w:color="auto"/>
      </w:divBdr>
    </w:div>
    <w:div w:id="692920785">
      <w:bodyDiv w:val="1"/>
      <w:marLeft w:val="0"/>
      <w:marRight w:val="0"/>
      <w:marTop w:val="0"/>
      <w:marBottom w:val="0"/>
      <w:divBdr>
        <w:top w:val="none" w:sz="0" w:space="0" w:color="auto"/>
        <w:left w:val="none" w:sz="0" w:space="0" w:color="auto"/>
        <w:bottom w:val="none" w:sz="0" w:space="0" w:color="auto"/>
        <w:right w:val="none" w:sz="0" w:space="0" w:color="auto"/>
      </w:divBdr>
    </w:div>
    <w:div w:id="699479387">
      <w:bodyDiv w:val="1"/>
      <w:marLeft w:val="0"/>
      <w:marRight w:val="0"/>
      <w:marTop w:val="0"/>
      <w:marBottom w:val="0"/>
      <w:divBdr>
        <w:top w:val="none" w:sz="0" w:space="0" w:color="auto"/>
        <w:left w:val="none" w:sz="0" w:space="0" w:color="auto"/>
        <w:bottom w:val="none" w:sz="0" w:space="0" w:color="auto"/>
        <w:right w:val="none" w:sz="0" w:space="0" w:color="auto"/>
      </w:divBdr>
    </w:div>
    <w:div w:id="699739317">
      <w:bodyDiv w:val="1"/>
      <w:marLeft w:val="0"/>
      <w:marRight w:val="0"/>
      <w:marTop w:val="0"/>
      <w:marBottom w:val="0"/>
      <w:divBdr>
        <w:top w:val="none" w:sz="0" w:space="0" w:color="auto"/>
        <w:left w:val="none" w:sz="0" w:space="0" w:color="auto"/>
        <w:bottom w:val="none" w:sz="0" w:space="0" w:color="auto"/>
        <w:right w:val="none" w:sz="0" w:space="0" w:color="auto"/>
      </w:divBdr>
    </w:div>
    <w:div w:id="701785181">
      <w:bodyDiv w:val="1"/>
      <w:marLeft w:val="0"/>
      <w:marRight w:val="0"/>
      <w:marTop w:val="0"/>
      <w:marBottom w:val="0"/>
      <w:divBdr>
        <w:top w:val="none" w:sz="0" w:space="0" w:color="auto"/>
        <w:left w:val="none" w:sz="0" w:space="0" w:color="auto"/>
        <w:bottom w:val="none" w:sz="0" w:space="0" w:color="auto"/>
        <w:right w:val="none" w:sz="0" w:space="0" w:color="auto"/>
      </w:divBdr>
    </w:div>
    <w:div w:id="705177097">
      <w:bodyDiv w:val="1"/>
      <w:marLeft w:val="0"/>
      <w:marRight w:val="0"/>
      <w:marTop w:val="0"/>
      <w:marBottom w:val="0"/>
      <w:divBdr>
        <w:top w:val="none" w:sz="0" w:space="0" w:color="auto"/>
        <w:left w:val="none" w:sz="0" w:space="0" w:color="auto"/>
        <w:bottom w:val="none" w:sz="0" w:space="0" w:color="auto"/>
        <w:right w:val="none" w:sz="0" w:space="0" w:color="auto"/>
      </w:divBdr>
    </w:div>
    <w:div w:id="711225446">
      <w:bodyDiv w:val="1"/>
      <w:marLeft w:val="0"/>
      <w:marRight w:val="0"/>
      <w:marTop w:val="0"/>
      <w:marBottom w:val="0"/>
      <w:divBdr>
        <w:top w:val="none" w:sz="0" w:space="0" w:color="auto"/>
        <w:left w:val="none" w:sz="0" w:space="0" w:color="auto"/>
        <w:bottom w:val="none" w:sz="0" w:space="0" w:color="auto"/>
        <w:right w:val="none" w:sz="0" w:space="0" w:color="auto"/>
      </w:divBdr>
    </w:div>
    <w:div w:id="714814943">
      <w:bodyDiv w:val="1"/>
      <w:marLeft w:val="0"/>
      <w:marRight w:val="0"/>
      <w:marTop w:val="0"/>
      <w:marBottom w:val="0"/>
      <w:divBdr>
        <w:top w:val="none" w:sz="0" w:space="0" w:color="auto"/>
        <w:left w:val="none" w:sz="0" w:space="0" w:color="auto"/>
        <w:bottom w:val="none" w:sz="0" w:space="0" w:color="auto"/>
        <w:right w:val="none" w:sz="0" w:space="0" w:color="auto"/>
      </w:divBdr>
    </w:div>
    <w:div w:id="721098664">
      <w:bodyDiv w:val="1"/>
      <w:marLeft w:val="0"/>
      <w:marRight w:val="0"/>
      <w:marTop w:val="0"/>
      <w:marBottom w:val="0"/>
      <w:divBdr>
        <w:top w:val="none" w:sz="0" w:space="0" w:color="auto"/>
        <w:left w:val="none" w:sz="0" w:space="0" w:color="auto"/>
        <w:bottom w:val="none" w:sz="0" w:space="0" w:color="auto"/>
        <w:right w:val="none" w:sz="0" w:space="0" w:color="auto"/>
      </w:divBdr>
    </w:div>
    <w:div w:id="725371646">
      <w:bodyDiv w:val="1"/>
      <w:marLeft w:val="0"/>
      <w:marRight w:val="0"/>
      <w:marTop w:val="0"/>
      <w:marBottom w:val="0"/>
      <w:divBdr>
        <w:top w:val="none" w:sz="0" w:space="0" w:color="auto"/>
        <w:left w:val="none" w:sz="0" w:space="0" w:color="auto"/>
        <w:bottom w:val="none" w:sz="0" w:space="0" w:color="auto"/>
        <w:right w:val="none" w:sz="0" w:space="0" w:color="auto"/>
      </w:divBdr>
    </w:div>
    <w:div w:id="737291510">
      <w:bodyDiv w:val="1"/>
      <w:marLeft w:val="0"/>
      <w:marRight w:val="0"/>
      <w:marTop w:val="0"/>
      <w:marBottom w:val="0"/>
      <w:divBdr>
        <w:top w:val="none" w:sz="0" w:space="0" w:color="auto"/>
        <w:left w:val="none" w:sz="0" w:space="0" w:color="auto"/>
        <w:bottom w:val="none" w:sz="0" w:space="0" w:color="auto"/>
        <w:right w:val="none" w:sz="0" w:space="0" w:color="auto"/>
      </w:divBdr>
    </w:div>
    <w:div w:id="738015547">
      <w:bodyDiv w:val="1"/>
      <w:marLeft w:val="0"/>
      <w:marRight w:val="0"/>
      <w:marTop w:val="0"/>
      <w:marBottom w:val="0"/>
      <w:divBdr>
        <w:top w:val="none" w:sz="0" w:space="0" w:color="auto"/>
        <w:left w:val="none" w:sz="0" w:space="0" w:color="auto"/>
        <w:bottom w:val="none" w:sz="0" w:space="0" w:color="auto"/>
        <w:right w:val="none" w:sz="0" w:space="0" w:color="auto"/>
      </w:divBdr>
    </w:div>
    <w:div w:id="742527866">
      <w:bodyDiv w:val="1"/>
      <w:marLeft w:val="0"/>
      <w:marRight w:val="0"/>
      <w:marTop w:val="0"/>
      <w:marBottom w:val="0"/>
      <w:divBdr>
        <w:top w:val="none" w:sz="0" w:space="0" w:color="auto"/>
        <w:left w:val="none" w:sz="0" w:space="0" w:color="auto"/>
        <w:bottom w:val="none" w:sz="0" w:space="0" w:color="auto"/>
        <w:right w:val="none" w:sz="0" w:space="0" w:color="auto"/>
      </w:divBdr>
    </w:div>
    <w:div w:id="749692092">
      <w:bodyDiv w:val="1"/>
      <w:marLeft w:val="0"/>
      <w:marRight w:val="0"/>
      <w:marTop w:val="0"/>
      <w:marBottom w:val="0"/>
      <w:divBdr>
        <w:top w:val="none" w:sz="0" w:space="0" w:color="auto"/>
        <w:left w:val="none" w:sz="0" w:space="0" w:color="auto"/>
        <w:bottom w:val="none" w:sz="0" w:space="0" w:color="auto"/>
        <w:right w:val="none" w:sz="0" w:space="0" w:color="auto"/>
      </w:divBdr>
    </w:div>
    <w:div w:id="759181486">
      <w:bodyDiv w:val="1"/>
      <w:marLeft w:val="0"/>
      <w:marRight w:val="0"/>
      <w:marTop w:val="0"/>
      <w:marBottom w:val="0"/>
      <w:divBdr>
        <w:top w:val="none" w:sz="0" w:space="0" w:color="auto"/>
        <w:left w:val="none" w:sz="0" w:space="0" w:color="auto"/>
        <w:bottom w:val="none" w:sz="0" w:space="0" w:color="auto"/>
        <w:right w:val="none" w:sz="0" w:space="0" w:color="auto"/>
      </w:divBdr>
    </w:div>
    <w:div w:id="761221060">
      <w:bodyDiv w:val="1"/>
      <w:marLeft w:val="0"/>
      <w:marRight w:val="0"/>
      <w:marTop w:val="0"/>
      <w:marBottom w:val="0"/>
      <w:divBdr>
        <w:top w:val="none" w:sz="0" w:space="0" w:color="auto"/>
        <w:left w:val="none" w:sz="0" w:space="0" w:color="auto"/>
        <w:bottom w:val="none" w:sz="0" w:space="0" w:color="auto"/>
        <w:right w:val="none" w:sz="0" w:space="0" w:color="auto"/>
      </w:divBdr>
    </w:div>
    <w:div w:id="764375171">
      <w:bodyDiv w:val="1"/>
      <w:marLeft w:val="0"/>
      <w:marRight w:val="0"/>
      <w:marTop w:val="0"/>
      <w:marBottom w:val="0"/>
      <w:divBdr>
        <w:top w:val="none" w:sz="0" w:space="0" w:color="auto"/>
        <w:left w:val="none" w:sz="0" w:space="0" w:color="auto"/>
        <w:bottom w:val="none" w:sz="0" w:space="0" w:color="auto"/>
        <w:right w:val="none" w:sz="0" w:space="0" w:color="auto"/>
      </w:divBdr>
    </w:div>
    <w:div w:id="774131838">
      <w:bodyDiv w:val="1"/>
      <w:marLeft w:val="0"/>
      <w:marRight w:val="0"/>
      <w:marTop w:val="0"/>
      <w:marBottom w:val="0"/>
      <w:divBdr>
        <w:top w:val="none" w:sz="0" w:space="0" w:color="auto"/>
        <w:left w:val="none" w:sz="0" w:space="0" w:color="auto"/>
        <w:bottom w:val="none" w:sz="0" w:space="0" w:color="auto"/>
        <w:right w:val="none" w:sz="0" w:space="0" w:color="auto"/>
      </w:divBdr>
      <w:divsChild>
        <w:div w:id="919602094">
          <w:marLeft w:val="0"/>
          <w:marRight w:val="0"/>
          <w:marTop w:val="0"/>
          <w:marBottom w:val="0"/>
          <w:divBdr>
            <w:top w:val="none" w:sz="0" w:space="0" w:color="auto"/>
            <w:left w:val="none" w:sz="0" w:space="0" w:color="auto"/>
            <w:bottom w:val="none" w:sz="0" w:space="0" w:color="auto"/>
            <w:right w:val="none" w:sz="0" w:space="0" w:color="auto"/>
          </w:divBdr>
          <w:divsChild>
            <w:div w:id="1008286899">
              <w:marLeft w:val="0"/>
              <w:marRight w:val="0"/>
              <w:marTop w:val="0"/>
              <w:marBottom w:val="0"/>
              <w:divBdr>
                <w:top w:val="none" w:sz="0" w:space="0" w:color="auto"/>
                <w:left w:val="none" w:sz="0" w:space="0" w:color="auto"/>
                <w:bottom w:val="none" w:sz="0" w:space="0" w:color="auto"/>
                <w:right w:val="none" w:sz="0" w:space="0" w:color="auto"/>
              </w:divBdr>
              <w:divsChild>
                <w:div w:id="2000304927">
                  <w:marLeft w:val="0"/>
                  <w:marRight w:val="0"/>
                  <w:marTop w:val="0"/>
                  <w:marBottom w:val="0"/>
                  <w:divBdr>
                    <w:top w:val="none" w:sz="0" w:space="0" w:color="auto"/>
                    <w:left w:val="none" w:sz="0" w:space="0" w:color="auto"/>
                    <w:bottom w:val="none" w:sz="0" w:space="0" w:color="auto"/>
                    <w:right w:val="none" w:sz="0" w:space="0" w:color="auto"/>
                  </w:divBdr>
                  <w:divsChild>
                    <w:div w:id="37296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646916">
      <w:bodyDiv w:val="1"/>
      <w:marLeft w:val="0"/>
      <w:marRight w:val="0"/>
      <w:marTop w:val="0"/>
      <w:marBottom w:val="0"/>
      <w:divBdr>
        <w:top w:val="none" w:sz="0" w:space="0" w:color="auto"/>
        <w:left w:val="none" w:sz="0" w:space="0" w:color="auto"/>
        <w:bottom w:val="none" w:sz="0" w:space="0" w:color="auto"/>
        <w:right w:val="none" w:sz="0" w:space="0" w:color="auto"/>
      </w:divBdr>
    </w:div>
    <w:div w:id="779451037">
      <w:bodyDiv w:val="1"/>
      <w:marLeft w:val="0"/>
      <w:marRight w:val="0"/>
      <w:marTop w:val="0"/>
      <w:marBottom w:val="0"/>
      <w:divBdr>
        <w:top w:val="none" w:sz="0" w:space="0" w:color="auto"/>
        <w:left w:val="none" w:sz="0" w:space="0" w:color="auto"/>
        <w:bottom w:val="none" w:sz="0" w:space="0" w:color="auto"/>
        <w:right w:val="none" w:sz="0" w:space="0" w:color="auto"/>
      </w:divBdr>
    </w:div>
    <w:div w:id="780878587">
      <w:bodyDiv w:val="1"/>
      <w:marLeft w:val="0"/>
      <w:marRight w:val="0"/>
      <w:marTop w:val="0"/>
      <w:marBottom w:val="0"/>
      <w:divBdr>
        <w:top w:val="none" w:sz="0" w:space="0" w:color="auto"/>
        <w:left w:val="none" w:sz="0" w:space="0" w:color="auto"/>
        <w:bottom w:val="none" w:sz="0" w:space="0" w:color="auto"/>
        <w:right w:val="none" w:sz="0" w:space="0" w:color="auto"/>
      </w:divBdr>
    </w:div>
    <w:div w:id="803500971">
      <w:bodyDiv w:val="1"/>
      <w:marLeft w:val="0"/>
      <w:marRight w:val="0"/>
      <w:marTop w:val="0"/>
      <w:marBottom w:val="0"/>
      <w:divBdr>
        <w:top w:val="none" w:sz="0" w:space="0" w:color="auto"/>
        <w:left w:val="none" w:sz="0" w:space="0" w:color="auto"/>
        <w:bottom w:val="none" w:sz="0" w:space="0" w:color="auto"/>
        <w:right w:val="none" w:sz="0" w:space="0" w:color="auto"/>
      </w:divBdr>
    </w:div>
    <w:div w:id="808864884">
      <w:bodyDiv w:val="1"/>
      <w:marLeft w:val="0"/>
      <w:marRight w:val="0"/>
      <w:marTop w:val="0"/>
      <w:marBottom w:val="0"/>
      <w:divBdr>
        <w:top w:val="none" w:sz="0" w:space="0" w:color="auto"/>
        <w:left w:val="none" w:sz="0" w:space="0" w:color="auto"/>
        <w:bottom w:val="none" w:sz="0" w:space="0" w:color="auto"/>
        <w:right w:val="none" w:sz="0" w:space="0" w:color="auto"/>
      </w:divBdr>
    </w:div>
    <w:div w:id="810368857">
      <w:bodyDiv w:val="1"/>
      <w:marLeft w:val="0"/>
      <w:marRight w:val="0"/>
      <w:marTop w:val="0"/>
      <w:marBottom w:val="0"/>
      <w:divBdr>
        <w:top w:val="none" w:sz="0" w:space="0" w:color="auto"/>
        <w:left w:val="none" w:sz="0" w:space="0" w:color="auto"/>
        <w:bottom w:val="none" w:sz="0" w:space="0" w:color="auto"/>
        <w:right w:val="none" w:sz="0" w:space="0" w:color="auto"/>
      </w:divBdr>
    </w:div>
    <w:div w:id="813985193">
      <w:bodyDiv w:val="1"/>
      <w:marLeft w:val="0"/>
      <w:marRight w:val="0"/>
      <w:marTop w:val="0"/>
      <w:marBottom w:val="0"/>
      <w:divBdr>
        <w:top w:val="none" w:sz="0" w:space="0" w:color="auto"/>
        <w:left w:val="none" w:sz="0" w:space="0" w:color="auto"/>
        <w:bottom w:val="none" w:sz="0" w:space="0" w:color="auto"/>
        <w:right w:val="none" w:sz="0" w:space="0" w:color="auto"/>
      </w:divBdr>
    </w:div>
    <w:div w:id="832261545">
      <w:bodyDiv w:val="1"/>
      <w:marLeft w:val="0"/>
      <w:marRight w:val="0"/>
      <w:marTop w:val="0"/>
      <w:marBottom w:val="0"/>
      <w:divBdr>
        <w:top w:val="none" w:sz="0" w:space="0" w:color="auto"/>
        <w:left w:val="none" w:sz="0" w:space="0" w:color="auto"/>
        <w:bottom w:val="none" w:sz="0" w:space="0" w:color="auto"/>
        <w:right w:val="none" w:sz="0" w:space="0" w:color="auto"/>
      </w:divBdr>
    </w:div>
    <w:div w:id="834616389">
      <w:bodyDiv w:val="1"/>
      <w:marLeft w:val="0"/>
      <w:marRight w:val="0"/>
      <w:marTop w:val="0"/>
      <w:marBottom w:val="0"/>
      <w:divBdr>
        <w:top w:val="none" w:sz="0" w:space="0" w:color="auto"/>
        <w:left w:val="none" w:sz="0" w:space="0" w:color="auto"/>
        <w:bottom w:val="none" w:sz="0" w:space="0" w:color="auto"/>
        <w:right w:val="none" w:sz="0" w:space="0" w:color="auto"/>
      </w:divBdr>
    </w:div>
    <w:div w:id="838080971">
      <w:bodyDiv w:val="1"/>
      <w:marLeft w:val="0"/>
      <w:marRight w:val="0"/>
      <w:marTop w:val="0"/>
      <w:marBottom w:val="0"/>
      <w:divBdr>
        <w:top w:val="none" w:sz="0" w:space="0" w:color="auto"/>
        <w:left w:val="none" w:sz="0" w:space="0" w:color="auto"/>
        <w:bottom w:val="none" w:sz="0" w:space="0" w:color="auto"/>
        <w:right w:val="none" w:sz="0" w:space="0" w:color="auto"/>
      </w:divBdr>
    </w:div>
    <w:div w:id="842283457">
      <w:bodyDiv w:val="1"/>
      <w:marLeft w:val="0"/>
      <w:marRight w:val="0"/>
      <w:marTop w:val="0"/>
      <w:marBottom w:val="0"/>
      <w:divBdr>
        <w:top w:val="none" w:sz="0" w:space="0" w:color="auto"/>
        <w:left w:val="none" w:sz="0" w:space="0" w:color="auto"/>
        <w:bottom w:val="none" w:sz="0" w:space="0" w:color="auto"/>
        <w:right w:val="none" w:sz="0" w:space="0" w:color="auto"/>
      </w:divBdr>
    </w:div>
    <w:div w:id="844977465">
      <w:bodyDiv w:val="1"/>
      <w:marLeft w:val="0"/>
      <w:marRight w:val="0"/>
      <w:marTop w:val="0"/>
      <w:marBottom w:val="0"/>
      <w:divBdr>
        <w:top w:val="none" w:sz="0" w:space="0" w:color="auto"/>
        <w:left w:val="none" w:sz="0" w:space="0" w:color="auto"/>
        <w:bottom w:val="none" w:sz="0" w:space="0" w:color="auto"/>
        <w:right w:val="none" w:sz="0" w:space="0" w:color="auto"/>
      </w:divBdr>
    </w:div>
    <w:div w:id="849413147">
      <w:bodyDiv w:val="1"/>
      <w:marLeft w:val="0"/>
      <w:marRight w:val="0"/>
      <w:marTop w:val="0"/>
      <w:marBottom w:val="0"/>
      <w:divBdr>
        <w:top w:val="none" w:sz="0" w:space="0" w:color="auto"/>
        <w:left w:val="none" w:sz="0" w:space="0" w:color="auto"/>
        <w:bottom w:val="none" w:sz="0" w:space="0" w:color="auto"/>
        <w:right w:val="none" w:sz="0" w:space="0" w:color="auto"/>
      </w:divBdr>
    </w:div>
    <w:div w:id="857694363">
      <w:bodyDiv w:val="1"/>
      <w:marLeft w:val="0"/>
      <w:marRight w:val="0"/>
      <w:marTop w:val="0"/>
      <w:marBottom w:val="0"/>
      <w:divBdr>
        <w:top w:val="none" w:sz="0" w:space="0" w:color="auto"/>
        <w:left w:val="none" w:sz="0" w:space="0" w:color="auto"/>
        <w:bottom w:val="none" w:sz="0" w:space="0" w:color="auto"/>
        <w:right w:val="none" w:sz="0" w:space="0" w:color="auto"/>
      </w:divBdr>
    </w:div>
    <w:div w:id="864900419">
      <w:bodyDiv w:val="1"/>
      <w:marLeft w:val="0"/>
      <w:marRight w:val="0"/>
      <w:marTop w:val="0"/>
      <w:marBottom w:val="0"/>
      <w:divBdr>
        <w:top w:val="none" w:sz="0" w:space="0" w:color="auto"/>
        <w:left w:val="none" w:sz="0" w:space="0" w:color="auto"/>
        <w:bottom w:val="none" w:sz="0" w:space="0" w:color="auto"/>
        <w:right w:val="none" w:sz="0" w:space="0" w:color="auto"/>
      </w:divBdr>
    </w:div>
    <w:div w:id="894510645">
      <w:bodyDiv w:val="1"/>
      <w:marLeft w:val="0"/>
      <w:marRight w:val="0"/>
      <w:marTop w:val="0"/>
      <w:marBottom w:val="0"/>
      <w:divBdr>
        <w:top w:val="none" w:sz="0" w:space="0" w:color="auto"/>
        <w:left w:val="none" w:sz="0" w:space="0" w:color="auto"/>
        <w:bottom w:val="none" w:sz="0" w:space="0" w:color="auto"/>
        <w:right w:val="none" w:sz="0" w:space="0" w:color="auto"/>
      </w:divBdr>
    </w:div>
    <w:div w:id="897738672">
      <w:bodyDiv w:val="1"/>
      <w:marLeft w:val="0"/>
      <w:marRight w:val="0"/>
      <w:marTop w:val="0"/>
      <w:marBottom w:val="0"/>
      <w:divBdr>
        <w:top w:val="none" w:sz="0" w:space="0" w:color="auto"/>
        <w:left w:val="none" w:sz="0" w:space="0" w:color="auto"/>
        <w:bottom w:val="none" w:sz="0" w:space="0" w:color="auto"/>
        <w:right w:val="none" w:sz="0" w:space="0" w:color="auto"/>
      </w:divBdr>
    </w:div>
    <w:div w:id="902912553">
      <w:bodyDiv w:val="1"/>
      <w:marLeft w:val="0"/>
      <w:marRight w:val="0"/>
      <w:marTop w:val="0"/>
      <w:marBottom w:val="0"/>
      <w:divBdr>
        <w:top w:val="none" w:sz="0" w:space="0" w:color="auto"/>
        <w:left w:val="none" w:sz="0" w:space="0" w:color="auto"/>
        <w:bottom w:val="none" w:sz="0" w:space="0" w:color="auto"/>
        <w:right w:val="none" w:sz="0" w:space="0" w:color="auto"/>
      </w:divBdr>
    </w:div>
    <w:div w:id="922954537">
      <w:bodyDiv w:val="1"/>
      <w:marLeft w:val="0"/>
      <w:marRight w:val="0"/>
      <w:marTop w:val="0"/>
      <w:marBottom w:val="0"/>
      <w:divBdr>
        <w:top w:val="none" w:sz="0" w:space="0" w:color="auto"/>
        <w:left w:val="none" w:sz="0" w:space="0" w:color="auto"/>
        <w:bottom w:val="none" w:sz="0" w:space="0" w:color="auto"/>
        <w:right w:val="none" w:sz="0" w:space="0" w:color="auto"/>
      </w:divBdr>
    </w:div>
    <w:div w:id="930427043">
      <w:bodyDiv w:val="1"/>
      <w:marLeft w:val="0"/>
      <w:marRight w:val="0"/>
      <w:marTop w:val="0"/>
      <w:marBottom w:val="0"/>
      <w:divBdr>
        <w:top w:val="none" w:sz="0" w:space="0" w:color="auto"/>
        <w:left w:val="none" w:sz="0" w:space="0" w:color="auto"/>
        <w:bottom w:val="none" w:sz="0" w:space="0" w:color="auto"/>
        <w:right w:val="none" w:sz="0" w:space="0" w:color="auto"/>
      </w:divBdr>
    </w:div>
    <w:div w:id="931553321">
      <w:bodyDiv w:val="1"/>
      <w:marLeft w:val="0"/>
      <w:marRight w:val="0"/>
      <w:marTop w:val="0"/>
      <w:marBottom w:val="0"/>
      <w:divBdr>
        <w:top w:val="none" w:sz="0" w:space="0" w:color="auto"/>
        <w:left w:val="none" w:sz="0" w:space="0" w:color="auto"/>
        <w:bottom w:val="none" w:sz="0" w:space="0" w:color="auto"/>
        <w:right w:val="none" w:sz="0" w:space="0" w:color="auto"/>
      </w:divBdr>
    </w:div>
    <w:div w:id="942230173">
      <w:bodyDiv w:val="1"/>
      <w:marLeft w:val="0"/>
      <w:marRight w:val="0"/>
      <w:marTop w:val="0"/>
      <w:marBottom w:val="0"/>
      <w:divBdr>
        <w:top w:val="none" w:sz="0" w:space="0" w:color="auto"/>
        <w:left w:val="none" w:sz="0" w:space="0" w:color="auto"/>
        <w:bottom w:val="none" w:sz="0" w:space="0" w:color="auto"/>
        <w:right w:val="none" w:sz="0" w:space="0" w:color="auto"/>
      </w:divBdr>
    </w:div>
    <w:div w:id="944578195">
      <w:bodyDiv w:val="1"/>
      <w:marLeft w:val="0"/>
      <w:marRight w:val="0"/>
      <w:marTop w:val="0"/>
      <w:marBottom w:val="0"/>
      <w:divBdr>
        <w:top w:val="none" w:sz="0" w:space="0" w:color="auto"/>
        <w:left w:val="none" w:sz="0" w:space="0" w:color="auto"/>
        <w:bottom w:val="none" w:sz="0" w:space="0" w:color="auto"/>
        <w:right w:val="none" w:sz="0" w:space="0" w:color="auto"/>
      </w:divBdr>
    </w:div>
    <w:div w:id="946040277">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80671">
      <w:bodyDiv w:val="1"/>
      <w:marLeft w:val="0"/>
      <w:marRight w:val="0"/>
      <w:marTop w:val="0"/>
      <w:marBottom w:val="0"/>
      <w:divBdr>
        <w:top w:val="none" w:sz="0" w:space="0" w:color="auto"/>
        <w:left w:val="none" w:sz="0" w:space="0" w:color="auto"/>
        <w:bottom w:val="none" w:sz="0" w:space="0" w:color="auto"/>
        <w:right w:val="none" w:sz="0" w:space="0" w:color="auto"/>
      </w:divBdr>
    </w:div>
    <w:div w:id="950935329">
      <w:bodyDiv w:val="1"/>
      <w:marLeft w:val="0"/>
      <w:marRight w:val="0"/>
      <w:marTop w:val="0"/>
      <w:marBottom w:val="0"/>
      <w:divBdr>
        <w:top w:val="none" w:sz="0" w:space="0" w:color="auto"/>
        <w:left w:val="none" w:sz="0" w:space="0" w:color="auto"/>
        <w:bottom w:val="none" w:sz="0" w:space="0" w:color="auto"/>
        <w:right w:val="none" w:sz="0" w:space="0" w:color="auto"/>
      </w:divBdr>
    </w:div>
    <w:div w:id="951787296">
      <w:bodyDiv w:val="1"/>
      <w:marLeft w:val="0"/>
      <w:marRight w:val="0"/>
      <w:marTop w:val="0"/>
      <w:marBottom w:val="0"/>
      <w:divBdr>
        <w:top w:val="none" w:sz="0" w:space="0" w:color="auto"/>
        <w:left w:val="none" w:sz="0" w:space="0" w:color="auto"/>
        <w:bottom w:val="none" w:sz="0" w:space="0" w:color="auto"/>
        <w:right w:val="none" w:sz="0" w:space="0" w:color="auto"/>
      </w:divBdr>
    </w:div>
    <w:div w:id="956834093">
      <w:bodyDiv w:val="1"/>
      <w:marLeft w:val="0"/>
      <w:marRight w:val="0"/>
      <w:marTop w:val="0"/>
      <w:marBottom w:val="0"/>
      <w:divBdr>
        <w:top w:val="none" w:sz="0" w:space="0" w:color="auto"/>
        <w:left w:val="none" w:sz="0" w:space="0" w:color="auto"/>
        <w:bottom w:val="none" w:sz="0" w:space="0" w:color="auto"/>
        <w:right w:val="none" w:sz="0" w:space="0" w:color="auto"/>
      </w:divBdr>
    </w:div>
    <w:div w:id="960841351">
      <w:bodyDiv w:val="1"/>
      <w:marLeft w:val="0"/>
      <w:marRight w:val="0"/>
      <w:marTop w:val="0"/>
      <w:marBottom w:val="0"/>
      <w:divBdr>
        <w:top w:val="none" w:sz="0" w:space="0" w:color="auto"/>
        <w:left w:val="none" w:sz="0" w:space="0" w:color="auto"/>
        <w:bottom w:val="none" w:sz="0" w:space="0" w:color="auto"/>
        <w:right w:val="none" w:sz="0" w:space="0" w:color="auto"/>
      </w:divBdr>
    </w:div>
    <w:div w:id="962611306">
      <w:bodyDiv w:val="1"/>
      <w:marLeft w:val="0"/>
      <w:marRight w:val="0"/>
      <w:marTop w:val="0"/>
      <w:marBottom w:val="0"/>
      <w:divBdr>
        <w:top w:val="none" w:sz="0" w:space="0" w:color="auto"/>
        <w:left w:val="none" w:sz="0" w:space="0" w:color="auto"/>
        <w:bottom w:val="none" w:sz="0" w:space="0" w:color="auto"/>
        <w:right w:val="none" w:sz="0" w:space="0" w:color="auto"/>
      </w:divBdr>
    </w:div>
    <w:div w:id="972709365">
      <w:bodyDiv w:val="1"/>
      <w:marLeft w:val="0"/>
      <w:marRight w:val="0"/>
      <w:marTop w:val="0"/>
      <w:marBottom w:val="0"/>
      <w:divBdr>
        <w:top w:val="none" w:sz="0" w:space="0" w:color="auto"/>
        <w:left w:val="none" w:sz="0" w:space="0" w:color="auto"/>
        <w:bottom w:val="none" w:sz="0" w:space="0" w:color="auto"/>
        <w:right w:val="none" w:sz="0" w:space="0" w:color="auto"/>
      </w:divBdr>
    </w:div>
    <w:div w:id="979655199">
      <w:bodyDiv w:val="1"/>
      <w:marLeft w:val="0"/>
      <w:marRight w:val="0"/>
      <w:marTop w:val="0"/>
      <w:marBottom w:val="0"/>
      <w:divBdr>
        <w:top w:val="none" w:sz="0" w:space="0" w:color="auto"/>
        <w:left w:val="none" w:sz="0" w:space="0" w:color="auto"/>
        <w:bottom w:val="none" w:sz="0" w:space="0" w:color="auto"/>
        <w:right w:val="none" w:sz="0" w:space="0" w:color="auto"/>
      </w:divBdr>
    </w:div>
    <w:div w:id="981080722">
      <w:bodyDiv w:val="1"/>
      <w:marLeft w:val="0"/>
      <w:marRight w:val="0"/>
      <w:marTop w:val="0"/>
      <w:marBottom w:val="0"/>
      <w:divBdr>
        <w:top w:val="none" w:sz="0" w:space="0" w:color="auto"/>
        <w:left w:val="none" w:sz="0" w:space="0" w:color="auto"/>
        <w:bottom w:val="none" w:sz="0" w:space="0" w:color="auto"/>
        <w:right w:val="none" w:sz="0" w:space="0" w:color="auto"/>
      </w:divBdr>
    </w:div>
    <w:div w:id="984360303">
      <w:bodyDiv w:val="1"/>
      <w:marLeft w:val="0"/>
      <w:marRight w:val="0"/>
      <w:marTop w:val="0"/>
      <w:marBottom w:val="0"/>
      <w:divBdr>
        <w:top w:val="none" w:sz="0" w:space="0" w:color="auto"/>
        <w:left w:val="none" w:sz="0" w:space="0" w:color="auto"/>
        <w:bottom w:val="none" w:sz="0" w:space="0" w:color="auto"/>
        <w:right w:val="none" w:sz="0" w:space="0" w:color="auto"/>
      </w:divBdr>
    </w:div>
    <w:div w:id="1001734058">
      <w:bodyDiv w:val="1"/>
      <w:marLeft w:val="0"/>
      <w:marRight w:val="0"/>
      <w:marTop w:val="0"/>
      <w:marBottom w:val="0"/>
      <w:divBdr>
        <w:top w:val="none" w:sz="0" w:space="0" w:color="auto"/>
        <w:left w:val="none" w:sz="0" w:space="0" w:color="auto"/>
        <w:bottom w:val="none" w:sz="0" w:space="0" w:color="auto"/>
        <w:right w:val="none" w:sz="0" w:space="0" w:color="auto"/>
      </w:divBdr>
    </w:div>
    <w:div w:id="1014458451">
      <w:bodyDiv w:val="1"/>
      <w:marLeft w:val="0"/>
      <w:marRight w:val="0"/>
      <w:marTop w:val="0"/>
      <w:marBottom w:val="0"/>
      <w:divBdr>
        <w:top w:val="none" w:sz="0" w:space="0" w:color="auto"/>
        <w:left w:val="none" w:sz="0" w:space="0" w:color="auto"/>
        <w:bottom w:val="none" w:sz="0" w:space="0" w:color="auto"/>
        <w:right w:val="none" w:sz="0" w:space="0" w:color="auto"/>
      </w:divBdr>
    </w:div>
    <w:div w:id="1020471668">
      <w:bodyDiv w:val="1"/>
      <w:marLeft w:val="0"/>
      <w:marRight w:val="0"/>
      <w:marTop w:val="0"/>
      <w:marBottom w:val="0"/>
      <w:divBdr>
        <w:top w:val="none" w:sz="0" w:space="0" w:color="auto"/>
        <w:left w:val="none" w:sz="0" w:space="0" w:color="auto"/>
        <w:bottom w:val="none" w:sz="0" w:space="0" w:color="auto"/>
        <w:right w:val="none" w:sz="0" w:space="0" w:color="auto"/>
      </w:divBdr>
    </w:div>
    <w:div w:id="1056473057">
      <w:bodyDiv w:val="1"/>
      <w:marLeft w:val="0"/>
      <w:marRight w:val="0"/>
      <w:marTop w:val="0"/>
      <w:marBottom w:val="0"/>
      <w:divBdr>
        <w:top w:val="none" w:sz="0" w:space="0" w:color="auto"/>
        <w:left w:val="none" w:sz="0" w:space="0" w:color="auto"/>
        <w:bottom w:val="none" w:sz="0" w:space="0" w:color="auto"/>
        <w:right w:val="none" w:sz="0" w:space="0" w:color="auto"/>
      </w:divBdr>
    </w:div>
    <w:div w:id="1056703203">
      <w:bodyDiv w:val="1"/>
      <w:marLeft w:val="0"/>
      <w:marRight w:val="0"/>
      <w:marTop w:val="0"/>
      <w:marBottom w:val="0"/>
      <w:divBdr>
        <w:top w:val="none" w:sz="0" w:space="0" w:color="auto"/>
        <w:left w:val="none" w:sz="0" w:space="0" w:color="auto"/>
        <w:bottom w:val="none" w:sz="0" w:space="0" w:color="auto"/>
        <w:right w:val="none" w:sz="0" w:space="0" w:color="auto"/>
      </w:divBdr>
    </w:div>
    <w:div w:id="1073965666">
      <w:bodyDiv w:val="1"/>
      <w:marLeft w:val="0"/>
      <w:marRight w:val="0"/>
      <w:marTop w:val="0"/>
      <w:marBottom w:val="0"/>
      <w:divBdr>
        <w:top w:val="none" w:sz="0" w:space="0" w:color="auto"/>
        <w:left w:val="none" w:sz="0" w:space="0" w:color="auto"/>
        <w:bottom w:val="none" w:sz="0" w:space="0" w:color="auto"/>
        <w:right w:val="none" w:sz="0" w:space="0" w:color="auto"/>
      </w:divBdr>
    </w:div>
    <w:div w:id="1081410272">
      <w:bodyDiv w:val="1"/>
      <w:marLeft w:val="0"/>
      <w:marRight w:val="0"/>
      <w:marTop w:val="0"/>
      <w:marBottom w:val="0"/>
      <w:divBdr>
        <w:top w:val="none" w:sz="0" w:space="0" w:color="auto"/>
        <w:left w:val="none" w:sz="0" w:space="0" w:color="auto"/>
        <w:bottom w:val="none" w:sz="0" w:space="0" w:color="auto"/>
        <w:right w:val="none" w:sz="0" w:space="0" w:color="auto"/>
      </w:divBdr>
    </w:div>
    <w:div w:id="1092630384">
      <w:bodyDiv w:val="1"/>
      <w:marLeft w:val="0"/>
      <w:marRight w:val="0"/>
      <w:marTop w:val="0"/>
      <w:marBottom w:val="0"/>
      <w:divBdr>
        <w:top w:val="none" w:sz="0" w:space="0" w:color="auto"/>
        <w:left w:val="none" w:sz="0" w:space="0" w:color="auto"/>
        <w:bottom w:val="none" w:sz="0" w:space="0" w:color="auto"/>
        <w:right w:val="none" w:sz="0" w:space="0" w:color="auto"/>
      </w:divBdr>
    </w:div>
    <w:div w:id="1093815296">
      <w:bodyDiv w:val="1"/>
      <w:marLeft w:val="0"/>
      <w:marRight w:val="0"/>
      <w:marTop w:val="0"/>
      <w:marBottom w:val="0"/>
      <w:divBdr>
        <w:top w:val="none" w:sz="0" w:space="0" w:color="auto"/>
        <w:left w:val="none" w:sz="0" w:space="0" w:color="auto"/>
        <w:bottom w:val="none" w:sz="0" w:space="0" w:color="auto"/>
        <w:right w:val="none" w:sz="0" w:space="0" w:color="auto"/>
      </w:divBdr>
    </w:div>
    <w:div w:id="1094395276">
      <w:bodyDiv w:val="1"/>
      <w:marLeft w:val="0"/>
      <w:marRight w:val="0"/>
      <w:marTop w:val="0"/>
      <w:marBottom w:val="0"/>
      <w:divBdr>
        <w:top w:val="none" w:sz="0" w:space="0" w:color="auto"/>
        <w:left w:val="none" w:sz="0" w:space="0" w:color="auto"/>
        <w:bottom w:val="none" w:sz="0" w:space="0" w:color="auto"/>
        <w:right w:val="none" w:sz="0" w:space="0" w:color="auto"/>
      </w:divBdr>
    </w:div>
    <w:div w:id="1103063892">
      <w:bodyDiv w:val="1"/>
      <w:marLeft w:val="0"/>
      <w:marRight w:val="0"/>
      <w:marTop w:val="0"/>
      <w:marBottom w:val="0"/>
      <w:divBdr>
        <w:top w:val="none" w:sz="0" w:space="0" w:color="auto"/>
        <w:left w:val="none" w:sz="0" w:space="0" w:color="auto"/>
        <w:bottom w:val="none" w:sz="0" w:space="0" w:color="auto"/>
        <w:right w:val="none" w:sz="0" w:space="0" w:color="auto"/>
      </w:divBdr>
    </w:div>
    <w:div w:id="1112359081">
      <w:bodyDiv w:val="1"/>
      <w:marLeft w:val="0"/>
      <w:marRight w:val="0"/>
      <w:marTop w:val="0"/>
      <w:marBottom w:val="0"/>
      <w:divBdr>
        <w:top w:val="none" w:sz="0" w:space="0" w:color="auto"/>
        <w:left w:val="none" w:sz="0" w:space="0" w:color="auto"/>
        <w:bottom w:val="none" w:sz="0" w:space="0" w:color="auto"/>
        <w:right w:val="none" w:sz="0" w:space="0" w:color="auto"/>
      </w:divBdr>
    </w:div>
    <w:div w:id="1119180003">
      <w:bodyDiv w:val="1"/>
      <w:marLeft w:val="0"/>
      <w:marRight w:val="0"/>
      <w:marTop w:val="0"/>
      <w:marBottom w:val="0"/>
      <w:divBdr>
        <w:top w:val="none" w:sz="0" w:space="0" w:color="auto"/>
        <w:left w:val="none" w:sz="0" w:space="0" w:color="auto"/>
        <w:bottom w:val="none" w:sz="0" w:space="0" w:color="auto"/>
        <w:right w:val="none" w:sz="0" w:space="0" w:color="auto"/>
      </w:divBdr>
    </w:div>
    <w:div w:id="1127507167">
      <w:bodyDiv w:val="1"/>
      <w:marLeft w:val="0"/>
      <w:marRight w:val="0"/>
      <w:marTop w:val="0"/>
      <w:marBottom w:val="0"/>
      <w:divBdr>
        <w:top w:val="none" w:sz="0" w:space="0" w:color="auto"/>
        <w:left w:val="none" w:sz="0" w:space="0" w:color="auto"/>
        <w:bottom w:val="none" w:sz="0" w:space="0" w:color="auto"/>
        <w:right w:val="none" w:sz="0" w:space="0" w:color="auto"/>
      </w:divBdr>
    </w:div>
    <w:div w:id="1136217458">
      <w:bodyDiv w:val="1"/>
      <w:marLeft w:val="0"/>
      <w:marRight w:val="0"/>
      <w:marTop w:val="0"/>
      <w:marBottom w:val="0"/>
      <w:divBdr>
        <w:top w:val="none" w:sz="0" w:space="0" w:color="auto"/>
        <w:left w:val="none" w:sz="0" w:space="0" w:color="auto"/>
        <w:bottom w:val="none" w:sz="0" w:space="0" w:color="auto"/>
        <w:right w:val="none" w:sz="0" w:space="0" w:color="auto"/>
      </w:divBdr>
    </w:div>
    <w:div w:id="1137801440">
      <w:bodyDiv w:val="1"/>
      <w:marLeft w:val="0"/>
      <w:marRight w:val="0"/>
      <w:marTop w:val="0"/>
      <w:marBottom w:val="0"/>
      <w:divBdr>
        <w:top w:val="none" w:sz="0" w:space="0" w:color="auto"/>
        <w:left w:val="none" w:sz="0" w:space="0" w:color="auto"/>
        <w:bottom w:val="none" w:sz="0" w:space="0" w:color="auto"/>
        <w:right w:val="none" w:sz="0" w:space="0" w:color="auto"/>
      </w:divBdr>
    </w:div>
    <w:div w:id="1140541528">
      <w:bodyDiv w:val="1"/>
      <w:marLeft w:val="0"/>
      <w:marRight w:val="0"/>
      <w:marTop w:val="0"/>
      <w:marBottom w:val="0"/>
      <w:divBdr>
        <w:top w:val="none" w:sz="0" w:space="0" w:color="auto"/>
        <w:left w:val="none" w:sz="0" w:space="0" w:color="auto"/>
        <w:bottom w:val="none" w:sz="0" w:space="0" w:color="auto"/>
        <w:right w:val="none" w:sz="0" w:space="0" w:color="auto"/>
      </w:divBdr>
    </w:div>
    <w:div w:id="1155342617">
      <w:bodyDiv w:val="1"/>
      <w:marLeft w:val="0"/>
      <w:marRight w:val="0"/>
      <w:marTop w:val="0"/>
      <w:marBottom w:val="0"/>
      <w:divBdr>
        <w:top w:val="none" w:sz="0" w:space="0" w:color="auto"/>
        <w:left w:val="none" w:sz="0" w:space="0" w:color="auto"/>
        <w:bottom w:val="none" w:sz="0" w:space="0" w:color="auto"/>
        <w:right w:val="none" w:sz="0" w:space="0" w:color="auto"/>
      </w:divBdr>
    </w:div>
    <w:div w:id="1160343886">
      <w:bodyDiv w:val="1"/>
      <w:marLeft w:val="0"/>
      <w:marRight w:val="0"/>
      <w:marTop w:val="0"/>
      <w:marBottom w:val="0"/>
      <w:divBdr>
        <w:top w:val="none" w:sz="0" w:space="0" w:color="auto"/>
        <w:left w:val="none" w:sz="0" w:space="0" w:color="auto"/>
        <w:bottom w:val="none" w:sz="0" w:space="0" w:color="auto"/>
        <w:right w:val="none" w:sz="0" w:space="0" w:color="auto"/>
      </w:divBdr>
    </w:div>
    <w:div w:id="1160347024">
      <w:bodyDiv w:val="1"/>
      <w:marLeft w:val="0"/>
      <w:marRight w:val="0"/>
      <w:marTop w:val="0"/>
      <w:marBottom w:val="0"/>
      <w:divBdr>
        <w:top w:val="none" w:sz="0" w:space="0" w:color="auto"/>
        <w:left w:val="none" w:sz="0" w:space="0" w:color="auto"/>
        <w:bottom w:val="none" w:sz="0" w:space="0" w:color="auto"/>
        <w:right w:val="none" w:sz="0" w:space="0" w:color="auto"/>
      </w:divBdr>
    </w:div>
    <w:div w:id="1169514771">
      <w:bodyDiv w:val="1"/>
      <w:marLeft w:val="0"/>
      <w:marRight w:val="0"/>
      <w:marTop w:val="0"/>
      <w:marBottom w:val="0"/>
      <w:divBdr>
        <w:top w:val="none" w:sz="0" w:space="0" w:color="auto"/>
        <w:left w:val="none" w:sz="0" w:space="0" w:color="auto"/>
        <w:bottom w:val="none" w:sz="0" w:space="0" w:color="auto"/>
        <w:right w:val="none" w:sz="0" w:space="0" w:color="auto"/>
      </w:divBdr>
    </w:div>
    <w:div w:id="1171793784">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347441">
      <w:bodyDiv w:val="1"/>
      <w:marLeft w:val="0"/>
      <w:marRight w:val="0"/>
      <w:marTop w:val="0"/>
      <w:marBottom w:val="0"/>
      <w:divBdr>
        <w:top w:val="none" w:sz="0" w:space="0" w:color="auto"/>
        <w:left w:val="none" w:sz="0" w:space="0" w:color="auto"/>
        <w:bottom w:val="none" w:sz="0" w:space="0" w:color="auto"/>
        <w:right w:val="none" w:sz="0" w:space="0" w:color="auto"/>
      </w:divBdr>
    </w:div>
    <w:div w:id="1179350556">
      <w:bodyDiv w:val="1"/>
      <w:marLeft w:val="0"/>
      <w:marRight w:val="0"/>
      <w:marTop w:val="0"/>
      <w:marBottom w:val="0"/>
      <w:divBdr>
        <w:top w:val="none" w:sz="0" w:space="0" w:color="auto"/>
        <w:left w:val="none" w:sz="0" w:space="0" w:color="auto"/>
        <w:bottom w:val="none" w:sz="0" w:space="0" w:color="auto"/>
        <w:right w:val="none" w:sz="0" w:space="0" w:color="auto"/>
      </w:divBdr>
    </w:div>
    <w:div w:id="1179660839">
      <w:bodyDiv w:val="1"/>
      <w:marLeft w:val="0"/>
      <w:marRight w:val="0"/>
      <w:marTop w:val="0"/>
      <w:marBottom w:val="0"/>
      <w:divBdr>
        <w:top w:val="none" w:sz="0" w:space="0" w:color="auto"/>
        <w:left w:val="none" w:sz="0" w:space="0" w:color="auto"/>
        <w:bottom w:val="none" w:sz="0" w:space="0" w:color="auto"/>
        <w:right w:val="none" w:sz="0" w:space="0" w:color="auto"/>
      </w:divBdr>
    </w:div>
    <w:div w:id="1180045544">
      <w:bodyDiv w:val="1"/>
      <w:marLeft w:val="0"/>
      <w:marRight w:val="0"/>
      <w:marTop w:val="0"/>
      <w:marBottom w:val="0"/>
      <w:divBdr>
        <w:top w:val="none" w:sz="0" w:space="0" w:color="auto"/>
        <w:left w:val="none" w:sz="0" w:space="0" w:color="auto"/>
        <w:bottom w:val="none" w:sz="0" w:space="0" w:color="auto"/>
        <w:right w:val="none" w:sz="0" w:space="0" w:color="auto"/>
      </w:divBdr>
    </w:div>
    <w:div w:id="1183131609">
      <w:bodyDiv w:val="1"/>
      <w:marLeft w:val="0"/>
      <w:marRight w:val="0"/>
      <w:marTop w:val="0"/>
      <w:marBottom w:val="0"/>
      <w:divBdr>
        <w:top w:val="none" w:sz="0" w:space="0" w:color="auto"/>
        <w:left w:val="none" w:sz="0" w:space="0" w:color="auto"/>
        <w:bottom w:val="none" w:sz="0" w:space="0" w:color="auto"/>
        <w:right w:val="none" w:sz="0" w:space="0" w:color="auto"/>
      </w:divBdr>
    </w:div>
    <w:div w:id="1184199536">
      <w:bodyDiv w:val="1"/>
      <w:marLeft w:val="0"/>
      <w:marRight w:val="0"/>
      <w:marTop w:val="0"/>
      <w:marBottom w:val="0"/>
      <w:divBdr>
        <w:top w:val="none" w:sz="0" w:space="0" w:color="auto"/>
        <w:left w:val="none" w:sz="0" w:space="0" w:color="auto"/>
        <w:bottom w:val="none" w:sz="0" w:space="0" w:color="auto"/>
        <w:right w:val="none" w:sz="0" w:space="0" w:color="auto"/>
      </w:divBdr>
    </w:div>
    <w:div w:id="1184857841">
      <w:bodyDiv w:val="1"/>
      <w:marLeft w:val="0"/>
      <w:marRight w:val="0"/>
      <w:marTop w:val="0"/>
      <w:marBottom w:val="0"/>
      <w:divBdr>
        <w:top w:val="none" w:sz="0" w:space="0" w:color="auto"/>
        <w:left w:val="none" w:sz="0" w:space="0" w:color="auto"/>
        <w:bottom w:val="none" w:sz="0" w:space="0" w:color="auto"/>
        <w:right w:val="none" w:sz="0" w:space="0" w:color="auto"/>
      </w:divBdr>
    </w:div>
    <w:div w:id="1195576874">
      <w:bodyDiv w:val="1"/>
      <w:marLeft w:val="0"/>
      <w:marRight w:val="0"/>
      <w:marTop w:val="0"/>
      <w:marBottom w:val="0"/>
      <w:divBdr>
        <w:top w:val="none" w:sz="0" w:space="0" w:color="auto"/>
        <w:left w:val="none" w:sz="0" w:space="0" w:color="auto"/>
        <w:bottom w:val="none" w:sz="0" w:space="0" w:color="auto"/>
        <w:right w:val="none" w:sz="0" w:space="0" w:color="auto"/>
      </w:divBdr>
    </w:div>
    <w:div w:id="1201017344">
      <w:bodyDiv w:val="1"/>
      <w:marLeft w:val="0"/>
      <w:marRight w:val="0"/>
      <w:marTop w:val="0"/>
      <w:marBottom w:val="0"/>
      <w:divBdr>
        <w:top w:val="none" w:sz="0" w:space="0" w:color="auto"/>
        <w:left w:val="none" w:sz="0" w:space="0" w:color="auto"/>
        <w:bottom w:val="none" w:sz="0" w:space="0" w:color="auto"/>
        <w:right w:val="none" w:sz="0" w:space="0" w:color="auto"/>
      </w:divBdr>
    </w:div>
    <w:div w:id="1201896264">
      <w:bodyDiv w:val="1"/>
      <w:marLeft w:val="0"/>
      <w:marRight w:val="0"/>
      <w:marTop w:val="0"/>
      <w:marBottom w:val="0"/>
      <w:divBdr>
        <w:top w:val="none" w:sz="0" w:space="0" w:color="auto"/>
        <w:left w:val="none" w:sz="0" w:space="0" w:color="auto"/>
        <w:bottom w:val="none" w:sz="0" w:space="0" w:color="auto"/>
        <w:right w:val="none" w:sz="0" w:space="0" w:color="auto"/>
      </w:divBdr>
    </w:div>
    <w:div w:id="1202475242">
      <w:bodyDiv w:val="1"/>
      <w:marLeft w:val="0"/>
      <w:marRight w:val="0"/>
      <w:marTop w:val="0"/>
      <w:marBottom w:val="0"/>
      <w:divBdr>
        <w:top w:val="none" w:sz="0" w:space="0" w:color="auto"/>
        <w:left w:val="none" w:sz="0" w:space="0" w:color="auto"/>
        <w:bottom w:val="none" w:sz="0" w:space="0" w:color="auto"/>
        <w:right w:val="none" w:sz="0" w:space="0" w:color="auto"/>
      </w:divBdr>
    </w:div>
    <w:div w:id="1213153561">
      <w:bodyDiv w:val="1"/>
      <w:marLeft w:val="0"/>
      <w:marRight w:val="0"/>
      <w:marTop w:val="0"/>
      <w:marBottom w:val="0"/>
      <w:divBdr>
        <w:top w:val="none" w:sz="0" w:space="0" w:color="auto"/>
        <w:left w:val="none" w:sz="0" w:space="0" w:color="auto"/>
        <w:bottom w:val="none" w:sz="0" w:space="0" w:color="auto"/>
        <w:right w:val="none" w:sz="0" w:space="0" w:color="auto"/>
      </w:divBdr>
    </w:div>
    <w:div w:id="1225144660">
      <w:bodyDiv w:val="1"/>
      <w:marLeft w:val="0"/>
      <w:marRight w:val="0"/>
      <w:marTop w:val="0"/>
      <w:marBottom w:val="0"/>
      <w:divBdr>
        <w:top w:val="none" w:sz="0" w:space="0" w:color="auto"/>
        <w:left w:val="none" w:sz="0" w:space="0" w:color="auto"/>
        <w:bottom w:val="none" w:sz="0" w:space="0" w:color="auto"/>
        <w:right w:val="none" w:sz="0" w:space="0" w:color="auto"/>
      </w:divBdr>
    </w:div>
    <w:div w:id="1226523410">
      <w:bodyDiv w:val="1"/>
      <w:marLeft w:val="0"/>
      <w:marRight w:val="0"/>
      <w:marTop w:val="0"/>
      <w:marBottom w:val="0"/>
      <w:divBdr>
        <w:top w:val="none" w:sz="0" w:space="0" w:color="auto"/>
        <w:left w:val="none" w:sz="0" w:space="0" w:color="auto"/>
        <w:bottom w:val="none" w:sz="0" w:space="0" w:color="auto"/>
        <w:right w:val="none" w:sz="0" w:space="0" w:color="auto"/>
      </w:divBdr>
    </w:div>
    <w:div w:id="1228105448">
      <w:bodyDiv w:val="1"/>
      <w:marLeft w:val="0"/>
      <w:marRight w:val="0"/>
      <w:marTop w:val="0"/>
      <w:marBottom w:val="0"/>
      <w:divBdr>
        <w:top w:val="none" w:sz="0" w:space="0" w:color="auto"/>
        <w:left w:val="none" w:sz="0" w:space="0" w:color="auto"/>
        <w:bottom w:val="none" w:sz="0" w:space="0" w:color="auto"/>
        <w:right w:val="none" w:sz="0" w:space="0" w:color="auto"/>
      </w:divBdr>
    </w:div>
    <w:div w:id="1231892705">
      <w:bodyDiv w:val="1"/>
      <w:marLeft w:val="0"/>
      <w:marRight w:val="0"/>
      <w:marTop w:val="0"/>
      <w:marBottom w:val="0"/>
      <w:divBdr>
        <w:top w:val="none" w:sz="0" w:space="0" w:color="auto"/>
        <w:left w:val="none" w:sz="0" w:space="0" w:color="auto"/>
        <w:bottom w:val="none" w:sz="0" w:space="0" w:color="auto"/>
        <w:right w:val="none" w:sz="0" w:space="0" w:color="auto"/>
      </w:divBdr>
    </w:div>
    <w:div w:id="1240091610">
      <w:bodyDiv w:val="1"/>
      <w:marLeft w:val="0"/>
      <w:marRight w:val="0"/>
      <w:marTop w:val="0"/>
      <w:marBottom w:val="0"/>
      <w:divBdr>
        <w:top w:val="none" w:sz="0" w:space="0" w:color="auto"/>
        <w:left w:val="none" w:sz="0" w:space="0" w:color="auto"/>
        <w:bottom w:val="none" w:sz="0" w:space="0" w:color="auto"/>
        <w:right w:val="none" w:sz="0" w:space="0" w:color="auto"/>
      </w:divBdr>
    </w:div>
    <w:div w:id="1240211839">
      <w:bodyDiv w:val="1"/>
      <w:marLeft w:val="0"/>
      <w:marRight w:val="0"/>
      <w:marTop w:val="0"/>
      <w:marBottom w:val="0"/>
      <w:divBdr>
        <w:top w:val="none" w:sz="0" w:space="0" w:color="auto"/>
        <w:left w:val="none" w:sz="0" w:space="0" w:color="auto"/>
        <w:bottom w:val="none" w:sz="0" w:space="0" w:color="auto"/>
        <w:right w:val="none" w:sz="0" w:space="0" w:color="auto"/>
      </w:divBdr>
    </w:div>
    <w:div w:id="1243954609">
      <w:bodyDiv w:val="1"/>
      <w:marLeft w:val="0"/>
      <w:marRight w:val="0"/>
      <w:marTop w:val="0"/>
      <w:marBottom w:val="0"/>
      <w:divBdr>
        <w:top w:val="none" w:sz="0" w:space="0" w:color="auto"/>
        <w:left w:val="none" w:sz="0" w:space="0" w:color="auto"/>
        <w:bottom w:val="none" w:sz="0" w:space="0" w:color="auto"/>
        <w:right w:val="none" w:sz="0" w:space="0" w:color="auto"/>
      </w:divBdr>
    </w:div>
    <w:div w:id="1244804318">
      <w:bodyDiv w:val="1"/>
      <w:marLeft w:val="0"/>
      <w:marRight w:val="0"/>
      <w:marTop w:val="0"/>
      <w:marBottom w:val="0"/>
      <w:divBdr>
        <w:top w:val="none" w:sz="0" w:space="0" w:color="auto"/>
        <w:left w:val="none" w:sz="0" w:space="0" w:color="auto"/>
        <w:bottom w:val="none" w:sz="0" w:space="0" w:color="auto"/>
        <w:right w:val="none" w:sz="0" w:space="0" w:color="auto"/>
      </w:divBdr>
    </w:div>
    <w:div w:id="1248995740">
      <w:bodyDiv w:val="1"/>
      <w:marLeft w:val="0"/>
      <w:marRight w:val="0"/>
      <w:marTop w:val="0"/>
      <w:marBottom w:val="0"/>
      <w:divBdr>
        <w:top w:val="none" w:sz="0" w:space="0" w:color="auto"/>
        <w:left w:val="none" w:sz="0" w:space="0" w:color="auto"/>
        <w:bottom w:val="none" w:sz="0" w:space="0" w:color="auto"/>
        <w:right w:val="none" w:sz="0" w:space="0" w:color="auto"/>
      </w:divBdr>
    </w:div>
    <w:div w:id="1253054355">
      <w:bodyDiv w:val="1"/>
      <w:marLeft w:val="0"/>
      <w:marRight w:val="0"/>
      <w:marTop w:val="0"/>
      <w:marBottom w:val="0"/>
      <w:divBdr>
        <w:top w:val="none" w:sz="0" w:space="0" w:color="auto"/>
        <w:left w:val="none" w:sz="0" w:space="0" w:color="auto"/>
        <w:bottom w:val="none" w:sz="0" w:space="0" w:color="auto"/>
        <w:right w:val="none" w:sz="0" w:space="0" w:color="auto"/>
      </w:divBdr>
    </w:div>
    <w:div w:id="1260022232">
      <w:bodyDiv w:val="1"/>
      <w:marLeft w:val="0"/>
      <w:marRight w:val="0"/>
      <w:marTop w:val="0"/>
      <w:marBottom w:val="0"/>
      <w:divBdr>
        <w:top w:val="none" w:sz="0" w:space="0" w:color="auto"/>
        <w:left w:val="none" w:sz="0" w:space="0" w:color="auto"/>
        <w:bottom w:val="none" w:sz="0" w:space="0" w:color="auto"/>
        <w:right w:val="none" w:sz="0" w:space="0" w:color="auto"/>
      </w:divBdr>
    </w:div>
    <w:div w:id="1268271536">
      <w:bodyDiv w:val="1"/>
      <w:marLeft w:val="0"/>
      <w:marRight w:val="0"/>
      <w:marTop w:val="0"/>
      <w:marBottom w:val="0"/>
      <w:divBdr>
        <w:top w:val="none" w:sz="0" w:space="0" w:color="auto"/>
        <w:left w:val="none" w:sz="0" w:space="0" w:color="auto"/>
        <w:bottom w:val="none" w:sz="0" w:space="0" w:color="auto"/>
        <w:right w:val="none" w:sz="0" w:space="0" w:color="auto"/>
      </w:divBdr>
    </w:div>
    <w:div w:id="1269695573">
      <w:bodyDiv w:val="1"/>
      <w:marLeft w:val="0"/>
      <w:marRight w:val="0"/>
      <w:marTop w:val="0"/>
      <w:marBottom w:val="0"/>
      <w:divBdr>
        <w:top w:val="none" w:sz="0" w:space="0" w:color="auto"/>
        <w:left w:val="none" w:sz="0" w:space="0" w:color="auto"/>
        <w:bottom w:val="none" w:sz="0" w:space="0" w:color="auto"/>
        <w:right w:val="none" w:sz="0" w:space="0" w:color="auto"/>
      </w:divBdr>
    </w:div>
    <w:div w:id="1271356243">
      <w:bodyDiv w:val="1"/>
      <w:marLeft w:val="0"/>
      <w:marRight w:val="0"/>
      <w:marTop w:val="0"/>
      <w:marBottom w:val="0"/>
      <w:divBdr>
        <w:top w:val="none" w:sz="0" w:space="0" w:color="auto"/>
        <w:left w:val="none" w:sz="0" w:space="0" w:color="auto"/>
        <w:bottom w:val="none" w:sz="0" w:space="0" w:color="auto"/>
        <w:right w:val="none" w:sz="0" w:space="0" w:color="auto"/>
      </w:divBdr>
    </w:div>
    <w:div w:id="1274944007">
      <w:bodyDiv w:val="1"/>
      <w:marLeft w:val="0"/>
      <w:marRight w:val="0"/>
      <w:marTop w:val="0"/>
      <w:marBottom w:val="0"/>
      <w:divBdr>
        <w:top w:val="none" w:sz="0" w:space="0" w:color="auto"/>
        <w:left w:val="none" w:sz="0" w:space="0" w:color="auto"/>
        <w:bottom w:val="none" w:sz="0" w:space="0" w:color="auto"/>
        <w:right w:val="none" w:sz="0" w:space="0" w:color="auto"/>
      </w:divBdr>
    </w:div>
    <w:div w:id="1284575634">
      <w:bodyDiv w:val="1"/>
      <w:marLeft w:val="0"/>
      <w:marRight w:val="0"/>
      <w:marTop w:val="0"/>
      <w:marBottom w:val="0"/>
      <w:divBdr>
        <w:top w:val="none" w:sz="0" w:space="0" w:color="auto"/>
        <w:left w:val="none" w:sz="0" w:space="0" w:color="auto"/>
        <w:bottom w:val="none" w:sz="0" w:space="0" w:color="auto"/>
        <w:right w:val="none" w:sz="0" w:space="0" w:color="auto"/>
      </w:divBdr>
    </w:div>
    <w:div w:id="1284842481">
      <w:bodyDiv w:val="1"/>
      <w:marLeft w:val="0"/>
      <w:marRight w:val="0"/>
      <w:marTop w:val="0"/>
      <w:marBottom w:val="0"/>
      <w:divBdr>
        <w:top w:val="none" w:sz="0" w:space="0" w:color="auto"/>
        <w:left w:val="none" w:sz="0" w:space="0" w:color="auto"/>
        <w:bottom w:val="none" w:sz="0" w:space="0" w:color="auto"/>
        <w:right w:val="none" w:sz="0" w:space="0" w:color="auto"/>
      </w:divBdr>
    </w:div>
    <w:div w:id="1303922134">
      <w:bodyDiv w:val="1"/>
      <w:marLeft w:val="0"/>
      <w:marRight w:val="0"/>
      <w:marTop w:val="0"/>
      <w:marBottom w:val="0"/>
      <w:divBdr>
        <w:top w:val="none" w:sz="0" w:space="0" w:color="auto"/>
        <w:left w:val="none" w:sz="0" w:space="0" w:color="auto"/>
        <w:bottom w:val="none" w:sz="0" w:space="0" w:color="auto"/>
        <w:right w:val="none" w:sz="0" w:space="0" w:color="auto"/>
      </w:divBdr>
    </w:div>
    <w:div w:id="1306354453">
      <w:bodyDiv w:val="1"/>
      <w:marLeft w:val="0"/>
      <w:marRight w:val="0"/>
      <w:marTop w:val="0"/>
      <w:marBottom w:val="0"/>
      <w:divBdr>
        <w:top w:val="none" w:sz="0" w:space="0" w:color="auto"/>
        <w:left w:val="none" w:sz="0" w:space="0" w:color="auto"/>
        <w:bottom w:val="none" w:sz="0" w:space="0" w:color="auto"/>
        <w:right w:val="none" w:sz="0" w:space="0" w:color="auto"/>
      </w:divBdr>
    </w:div>
    <w:div w:id="1308508878">
      <w:bodyDiv w:val="1"/>
      <w:marLeft w:val="0"/>
      <w:marRight w:val="0"/>
      <w:marTop w:val="0"/>
      <w:marBottom w:val="0"/>
      <w:divBdr>
        <w:top w:val="none" w:sz="0" w:space="0" w:color="auto"/>
        <w:left w:val="none" w:sz="0" w:space="0" w:color="auto"/>
        <w:bottom w:val="none" w:sz="0" w:space="0" w:color="auto"/>
        <w:right w:val="none" w:sz="0" w:space="0" w:color="auto"/>
      </w:divBdr>
    </w:div>
    <w:div w:id="1323924352">
      <w:bodyDiv w:val="1"/>
      <w:marLeft w:val="0"/>
      <w:marRight w:val="0"/>
      <w:marTop w:val="0"/>
      <w:marBottom w:val="0"/>
      <w:divBdr>
        <w:top w:val="none" w:sz="0" w:space="0" w:color="auto"/>
        <w:left w:val="none" w:sz="0" w:space="0" w:color="auto"/>
        <w:bottom w:val="none" w:sz="0" w:space="0" w:color="auto"/>
        <w:right w:val="none" w:sz="0" w:space="0" w:color="auto"/>
      </w:divBdr>
    </w:div>
    <w:div w:id="1335259025">
      <w:bodyDiv w:val="1"/>
      <w:marLeft w:val="0"/>
      <w:marRight w:val="0"/>
      <w:marTop w:val="0"/>
      <w:marBottom w:val="0"/>
      <w:divBdr>
        <w:top w:val="none" w:sz="0" w:space="0" w:color="auto"/>
        <w:left w:val="none" w:sz="0" w:space="0" w:color="auto"/>
        <w:bottom w:val="none" w:sz="0" w:space="0" w:color="auto"/>
        <w:right w:val="none" w:sz="0" w:space="0" w:color="auto"/>
      </w:divBdr>
    </w:div>
    <w:div w:id="1337877969">
      <w:bodyDiv w:val="1"/>
      <w:marLeft w:val="0"/>
      <w:marRight w:val="0"/>
      <w:marTop w:val="0"/>
      <w:marBottom w:val="0"/>
      <w:divBdr>
        <w:top w:val="none" w:sz="0" w:space="0" w:color="auto"/>
        <w:left w:val="none" w:sz="0" w:space="0" w:color="auto"/>
        <w:bottom w:val="none" w:sz="0" w:space="0" w:color="auto"/>
        <w:right w:val="none" w:sz="0" w:space="0" w:color="auto"/>
      </w:divBdr>
    </w:div>
    <w:div w:id="1338070874">
      <w:bodyDiv w:val="1"/>
      <w:marLeft w:val="0"/>
      <w:marRight w:val="0"/>
      <w:marTop w:val="0"/>
      <w:marBottom w:val="0"/>
      <w:divBdr>
        <w:top w:val="none" w:sz="0" w:space="0" w:color="auto"/>
        <w:left w:val="none" w:sz="0" w:space="0" w:color="auto"/>
        <w:bottom w:val="none" w:sz="0" w:space="0" w:color="auto"/>
        <w:right w:val="none" w:sz="0" w:space="0" w:color="auto"/>
      </w:divBdr>
    </w:div>
    <w:div w:id="1357461466">
      <w:bodyDiv w:val="1"/>
      <w:marLeft w:val="0"/>
      <w:marRight w:val="0"/>
      <w:marTop w:val="0"/>
      <w:marBottom w:val="0"/>
      <w:divBdr>
        <w:top w:val="none" w:sz="0" w:space="0" w:color="auto"/>
        <w:left w:val="none" w:sz="0" w:space="0" w:color="auto"/>
        <w:bottom w:val="none" w:sz="0" w:space="0" w:color="auto"/>
        <w:right w:val="none" w:sz="0" w:space="0" w:color="auto"/>
      </w:divBdr>
    </w:div>
    <w:div w:id="1369643037">
      <w:bodyDiv w:val="1"/>
      <w:marLeft w:val="0"/>
      <w:marRight w:val="0"/>
      <w:marTop w:val="0"/>
      <w:marBottom w:val="0"/>
      <w:divBdr>
        <w:top w:val="none" w:sz="0" w:space="0" w:color="auto"/>
        <w:left w:val="none" w:sz="0" w:space="0" w:color="auto"/>
        <w:bottom w:val="none" w:sz="0" w:space="0" w:color="auto"/>
        <w:right w:val="none" w:sz="0" w:space="0" w:color="auto"/>
      </w:divBdr>
    </w:div>
    <w:div w:id="1370492109">
      <w:bodyDiv w:val="1"/>
      <w:marLeft w:val="0"/>
      <w:marRight w:val="0"/>
      <w:marTop w:val="0"/>
      <w:marBottom w:val="0"/>
      <w:divBdr>
        <w:top w:val="none" w:sz="0" w:space="0" w:color="auto"/>
        <w:left w:val="none" w:sz="0" w:space="0" w:color="auto"/>
        <w:bottom w:val="none" w:sz="0" w:space="0" w:color="auto"/>
        <w:right w:val="none" w:sz="0" w:space="0" w:color="auto"/>
      </w:divBdr>
    </w:div>
    <w:div w:id="1372345254">
      <w:bodyDiv w:val="1"/>
      <w:marLeft w:val="0"/>
      <w:marRight w:val="0"/>
      <w:marTop w:val="0"/>
      <w:marBottom w:val="0"/>
      <w:divBdr>
        <w:top w:val="none" w:sz="0" w:space="0" w:color="auto"/>
        <w:left w:val="none" w:sz="0" w:space="0" w:color="auto"/>
        <w:bottom w:val="none" w:sz="0" w:space="0" w:color="auto"/>
        <w:right w:val="none" w:sz="0" w:space="0" w:color="auto"/>
      </w:divBdr>
    </w:div>
    <w:div w:id="1381247471">
      <w:bodyDiv w:val="1"/>
      <w:marLeft w:val="0"/>
      <w:marRight w:val="0"/>
      <w:marTop w:val="0"/>
      <w:marBottom w:val="0"/>
      <w:divBdr>
        <w:top w:val="none" w:sz="0" w:space="0" w:color="auto"/>
        <w:left w:val="none" w:sz="0" w:space="0" w:color="auto"/>
        <w:bottom w:val="none" w:sz="0" w:space="0" w:color="auto"/>
        <w:right w:val="none" w:sz="0" w:space="0" w:color="auto"/>
      </w:divBdr>
    </w:div>
    <w:div w:id="1381437217">
      <w:bodyDiv w:val="1"/>
      <w:marLeft w:val="0"/>
      <w:marRight w:val="0"/>
      <w:marTop w:val="0"/>
      <w:marBottom w:val="0"/>
      <w:divBdr>
        <w:top w:val="none" w:sz="0" w:space="0" w:color="auto"/>
        <w:left w:val="none" w:sz="0" w:space="0" w:color="auto"/>
        <w:bottom w:val="none" w:sz="0" w:space="0" w:color="auto"/>
        <w:right w:val="none" w:sz="0" w:space="0" w:color="auto"/>
      </w:divBdr>
    </w:div>
    <w:div w:id="1386022354">
      <w:bodyDiv w:val="1"/>
      <w:marLeft w:val="0"/>
      <w:marRight w:val="0"/>
      <w:marTop w:val="0"/>
      <w:marBottom w:val="0"/>
      <w:divBdr>
        <w:top w:val="none" w:sz="0" w:space="0" w:color="auto"/>
        <w:left w:val="none" w:sz="0" w:space="0" w:color="auto"/>
        <w:bottom w:val="none" w:sz="0" w:space="0" w:color="auto"/>
        <w:right w:val="none" w:sz="0" w:space="0" w:color="auto"/>
      </w:divBdr>
    </w:div>
    <w:div w:id="1387026047">
      <w:bodyDiv w:val="1"/>
      <w:marLeft w:val="0"/>
      <w:marRight w:val="0"/>
      <w:marTop w:val="0"/>
      <w:marBottom w:val="0"/>
      <w:divBdr>
        <w:top w:val="none" w:sz="0" w:space="0" w:color="auto"/>
        <w:left w:val="none" w:sz="0" w:space="0" w:color="auto"/>
        <w:bottom w:val="none" w:sz="0" w:space="0" w:color="auto"/>
        <w:right w:val="none" w:sz="0" w:space="0" w:color="auto"/>
      </w:divBdr>
    </w:div>
    <w:div w:id="1388722823">
      <w:bodyDiv w:val="1"/>
      <w:marLeft w:val="0"/>
      <w:marRight w:val="0"/>
      <w:marTop w:val="0"/>
      <w:marBottom w:val="0"/>
      <w:divBdr>
        <w:top w:val="none" w:sz="0" w:space="0" w:color="auto"/>
        <w:left w:val="none" w:sz="0" w:space="0" w:color="auto"/>
        <w:bottom w:val="none" w:sz="0" w:space="0" w:color="auto"/>
        <w:right w:val="none" w:sz="0" w:space="0" w:color="auto"/>
      </w:divBdr>
    </w:div>
    <w:div w:id="1394349601">
      <w:bodyDiv w:val="1"/>
      <w:marLeft w:val="0"/>
      <w:marRight w:val="0"/>
      <w:marTop w:val="0"/>
      <w:marBottom w:val="0"/>
      <w:divBdr>
        <w:top w:val="none" w:sz="0" w:space="0" w:color="auto"/>
        <w:left w:val="none" w:sz="0" w:space="0" w:color="auto"/>
        <w:bottom w:val="none" w:sz="0" w:space="0" w:color="auto"/>
        <w:right w:val="none" w:sz="0" w:space="0" w:color="auto"/>
      </w:divBdr>
    </w:div>
    <w:div w:id="1394354770">
      <w:bodyDiv w:val="1"/>
      <w:marLeft w:val="0"/>
      <w:marRight w:val="0"/>
      <w:marTop w:val="0"/>
      <w:marBottom w:val="0"/>
      <w:divBdr>
        <w:top w:val="none" w:sz="0" w:space="0" w:color="auto"/>
        <w:left w:val="none" w:sz="0" w:space="0" w:color="auto"/>
        <w:bottom w:val="none" w:sz="0" w:space="0" w:color="auto"/>
        <w:right w:val="none" w:sz="0" w:space="0" w:color="auto"/>
      </w:divBdr>
    </w:div>
    <w:div w:id="1395422734">
      <w:bodyDiv w:val="1"/>
      <w:marLeft w:val="0"/>
      <w:marRight w:val="0"/>
      <w:marTop w:val="0"/>
      <w:marBottom w:val="0"/>
      <w:divBdr>
        <w:top w:val="none" w:sz="0" w:space="0" w:color="auto"/>
        <w:left w:val="none" w:sz="0" w:space="0" w:color="auto"/>
        <w:bottom w:val="none" w:sz="0" w:space="0" w:color="auto"/>
        <w:right w:val="none" w:sz="0" w:space="0" w:color="auto"/>
      </w:divBdr>
    </w:div>
    <w:div w:id="1409379580">
      <w:bodyDiv w:val="1"/>
      <w:marLeft w:val="0"/>
      <w:marRight w:val="0"/>
      <w:marTop w:val="0"/>
      <w:marBottom w:val="0"/>
      <w:divBdr>
        <w:top w:val="none" w:sz="0" w:space="0" w:color="auto"/>
        <w:left w:val="none" w:sz="0" w:space="0" w:color="auto"/>
        <w:bottom w:val="none" w:sz="0" w:space="0" w:color="auto"/>
        <w:right w:val="none" w:sz="0" w:space="0" w:color="auto"/>
      </w:divBdr>
    </w:div>
    <w:div w:id="1418558841">
      <w:bodyDiv w:val="1"/>
      <w:marLeft w:val="0"/>
      <w:marRight w:val="0"/>
      <w:marTop w:val="0"/>
      <w:marBottom w:val="0"/>
      <w:divBdr>
        <w:top w:val="none" w:sz="0" w:space="0" w:color="auto"/>
        <w:left w:val="none" w:sz="0" w:space="0" w:color="auto"/>
        <w:bottom w:val="none" w:sz="0" w:space="0" w:color="auto"/>
        <w:right w:val="none" w:sz="0" w:space="0" w:color="auto"/>
      </w:divBdr>
    </w:div>
    <w:div w:id="1421218108">
      <w:bodyDiv w:val="1"/>
      <w:marLeft w:val="0"/>
      <w:marRight w:val="0"/>
      <w:marTop w:val="0"/>
      <w:marBottom w:val="0"/>
      <w:divBdr>
        <w:top w:val="none" w:sz="0" w:space="0" w:color="auto"/>
        <w:left w:val="none" w:sz="0" w:space="0" w:color="auto"/>
        <w:bottom w:val="none" w:sz="0" w:space="0" w:color="auto"/>
        <w:right w:val="none" w:sz="0" w:space="0" w:color="auto"/>
      </w:divBdr>
    </w:div>
    <w:div w:id="1450659492">
      <w:bodyDiv w:val="1"/>
      <w:marLeft w:val="0"/>
      <w:marRight w:val="0"/>
      <w:marTop w:val="0"/>
      <w:marBottom w:val="0"/>
      <w:divBdr>
        <w:top w:val="none" w:sz="0" w:space="0" w:color="auto"/>
        <w:left w:val="none" w:sz="0" w:space="0" w:color="auto"/>
        <w:bottom w:val="none" w:sz="0" w:space="0" w:color="auto"/>
        <w:right w:val="none" w:sz="0" w:space="0" w:color="auto"/>
      </w:divBdr>
    </w:div>
    <w:div w:id="1455827470">
      <w:bodyDiv w:val="1"/>
      <w:marLeft w:val="0"/>
      <w:marRight w:val="0"/>
      <w:marTop w:val="0"/>
      <w:marBottom w:val="0"/>
      <w:divBdr>
        <w:top w:val="none" w:sz="0" w:space="0" w:color="auto"/>
        <w:left w:val="none" w:sz="0" w:space="0" w:color="auto"/>
        <w:bottom w:val="none" w:sz="0" w:space="0" w:color="auto"/>
        <w:right w:val="none" w:sz="0" w:space="0" w:color="auto"/>
      </w:divBdr>
    </w:div>
    <w:div w:id="1463500841">
      <w:bodyDiv w:val="1"/>
      <w:marLeft w:val="0"/>
      <w:marRight w:val="0"/>
      <w:marTop w:val="0"/>
      <w:marBottom w:val="0"/>
      <w:divBdr>
        <w:top w:val="none" w:sz="0" w:space="0" w:color="auto"/>
        <w:left w:val="none" w:sz="0" w:space="0" w:color="auto"/>
        <w:bottom w:val="none" w:sz="0" w:space="0" w:color="auto"/>
        <w:right w:val="none" w:sz="0" w:space="0" w:color="auto"/>
      </w:divBdr>
    </w:div>
    <w:div w:id="1468862317">
      <w:bodyDiv w:val="1"/>
      <w:marLeft w:val="0"/>
      <w:marRight w:val="0"/>
      <w:marTop w:val="0"/>
      <w:marBottom w:val="0"/>
      <w:divBdr>
        <w:top w:val="none" w:sz="0" w:space="0" w:color="auto"/>
        <w:left w:val="none" w:sz="0" w:space="0" w:color="auto"/>
        <w:bottom w:val="none" w:sz="0" w:space="0" w:color="auto"/>
        <w:right w:val="none" w:sz="0" w:space="0" w:color="auto"/>
      </w:divBdr>
    </w:div>
    <w:div w:id="1468930196">
      <w:bodyDiv w:val="1"/>
      <w:marLeft w:val="0"/>
      <w:marRight w:val="0"/>
      <w:marTop w:val="0"/>
      <w:marBottom w:val="0"/>
      <w:divBdr>
        <w:top w:val="none" w:sz="0" w:space="0" w:color="auto"/>
        <w:left w:val="none" w:sz="0" w:space="0" w:color="auto"/>
        <w:bottom w:val="none" w:sz="0" w:space="0" w:color="auto"/>
        <w:right w:val="none" w:sz="0" w:space="0" w:color="auto"/>
      </w:divBdr>
    </w:div>
    <w:div w:id="1488328150">
      <w:bodyDiv w:val="1"/>
      <w:marLeft w:val="0"/>
      <w:marRight w:val="0"/>
      <w:marTop w:val="0"/>
      <w:marBottom w:val="0"/>
      <w:divBdr>
        <w:top w:val="none" w:sz="0" w:space="0" w:color="auto"/>
        <w:left w:val="none" w:sz="0" w:space="0" w:color="auto"/>
        <w:bottom w:val="none" w:sz="0" w:space="0" w:color="auto"/>
        <w:right w:val="none" w:sz="0" w:space="0" w:color="auto"/>
      </w:divBdr>
    </w:div>
    <w:div w:id="1496798220">
      <w:bodyDiv w:val="1"/>
      <w:marLeft w:val="0"/>
      <w:marRight w:val="0"/>
      <w:marTop w:val="0"/>
      <w:marBottom w:val="0"/>
      <w:divBdr>
        <w:top w:val="none" w:sz="0" w:space="0" w:color="auto"/>
        <w:left w:val="none" w:sz="0" w:space="0" w:color="auto"/>
        <w:bottom w:val="none" w:sz="0" w:space="0" w:color="auto"/>
        <w:right w:val="none" w:sz="0" w:space="0" w:color="auto"/>
      </w:divBdr>
    </w:div>
    <w:div w:id="1520194522">
      <w:bodyDiv w:val="1"/>
      <w:marLeft w:val="0"/>
      <w:marRight w:val="0"/>
      <w:marTop w:val="0"/>
      <w:marBottom w:val="0"/>
      <w:divBdr>
        <w:top w:val="none" w:sz="0" w:space="0" w:color="auto"/>
        <w:left w:val="none" w:sz="0" w:space="0" w:color="auto"/>
        <w:bottom w:val="none" w:sz="0" w:space="0" w:color="auto"/>
        <w:right w:val="none" w:sz="0" w:space="0" w:color="auto"/>
      </w:divBdr>
    </w:div>
    <w:div w:id="1525823570">
      <w:bodyDiv w:val="1"/>
      <w:marLeft w:val="0"/>
      <w:marRight w:val="0"/>
      <w:marTop w:val="0"/>
      <w:marBottom w:val="0"/>
      <w:divBdr>
        <w:top w:val="none" w:sz="0" w:space="0" w:color="auto"/>
        <w:left w:val="none" w:sz="0" w:space="0" w:color="auto"/>
        <w:bottom w:val="none" w:sz="0" w:space="0" w:color="auto"/>
        <w:right w:val="none" w:sz="0" w:space="0" w:color="auto"/>
      </w:divBdr>
    </w:div>
    <w:div w:id="1536846379">
      <w:bodyDiv w:val="1"/>
      <w:marLeft w:val="0"/>
      <w:marRight w:val="0"/>
      <w:marTop w:val="0"/>
      <w:marBottom w:val="0"/>
      <w:divBdr>
        <w:top w:val="none" w:sz="0" w:space="0" w:color="auto"/>
        <w:left w:val="none" w:sz="0" w:space="0" w:color="auto"/>
        <w:bottom w:val="none" w:sz="0" w:space="0" w:color="auto"/>
        <w:right w:val="none" w:sz="0" w:space="0" w:color="auto"/>
      </w:divBdr>
    </w:div>
    <w:div w:id="1542783270">
      <w:bodyDiv w:val="1"/>
      <w:marLeft w:val="0"/>
      <w:marRight w:val="0"/>
      <w:marTop w:val="0"/>
      <w:marBottom w:val="0"/>
      <w:divBdr>
        <w:top w:val="none" w:sz="0" w:space="0" w:color="auto"/>
        <w:left w:val="none" w:sz="0" w:space="0" w:color="auto"/>
        <w:bottom w:val="none" w:sz="0" w:space="0" w:color="auto"/>
        <w:right w:val="none" w:sz="0" w:space="0" w:color="auto"/>
      </w:divBdr>
    </w:div>
    <w:div w:id="1546218476">
      <w:bodyDiv w:val="1"/>
      <w:marLeft w:val="0"/>
      <w:marRight w:val="0"/>
      <w:marTop w:val="0"/>
      <w:marBottom w:val="0"/>
      <w:divBdr>
        <w:top w:val="none" w:sz="0" w:space="0" w:color="auto"/>
        <w:left w:val="none" w:sz="0" w:space="0" w:color="auto"/>
        <w:bottom w:val="none" w:sz="0" w:space="0" w:color="auto"/>
        <w:right w:val="none" w:sz="0" w:space="0" w:color="auto"/>
      </w:divBdr>
    </w:div>
    <w:div w:id="1547982210">
      <w:bodyDiv w:val="1"/>
      <w:marLeft w:val="0"/>
      <w:marRight w:val="0"/>
      <w:marTop w:val="0"/>
      <w:marBottom w:val="0"/>
      <w:divBdr>
        <w:top w:val="none" w:sz="0" w:space="0" w:color="auto"/>
        <w:left w:val="none" w:sz="0" w:space="0" w:color="auto"/>
        <w:bottom w:val="none" w:sz="0" w:space="0" w:color="auto"/>
        <w:right w:val="none" w:sz="0" w:space="0" w:color="auto"/>
      </w:divBdr>
    </w:div>
    <w:div w:id="1549294529">
      <w:bodyDiv w:val="1"/>
      <w:marLeft w:val="0"/>
      <w:marRight w:val="0"/>
      <w:marTop w:val="0"/>
      <w:marBottom w:val="0"/>
      <w:divBdr>
        <w:top w:val="none" w:sz="0" w:space="0" w:color="auto"/>
        <w:left w:val="none" w:sz="0" w:space="0" w:color="auto"/>
        <w:bottom w:val="none" w:sz="0" w:space="0" w:color="auto"/>
        <w:right w:val="none" w:sz="0" w:space="0" w:color="auto"/>
      </w:divBdr>
    </w:div>
    <w:div w:id="1554347827">
      <w:bodyDiv w:val="1"/>
      <w:marLeft w:val="0"/>
      <w:marRight w:val="0"/>
      <w:marTop w:val="0"/>
      <w:marBottom w:val="0"/>
      <w:divBdr>
        <w:top w:val="none" w:sz="0" w:space="0" w:color="auto"/>
        <w:left w:val="none" w:sz="0" w:space="0" w:color="auto"/>
        <w:bottom w:val="none" w:sz="0" w:space="0" w:color="auto"/>
        <w:right w:val="none" w:sz="0" w:space="0" w:color="auto"/>
      </w:divBdr>
    </w:div>
    <w:div w:id="1555433905">
      <w:bodyDiv w:val="1"/>
      <w:marLeft w:val="0"/>
      <w:marRight w:val="0"/>
      <w:marTop w:val="0"/>
      <w:marBottom w:val="0"/>
      <w:divBdr>
        <w:top w:val="none" w:sz="0" w:space="0" w:color="auto"/>
        <w:left w:val="none" w:sz="0" w:space="0" w:color="auto"/>
        <w:bottom w:val="none" w:sz="0" w:space="0" w:color="auto"/>
        <w:right w:val="none" w:sz="0" w:space="0" w:color="auto"/>
      </w:divBdr>
    </w:div>
    <w:div w:id="1556621259">
      <w:bodyDiv w:val="1"/>
      <w:marLeft w:val="0"/>
      <w:marRight w:val="0"/>
      <w:marTop w:val="0"/>
      <w:marBottom w:val="0"/>
      <w:divBdr>
        <w:top w:val="none" w:sz="0" w:space="0" w:color="auto"/>
        <w:left w:val="none" w:sz="0" w:space="0" w:color="auto"/>
        <w:bottom w:val="none" w:sz="0" w:space="0" w:color="auto"/>
        <w:right w:val="none" w:sz="0" w:space="0" w:color="auto"/>
      </w:divBdr>
    </w:div>
    <w:div w:id="1558740884">
      <w:bodyDiv w:val="1"/>
      <w:marLeft w:val="0"/>
      <w:marRight w:val="0"/>
      <w:marTop w:val="0"/>
      <w:marBottom w:val="0"/>
      <w:divBdr>
        <w:top w:val="none" w:sz="0" w:space="0" w:color="auto"/>
        <w:left w:val="none" w:sz="0" w:space="0" w:color="auto"/>
        <w:bottom w:val="none" w:sz="0" w:space="0" w:color="auto"/>
        <w:right w:val="none" w:sz="0" w:space="0" w:color="auto"/>
      </w:divBdr>
    </w:div>
    <w:div w:id="1559784429">
      <w:bodyDiv w:val="1"/>
      <w:marLeft w:val="0"/>
      <w:marRight w:val="0"/>
      <w:marTop w:val="0"/>
      <w:marBottom w:val="0"/>
      <w:divBdr>
        <w:top w:val="none" w:sz="0" w:space="0" w:color="auto"/>
        <w:left w:val="none" w:sz="0" w:space="0" w:color="auto"/>
        <w:bottom w:val="none" w:sz="0" w:space="0" w:color="auto"/>
        <w:right w:val="none" w:sz="0" w:space="0" w:color="auto"/>
      </w:divBdr>
    </w:div>
    <w:div w:id="1563053836">
      <w:bodyDiv w:val="1"/>
      <w:marLeft w:val="0"/>
      <w:marRight w:val="0"/>
      <w:marTop w:val="0"/>
      <w:marBottom w:val="0"/>
      <w:divBdr>
        <w:top w:val="none" w:sz="0" w:space="0" w:color="auto"/>
        <w:left w:val="none" w:sz="0" w:space="0" w:color="auto"/>
        <w:bottom w:val="none" w:sz="0" w:space="0" w:color="auto"/>
        <w:right w:val="none" w:sz="0" w:space="0" w:color="auto"/>
      </w:divBdr>
    </w:div>
    <w:div w:id="1565333147">
      <w:bodyDiv w:val="1"/>
      <w:marLeft w:val="0"/>
      <w:marRight w:val="0"/>
      <w:marTop w:val="0"/>
      <w:marBottom w:val="0"/>
      <w:divBdr>
        <w:top w:val="none" w:sz="0" w:space="0" w:color="auto"/>
        <w:left w:val="none" w:sz="0" w:space="0" w:color="auto"/>
        <w:bottom w:val="none" w:sz="0" w:space="0" w:color="auto"/>
        <w:right w:val="none" w:sz="0" w:space="0" w:color="auto"/>
      </w:divBdr>
    </w:div>
    <w:div w:id="1567495149">
      <w:bodyDiv w:val="1"/>
      <w:marLeft w:val="0"/>
      <w:marRight w:val="0"/>
      <w:marTop w:val="0"/>
      <w:marBottom w:val="0"/>
      <w:divBdr>
        <w:top w:val="none" w:sz="0" w:space="0" w:color="auto"/>
        <w:left w:val="none" w:sz="0" w:space="0" w:color="auto"/>
        <w:bottom w:val="none" w:sz="0" w:space="0" w:color="auto"/>
        <w:right w:val="none" w:sz="0" w:space="0" w:color="auto"/>
      </w:divBdr>
    </w:div>
    <w:div w:id="1589579951">
      <w:bodyDiv w:val="1"/>
      <w:marLeft w:val="0"/>
      <w:marRight w:val="0"/>
      <w:marTop w:val="0"/>
      <w:marBottom w:val="0"/>
      <w:divBdr>
        <w:top w:val="none" w:sz="0" w:space="0" w:color="auto"/>
        <w:left w:val="none" w:sz="0" w:space="0" w:color="auto"/>
        <w:bottom w:val="none" w:sz="0" w:space="0" w:color="auto"/>
        <w:right w:val="none" w:sz="0" w:space="0" w:color="auto"/>
      </w:divBdr>
    </w:div>
    <w:div w:id="1595476702">
      <w:bodyDiv w:val="1"/>
      <w:marLeft w:val="0"/>
      <w:marRight w:val="0"/>
      <w:marTop w:val="0"/>
      <w:marBottom w:val="0"/>
      <w:divBdr>
        <w:top w:val="none" w:sz="0" w:space="0" w:color="auto"/>
        <w:left w:val="none" w:sz="0" w:space="0" w:color="auto"/>
        <w:bottom w:val="none" w:sz="0" w:space="0" w:color="auto"/>
        <w:right w:val="none" w:sz="0" w:space="0" w:color="auto"/>
      </w:divBdr>
    </w:div>
    <w:div w:id="1596670197">
      <w:bodyDiv w:val="1"/>
      <w:marLeft w:val="0"/>
      <w:marRight w:val="0"/>
      <w:marTop w:val="0"/>
      <w:marBottom w:val="0"/>
      <w:divBdr>
        <w:top w:val="none" w:sz="0" w:space="0" w:color="auto"/>
        <w:left w:val="none" w:sz="0" w:space="0" w:color="auto"/>
        <w:bottom w:val="none" w:sz="0" w:space="0" w:color="auto"/>
        <w:right w:val="none" w:sz="0" w:space="0" w:color="auto"/>
      </w:divBdr>
    </w:div>
    <w:div w:id="1598054807">
      <w:bodyDiv w:val="1"/>
      <w:marLeft w:val="0"/>
      <w:marRight w:val="0"/>
      <w:marTop w:val="0"/>
      <w:marBottom w:val="0"/>
      <w:divBdr>
        <w:top w:val="none" w:sz="0" w:space="0" w:color="auto"/>
        <w:left w:val="none" w:sz="0" w:space="0" w:color="auto"/>
        <w:bottom w:val="none" w:sz="0" w:space="0" w:color="auto"/>
        <w:right w:val="none" w:sz="0" w:space="0" w:color="auto"/>
      </w:divBdr>
    </w:div>
    <w:div w:id="1603762233">
      <w:bodyDiv w:val="1"/>
      <w:marLeft w:val="0"/>
      <w:marRight w:val="0"/>
      <w:marTop w:val="0"/>
      <w:marBottom w:val="0"/>
      <w:divBdr>
        <w:top w:val="none" w:sz="0" w:space="0" w:color="auto"/>
        <w:left w:val="none" w:sz="0" w:space="0" w:color="auto"/>
        <w:bottom w:val="none" w:sz="0" w:space="0" w:color="auto"/>
        <w:right w:val="none" w:sz="0" w:space="0" w:color="auto"/>
      </w:divBdr>
    </w:div>
    <w:div w:id="1608731387">
      <w:bodyDiv w:val="1"/>
      <w:marLeft w:val="0"/>
      <w:marRight w:val="0"/>
      <w:marTop w:val="0"/>
      <w:marBottom w:val="0"/>
      <w:divBdr>
        <w:top w:val="none" w:sz="0" w:space="0" w:color="auto"/>
        <w:left w:val="none" w:sz="0" w:space="0" w:color="auto"/>
        <w:bottom w:val="none" w:sz="0" w:space="0" w:color="auto"/>
        <w:right w:val="none" w:sz="0" w:space="0" w:color="auto"/>
      </w:divBdr>
    </w:div>
    <w:div w:id="1615598723">
      <w:bodyDiv w:val="1"/>
      <w:marLeft w:val="0"/>
      <w:marRight w:val="0"/>
      <w:marTop w:val="0"/>
      <w:marBottom w:val="0"/>
      <w:divBdr>
        <w:top w:val="none" w:sz="0" w:space="0" w:color="auto"/>
        <w:left w:val="none" w:sz="0" w:space="0" w:color="auto"/>
        <w:bottom w:val="none" w:sz="0" w:space="0" w:color="auto"/>
        <w:right w:val="none" w:sz="0" w:space="0" w:color="auto"/>
      </w:divBdr>
    </w:div>
    <w:div w:id="1615745487">
      <w:bodyDiv w:val="1"/>
      <w:marLeft w:val="0"/>
      <w:marRight w:val="0"/>
      <w:marTop w:val="0"/>
      <w:marBottom w:val="0"/>
      <w:divBdr>
        <w:top w:val="none" w:sz="0" w:space="0" w:color="auto"/>
        <w:left w:val="none" w:sz="0" w:space="0" w:color="auto"/>
        <w:bottom w:val="none" w:sz="0" w:space="0" w:color="auto"/>
        <w:right w:val="none" w:sz="0" w:space="0" w:color="auto"/>
      </w:divBdr>
    </w:div>
    <w:div w:id="1644384447">
      <w:bodyDiv w:val="1"/>
      <w:marLeft w:val="0"/>
      <w:marRight w:val="0"/>
      <w:marTop w:val="0"/>
      <w:marBottom w:val="0"/>
      <w:divBdr>
        <w:top w:val="none" w:sz="0" w:space="0" w:color="auto"/>
        <w:left w:val="none" w:sz="0" w:space="0" w:color="auto"/>
        <w:bottom w:val="none" w:sz="0" w:space="0" w:color="auto"/>
        <w:right w:val="none" w:sz="0" w:space="0" w:color="auto"/>
      </w:divBdr>
    </w:div>
    <w:div w:id="1650939137">
      <w:bodyDiv w:val="1"/>
      <w:marLeft w:val="0"/>
      <w:marRight w:val="0"/>
      <w:marTop w:val="0"/>
      <w:marBottom w:val="0"/>
      <w:divBdr>
        <w:top w:val="none" w:sz="0" w:space="0" w:color="auto"/>
        <w:left w:val="none" w:sz="0" w:space="0" w:color="auto"/>
        <w:bottom w:val="none" w:sz="0" w:space="0" w:color="auto"/>
        <w:right w:val="none" w:sz="0" w:space="0" w:color="auto"/>
      </w:divBdr>
    </w:div>
    <w:div w:id="1651130071">
      <w:bodyDiv w:val="1"/>
      <w:marLeft w:val="0"/>
      <w:marRight w:val="0"/>
      <w:marTop w:val="0"/>
      <w:marBottom w:val="0"/>
      <w:divBdr>
        <w:top w:val="none" w:sz="0" w:space="0" w:color="auto"/>
        <w:left w:val="none" w:sz="0" w:space="0" w:color="auto"/>
        <w:bottom w:val="none" w:sz="0" w:space="0" w:color="auto"/>
        <w:right w:val="none" w:sz="0" w:space="0" w:color="auto"/>
      </w:divBdr>
    </w:div>
    <w:div w:id="1651472175">
      <w:bodyDiv w:val="1"/>
      <w:marLeft w:val="0"/>
      <w:marRight w:val="0"/>
      <w:marTop w:val="0"/>
      <w:marBottom w:val="0"/>
      <w:divBdr>
        <w:top w:val="none" w:sz="0" w:space="0" w:color="auto"/>
        <w:left w:val="none" w:sz="0" w:space="0" w:color="auto"/>
        <w:bottom w:val="none" w:sz="0" w:space="0" w:color="auto"/>
        <w:right w:val="none" w:sz="0" w:space="0" w:color="auto"/>
      </w:divBdr>
    </w:div>
    <w:div w:id="1668439145">
      <w:bodyDiv w:val="1"/>
      <w:marLeft w:val="0"/>
      <w:marRight w:val="0"/>
      <w:marTop w:val="0"/>
      <w:marBottom w:val="0"/>
      <w:divBdr>
        <w:top w:val="none" w:sz="0" w:space="0" w:color="auto"/>
        <w:left w:val="none" w:sz="0" w:space="0" w:color="auto"/>
        <w:bottom w:val="none" w:sz="0" w:space="0" w:color="auto"/>
        <w:right w:val="none" w:sz="0" w:space="0" w:color="auto"/>
      </w:divBdr>
    </w:div>
    <w:div w:id="1668943212">
      <w:bodyDiv w:val="1"/>
      <w:marLeft w:val="0"/>
      <w:marRight w:val="0"/>
      <w:marTop w:val="0"/>
      <w:marBottom w:val="0"/>
      <w:divBdr>
        <w:top w:val="none" w:sz="0" w:space="0" w:color="auto"/>
        <w:left w:val="none" w:sz="0" w:space="0" w:color="auto"/>
        <w:bottom w:val="none" w:sz="0" w:space="0" w:color="auto"/>
        <w:right w:val="none" w:sz="0" w:space="0" w:color="auto"/>
      </w:divBdr>
    </w:div>
    <w:div w:id="1670937119">
      <w:bodyDiv w:val="1"/>
      <w:marLeft w:val="0"/>
      <w:marRight w:val="0"/>
      <w:marTop w:val="0"/>
      <w:marBottom w:val="0"/>
      <w:divBdr>
        <w:top w:val="none" w:sz="0" w:space="0" w:color="auto"/>
        <w:left w:val="none" w:sz="0" w:space="0" w:color="auto"/>
        <w:bottom w:val="none" w:sz="0" w:space="0" w:color="auto"/>
        <w:right w:val="none" w:sz="0" w:space="0" w:color="auto"/>
      </w:divBdr>
    </w:div>
    <w:div w:id="1671907338">
      <w:bodyDiv w:val="1"/>
      <w:marLeft w:val="0"/>
      <w:marRight w:val="0"/>
      <w:marTop w:val="0"/>
      <w:marBottom w:val="0"/>
      <w:divBdr>
        <w:top w:val="none" w:sz="0" w:space="0" w:color="auto"/>
        <w:left w:val="none" w:sz="0" w:space="0" w:color="auto"/>
        <w:bottom w:val="none" w:sz="0" w:space="0" w:color="auto"/>
        <w:right w:val="none" w:sz="0" w:space="0" w:color="auto"/>
      </w:divBdr>
    </w:div>
    <w:div w:id="1674722612">
      <w:bodyDiv w:val="1"/>
      <w:marLeft w:val="0"/>
      <w:marRight w:val="0"/>
      <w:marTop w:val="0"/>
      <w:marBottom w:val="0"/>
      <w:divBdr>
        <w:top w:val="none" w:sz="0" w:space="0" w:color="auto"/>
        <w:left w:val="none" w:sz="0" w:space="0" w:color="auto"/>
        <w:bottom w:val="none" w:sz="0" w:space="0" w:color="auto"/>
        <w:right w:val="none" w:sz="0" w:space="0" w:color="auto"/>
      </w:divBdr>
    </w:div>
    <w:div w:id="1680812476">
      <w:bodyDiv w:val="1"/>
      <w:marLeft w:val="0"/>
      <w:marRight w:val="0"/>
      <w:marTop w:val="0"/>
      <w:marBottom w:val="0"/>
      <w:divBdr>
        <w:top w:val="none" w:sz="0" w:space="0" w:color="auto"/>
        <w:left w:val="none" w:sz="0" w:space="0" w:color="auto"/>
        <w:bottom w:val="none" w:sz="0" w:space="0" w:color="auto"/>
        <w:right w:val="none" w:sz="0" w:space="0" w:color="auto"/>
      </w:divBdr>
    </w:div>
    <w:div w:id="1693336664">
      <w:bodyDiv w:val="1"/>
      <w:marLeft w:val="0"/>
      <w:marRight w:val="0"/>
      <w:marTop w:val="0"/>
      <w:marBottom w:val="0"/>
      <w:divBdr>
        <w:top w:val="none" w:sz="0" w:space="0" w:color="auto"/>
        <w:left w:val="none" w:sz="0" w:space="0" w:color="auto"/>
        <w:bottom w:val="none" w:sz="0" w:space="0" w:color="auto"/>
        <w:right w:val="none" w:sz="0" w:space="0" w:color="auto"/>
      </w:divBdr>
    </w:div>
    <w:div w:id="1694648090">
      <w:bodyDiv w:val="1"/>
      <w:marLeft w:val="0"/>
      <w:marRight w:val="0"/>
      <w:marTop w:val="0"/>
      <w:marBottom w:val="0"/>
      <w:divBdr>
        <w:top w:val="none" w:sz="0" w:space="0" w:color="auto"/>
        <w:left w:val="none" w:sz="0" w:space="0" w:color="auto"/>
        <w:bottom w:val="none" w:sz="0" w:space="0" w:color="auto"/>
        <w:right w:val="none" w:sz="0" w:space="0" w:color="auto"/>
      </w:divBdr>
    </w:div>
    <w:div w:id="1701317836">
      <w:bodyDiv w:val="1"/>
      <w:marLeft w:val="0"/>
      <w:marRight w:val="0"/>
      <w:marTop w:val="0"/>
      <w:marBottom w:val="0"/>
      <w:divBdr>
        <w:top w:val="none" w:sz="0" w:space="0" w:color="auto"/>
        <w:left w:val="none" w:sz="0" w:space="0" w:color="auto"/>
        <w:bottom w:val="none" w:sz="0" w:space="0" w:color="auto"/>
        <w:right w:val="none" w:sz="0" w:space="0" w:color="auto"/>
      </w:divBdr>
    </w:div>
    <w:div w:id="1703092001">
      <w:bodyDiv w:val="1"/>
      <w:marLeft w:val="0"/>
      <w:marRight w:val="0"/>
      <w:marTop w:val="0"/>
      <w:marBottom w:val="0"/>
      <w:divBdr>
        <w:top w:val="none" w:sz="0" w:space="0" w:color="auto"/>
        <w:left w:val="none" w:sz="0" w:space="0" w:color="auto"/>
        <w:bottom w:val="none" w:sz="0" w:space="0" w:color="auto"/>
        <w:right w:val="none" w:sz="0" w:space="0" w:color="auto"/>
      </w:divBdr>
    </w:div>
    <w:div w:id="1714160887">
      <w:bodyDiv w:val="1"/>
      <w:marLeft w:val="0"/>
      <w:marRight w:val="0"/>
      <w:marTop w:val="0"/>
      <w:marBottom w:val="0"/>
      <w:divBdr>
        <w:top w:val="none" w:sz="0" w:space="0" w:color="auto"/>
        <w:left w:val="none" w:sz="0" w:space="0" w:color="auto"/>
        <w:bottom w:val="none" w:sz="0" w:space="0" w:color="auto"/>
        <w:right w:val="none" w:sz="0" w:space="0" w:color="auto"/>
      </w:divBdr>
    </w:div>
    <w:div w:id="1725911610">
      <w:bodyDiv w:val="1"/>
      <w:marLeft w:val="0"/>
      <w:marRight w:val="0"/>
      <w:marTop w:val="0"/>
      <w:marBottom w:val="0"/>
      <w:divBdr>
        <w:top w:val="none" w:sz="0" w:space="0" w:color="auto"/>
        <w:left w:val="none" w:sz="0" w:space="0" w:color="auto"/>
        <w:bottom w:val="none" w:sz="0" w:space="0" w:color="auto"/>
        <w:right w:val="none" w:sz="0" w:space="0" w:color="auto"/>
      </w:divBdr>
    </w:div>
    <w:div w:id="1731224054">
      <w:bodyDiv w:val="1"/>
      <w:marLeft w:val="0"/>
      <w:marRight w:val="0"/>
      <w:marTop w:val="0"/>
      <w:marBottom w:val="0"/>
      <w:divBdr>
        <w:top w:val="none" w:sz="0" w:space="0" w:color="auto"/>
        <w:left w:val="none" w:sz="0" w:space="0" w:color="auto"/>
        <w:bottom w:val="none" w:sz="0" w:space="0" w:color="auto"/>
        <w:right w:val="none" w:sz="0" w:space="0" w:color="auto"/>
      </w:divBdr>
    </w:div>
    <w:div w:id="1763333437">
      <w:bodyDiv w:val="1"/>
      <w:marLeft w:val="0"/>
      <w:marRight w:val="0"/>
      <w:marTop w:val="0"/>
      <w:marBottom w:val="0"/>
      <w:divBdr>
        <w:top w:val="none" w:sz="0" w:space="0" w:color="auto"/>
        <w:left w:val="none" w:sz="0" w:space="0" w:color="auto"/>
        <w:bottom w:val="none" w:sz="0" w:space="0" w:color="auto"/>
        <w:right w:val="none" w:sz="0" w:space="0" w:color="auto"/>
      </w:divBdr>
    </w:div>
    <w:div w:id="1769622111">
      <w:bodyDiv w:val="1"/>
      <w:marLeft w:val="0"/>
      <w:marRight w:val="0"/>
      <w:marTop w:val="0"/>
      <w:marBottom w:val="0"/>
      <w:divBdr>
        <w:top w:val="none" w:sz="0" w:space="0" w:color="auto"/>
        <w:left w:val="none" w:sz="0" w:space="0" w:color="auto"/>
        <w:bottom w:val="none" w:sz="0" w:space="0" w:color="auto"/>
        <w:right w:val="none" w:sz="0" w:space="0" w:color="auto"/>
      </w:divBdr>
    </w:div>
    <w:div w:id="1780294608">
      <w:bodyDiv w:val="1"/>
      <w:marLeft w:val="0"/>
      <w:marRight w:val="0"/>
      <w:marTop w:val="0"/>
      <w:marBottom w:val="0"/>
      <w:divBdr>
        <w:top w:val="none" w:sz="0" w:space="0" w:color="auto"/>
        <w:left w:val="none" w:sz="0" w:space="0" w:color="auto"/>
        <w:bottom w:val="none" w:sz="0" w:space="0" w:color="auto"/>
        <w:right w:val="none" w:sz="0" w:space="0" w:color="auto"/>
      </w:divBdr>
    </w:div>
    <w:div w:id="1787891966">
      <w:bodyDiv w:val="1"/>
      <w:marLeft w:val="0"/>
      <w:marRight w:val="0"/>
      <w:marTop w:val="0"/>
      <w:marBottom w:val="0"/>
      <w:divBdr>
        <w:top w:val="none" w:sz="0" w:space="0" w:color="auto"/>
        <w:left w:val="none" w:sz="0" w:space="0" w:color="auto"/>
        <w:bottom w:val="none" w:sz="0" w:space="0" w:color="auto"/>
        <w:right w:val="none" w:sz="0" w:space="0" w:color="auto"/>
      </w:divBdr>
    </w:div>
    <w:div w:id="1801073019">
      <w:bodyDiv w:val="1"/>
      <w:marLeft w:val="0"/>
      <w:marRight w:val="0"/>
      <w:marTop w:val="0"/>
      <w:marBottom w:val="0"/>
      <w:divBdr>
        <w:top w:val="none" w:sz="0" w:space="0" w:color="auto"/>
        <w:left w:val="none" w:sz="0" w:space="0" w:color="auto"/>
        <w:bottom w:val="none" w:sz="0" w:space="0" w:color="auto"/>
        <w:right w:val="none" w:sz="0" w:space="0" w:color="auto"/>
      </w:divBdr>
    </w:div>
    <w:div w:id="1804150563">
      <w:bodyDiv w:val="1"/>
      <w:marLeft w:val="0"/>
      <w:marRight w:val="0"/>
      <w:marTop w:val="0"/>
      <w:marBottom w:val="0"/>
      <w:divBdr>
        <w:top w:val="none" w:sz="0" w:space="0" w:color="auto"/>
        <w:left w:val="none" w:sz="0" w:space="0" w:color="auto"/>
        <w:bottom w:val="none" w:sz="0" w:space="0" w:color="auto"/>
        <w:right w:val="none" w:sz="0" w:space="0" w:color="auto"/>
      </w:divBdr>
    </w:div>
    <w:div w:id="1810781112">
      <w:bodyDiv w:val="1"/>
      <w:marLeft w:val="0"/>
      <w:marRight w:val="0"/>
      <w:marTop w:val="0"/>
      <w:marBottom w:val="0"/>
      <w:divBdr>
        <w:top w:val="none" w:sz="0" w:space="0" w:color="auto"/>
        <w:left w:val="none" w:sz="0" w:space="0" w:color="auto"/>
        <w:bottom w:val="none" w:sz="0" w:space="0" w:color="auto"/>
        <w:right w:val="none" w:sz="0" w:space="0" w:color="auto"/>
      </w:divBdr>
    </w:div>
    <w:div w:id="1811628140">
      <w:bodyDiv w:val="1"/>
      <w:marLeft w:val="0"/>
      <w:marRight w:val="0"/>
      <w:marTop w:val="0"/>
      <w:marBottom w:val="0"/>
      <w:divBdr>
        <w:top w:val="none" w:sz="0" w:space="0" w:color="auto"/>
        <w:left w:val="none" w:sz="0" w:space="0" w:color="auto"/>
        <w:bottom w:val="none" w:sz="0" w:space="0" w:color="auto"/>
        <w:right w:val="none" w:sz="0" w:space="0" w:color="auto"/>
      </w:divBdr>
    </w:div>
    <w:div w:id="1815218202">
      <w:bodyDiv w:val="1"/>
      <w:marLeft w:val="0"/>
      <w:marRight w:val="0"/>
      <w:marTop w:val="0"/>
      <w:marBottom w:val="0"/>
      <w:divBdr>
        <w:top w:val="none" w:sz="0" w:space="0" w:color="auto"/>
        <w:left w:val="none" w:sz="0" w:space="0" w:color="auto"/>
        <w:bottom w:val="none" w:sz="0" w:space="0" w:color="auto"/>
        <w:right w:val="none" w:sz="0" w:space="0" w:color="auto"/>
      </w:divBdr>
    </w:div>
    <w:div w:id="1818380498">
      <w:bodyDiv w:val="1"/>
      <w:marLeft w:val="0"/>
      <w:marRight w:val="0"/>
      <w:marTop w:val="0"/>
      <w:marBottom w:val="0"/>
      <w:divBdr>
        <w:top w:val="none" w:sz="0" w:space="0" w:color="auto"/>
        <w:left w:val="none" w:sz="0" w:space="0" w:color="auto"/>
        <w:bottom w:val="none" w:sz="0" w:space="0" w:color="auto"/>
        <w:right w:val="none" w:sz="0" w:space="0" w:color="auto"/>
      </w:divBdr>
    </w:div>
    <w:div w:id="1825004240">
      <w:bodyDiv w:val="1"/>
      <w:marLeft w:val="0"/>
      <w:marRight w:val="0"/>
      <w:marTop w:val="0"/>
      <w:marBottom w:val="0"/>
      <w:divBdr>
        <w:top w:val="none" w:sz="0" w:space="0" w:color="auto"/>
        <w:left w:val="none" w:sz="0" w:space="0" w:color="auto"/>
        <w:bottom w:val="none" w:sz="0" w:space="0" w:color="auto"/>
        <w:right w:val="none" w:sz="0" w:space="0" w:color="auto"/>
      </w:divBdr>
    </w:div>
    <w:div w:id="1830511833">
      <w:bodyDiv w:val="1"/>
      <w:marLeft w:val="0"/>
      <w:marRight w:val="0"/>
      <w:marTop w:val="0"/>
      <w:marBottom w:val="0"/>
      <w:divBdr>
        <w:top w:val="none" w:sz="0" w:space="0" w:color="auto"/>
        <w:left w:val="none" w:sz="0" w:space="0" w:color="auto"/>
        <w:bottom w:val="none" w:sz="0" w:space="0" w:color="auto"/>
        <w:right w:val="none" w:sz="0" w:space="0" w:color="auto"/>
      </w:divBdr>
    </w:div>
    <w:div w:id="1842619939">
      <w:bodyDiv w:val="1"/>
      <w:marLeft w:val="0"/>
      <w:marRight w:val="0"/>
      <w:marTop w:val="0"/>
      <w:marBottom w:val="0"/>
      <w:divBdr>
        <w:top w:val="none" w:sz="0" w:space="0" w:color="auto"/>
        <w:left w:val="none" w:sz="0" w:space="0" w:color="auto"/>
        <w:bottom w:val="none" w:sz="0" w:space="0" w:color="auto"/>
        <w:right w:val="none" w:sz="0" w:space="0" w:color="auto"/>
      </w:divBdr>
    </w:div>
    <w:div w:id="1844122716">
      <w:bodyDiv w:val="1"/>
      <w:marLeft w:val="0"/>
      <w:marRight w:val="0"/>
      <w:marTop w:val="0"/>
      <w:marBottom w:val="0"/>
      <w:divBdr>
        <w:top w:val="none" w:sz="0" w:space="0" w:color="auto"/>
        <w:left w:val="none" w:sz="0" w:space="0" w:color="auto"/>
        <w:bottom w:val="none" w:sz="0" w:space="0" w:color="auto"/>
        <w:right w:val="none" w:sz="0" w:space="0" w:color="auto"/>
      </w:divBdr>
    </w:div>
    <w:div w:id="1848786314">
      <w:bodyDiv w:val="1"/>
      <w:marLeft w:val="0"/>
      <w:marRight w:val="0"/>
      <w:marTop w:val="0"/>
      <w:marBottom w:val="0"/>
      <w:divBdr>
        <w:top w:val="none" w:sz="0" w:space="0" w:color="auto"/>
        <w:left w:val="none" w:sz="0" w:space="0" w:color="auto"/>
        <w:bottom w:val="none" w:sz="0" w:space="0" w:color="auto"/>
        <w:right w:val="none" w:sz="0" w:space="0" w:color="auto"/>
      </w:divBdr>
    </w:div>
    <w:div w:id="1852329053">
      <w:bodyDiv w:val="1"/>
      <w:marLeft w:val="0"/>
      <w:marRight w:val="0"/>
      <w:marTop w:val="0"/>
      <w:marBottom w:val="0"/>
      <w:divBdr>
        <w:top w:val="none" w:sz="0" w:space="0" w:color="auto"/>
        <w:left w:val="none" w:sz="0" w:space="0" w:color="auto"/>
        <w:bottom w:val="none" w:sz="0" w:space="0" w:color="auto"/>
        <w:right w:val="none" w:sz="0" w:space="0" w:color="auto"/>
      </w:divBdr>
    </w:div>
    <w:div w:id="1852833836">
      <w:bodyDiv w:val="1"/>
      <w:marLeft w:val="0"/>
      <w:marRight w:val="0"/>
      <w:marTop w:val="0"/>
      <w:marBottom w:val="0"/>
      <w:divBdr>
        <w:top w:val="none" w:sz="0" w:space="0" w:color="auto"/>
        <w:left w:val="none" w:sz="0" w:space="0" w:color="auto"/>
        <w:bottom w:val="none" w:sz="0" w:space="0" w:color="auto"/>
        <w:right w:val="none" w:sz="0" w:space="0" w:color="auto"/>
      </w:divBdr>
    </w:div>
    <w:div w:id="1853688217">
      <w:bodyDiv w:val="1"/>
      <w:marLeft w:val="0"/>
      <w:marRight w:val="0"/>
      <w:marTop w:val="0"/>
      <w:marBottom w:val="0"/>
      <w:divBdr>
        <w:top w:val="none" w:sz="0" w:space="0" w:color="auto"/>
        <w:left w:val="none" w:sz="0" w:space="0" w:color="auto"/>
        <w:bottom w:val="none" w:sz="0" w:space="0" w:color="auto"/>
        <w:right w:val="none" w:sz="0" w:space="0" w:color="auto"/>
      </w:divBdr>
    </w:div>
    <w:div w:id="1856263290">
      <w:bodyDiv w:val="1"/>
      <w:marLeft w:val="0"/>
      <w:marRight w:val="0"/>
      <w:marTop w:val="0"/>
      <w:marBottom w:val="0"/>
      <w:divBdr>
        <w:top w:val="none" w:sz="0" w:space="0" w:color="auto"/>
        <w:left w:val="none" w:sz="0" w:space="0" w:color="auto"/>
        <w:bottom w:val="none" w:sz="0" w:space="0" w:color="auto"/>
        <w:right w:val="none" w:sz="0" w:space="0" w:color="auto"/>
      </w:divBdr>
    </w:div>
    <w:div w:id="1862427417">
      <w:bodyDiv w:val="1"/>
      <w:marLeft w:val="0"/>
      <w:marRight w:val="0"/>
      <w:marTop w:val="0"/>
      <w:marBottom w:val="0"/>
      <w:divBdr>
        <w:top w:val="none" w:sz="0" w:space="0" w:color="auto"/>
        <w:left w:val="none" w:sz="0" w:space="0" w:color="auto"/>
        <w:bottom w:val="none" w:sz="0" w:space="0" w:color="auto"/>
        <w:right w:val="none" w:sz="0" w:space="0" w:color="auto"/>
      </w:divBdr>
    </w:div>
    <w:div w:id="1866557266">
      <w:bodyDiv w:val="1"/>
      <w:marLeft w:val="0"/>
      <w:marRight w:val="0"/>
      <w:marTop w:val="0"/>
      <w:marBottom w:val="0"/>
      <w:divBdr>
        <w:top w:val="none" w:sz="0" w:space="0" w:color="auto"/>
        <w:left w:val="none" w:sz="0" w:space="0" w:color="auto"/>
        <w:bottom w:val="none" w:sz="0" w:space="0" w:color="auto"/>
        <w:right w:val="none" w:sz="0" w:space="0" w:color="auto"/>
      </w:divBdr>
    </w:div>
    <w:div w:id="1877041826">
      <w:bodyDiv w:val="1"/>
      <w:marLeft w:val="0"/>
      <w:marRight w:val="0"/>
      <w:marTop w:val="0"/>
      <w:marBottom w:val="0"/>
      <w:divBdr>
        <w:top w:val="none" w:sz="0" w:space="0" w:color="auto"/>
        <w:left w:val="none" w:sz="0" w:space="0" w:color="auto"/>
        <w:bottom w:val="none" w:sz="0" w:space="0" w:color="auto"/>
        <w:right w:val="none" w:sz="0" w:space="0" w:color="auto"/>
      </w:divBdr>
    </w:div>
    <w:div w:id="1880244641">
      <w:bodyDiv w:val="1"/>
      <w:marLeft w:val="0"/>
      <w:marRight w:val="0"/>
      <w:marTop w:val="0"/>
      <w:marBottom w:val="0"/>
      <w:divBdr>
        <w:top w:val="none" w:sz="0" w:space="0" w:color="auto"/>
        <w:left w:val="none" w:sz="0" w:space="0" w:color="auto"/>
        <w:bottom w:val="none" w:sz="0" w:space="0" w:color="auto"/>
        <w:right w:val="none" w:sz="0" w:space="0" w:color="auto"/>
      </w:divBdr>
    </w:div>
    <w:div w:id="1891070323">
      <w:bodyDiv w:val="1"/>
      <w:marLeft w:val="0"/>
      <w:marRight w:val="0"/>
      <w:marTop w:val="0"/>
      <w:marBottom w:val="0"/>
      <w:divBdr>
        <w:top w:val="none" w:sz="0" w:space="0" w:color="auto"/>
        <w:left w:val="none" w:sz="0" w:space="0" w:color="auto"/>
        <w:bottom w:val="none" w:sz="0" w:space="0" w:color="auto"/>
        <w:right w:val="none" w:sz="0" w:space="0" w:color="auto"/>
      </w:divBdr>
    </w:div>
    <w:div w:id="1922568208">
      <w:bodyDiv w:val="1"/>
      <w:marLeft w:val="0"/>
      <w:marRight w:val="0"/>
      <w:marTop w:val="0"/>
      <w:marBottom w:val="0"/>
      <w:divBdr>
        <w:top w:val="none" w:sz="0" w:space="0" w:color="auto"/>
        <w:left w:val="none" w:sz="0" w:space="0" w:color="auto"/>
        <w:bottom w:val="none" w:sz="0" w:space="0" w:color="auto"/>
        <w:right w:val="none" w:sz="0" w:space="0" w:color="auto"/>
      </w:divBdr>
    </w:div>
    <w:div w:id="1924336511">
      <w:bodyDiv w:val="1"/>
      <w:marLeft w:val="0"/>
      <w:marRight w:val="0"/>
      <w:marTop w:val="0"/>
      <w:marBottom w:val="0"/>
      <w:divBdr>
        <w:top w:val="none" w:sz="0" w:space="0" w:color="auto"/>
        <w:left w:val="none" w:sz="0" w:space="0" w:color="auto"/>
        <w:bottom w:val="none" w:sz="0" w:space="0" w:color="auto"/>
        <w:right w:val="none" w:sz="0" w:space="0" w:color="auto"/>
      </w:divBdr>
    </w:div>
    <w:div w:id="1936092154">
      <w:bodyDiv w:val="1"/>
      <w:marLeft w:val="0"/>
      <w:marRight w:val="0"/>
      <w:marTop w:val="0"/>
      <w:marBottom w:val="0"/>
      <w:divBdr>
        <w:top w:val="none" w:sz="0" w:space="0" w:color="auto"/>
        <w:left w:val="none" w:sz="0" w:space="0" w:color="auto"/>
        <w:bottom w:val="none" w:sz="0" w:space="0" w:color="auto"/>
        <w:right w:val="none" w:sz="0" w:space="0" w:color="auto"/>
      </w:divBdr>
    </w:div>
    <w:div w:id="1940676189">
      <w:bodyDiv w:val="1"/>
      <w:marLeft w:val="0"/>
      <w:marRight w:val="0"/>
      <w:marTop w:val="0"/>
      <w:marBottom w:val="0"/>
      <w:divBdr>
        <w:top w:val="none" w:sz="0" w:space="0" w:color="auto"/>
        <w:left w:val="none" w:sz="0" w:space="0" w:color="auto"/>
        <w:bottom w:val="none" w:sz="0" w:space="0" w:color="auto"/>
        <w:right w:val="none" w:sz="0" w:space="0" w:color="auto"/>
      </w:divBdr>
    </w:div>
    <w:div w:id="1955163898">
      <w:bodyDiv w:val="1"/>
      <w:marLeft w:val="0"/>
      <w:marRight w:val="0"/>
      <w:marTop w:val="0"/>
      <w:marBottom w:val="0"/>
      <w:divBdr>
        <w:top w:val="none" w:sz="0" w:space="0" w:color="auto"/>
        <w:left w:val="none" w:sz="0" w:space="0" w:color="auto"/>
        <w:bottom w:val="none" w:sz="0" w:space="0" w:color="auto"/>
        <w:right w:val="none" w:sz="0" w:space="0" w:color="auto"/>
      </w:divBdr>
    </w:div>
    <w:div w:id="1959872160">
      <w:bodyDiv w:val="1"/>
      <w:marLeft w:val="0"/>
      <w:marRight w:val="0"/>
      <w:marTop w:val="0"/>
      <w:marBottom w:val="0"/>
      <w:divBdr>
        <w:top w:val="none" w:sz="0" w:space="0" w:color="auto"/>
        <w:left w:val="none" w:sz="0" w:space="0" w:color="auto"/>
        <w:bottom w:val="none" w:sz="0" w:space="0" w:color="auto"/>
        <w:right w:val="none" w:sz="0" w:space="0" w:color="auto"/>
      </w:divBdr>
    </w:div>
    <w:div w:id="1976256664">
      <w:bodyDiv w:val="1"/>
      <w:marLeft w:val="0"/>
      <w:marRight w:val="0"/>
      <w:marTop w:val="0"/>
      <w:marBottom w:val="0"/>
      <w:divBdr>
        <w:top w:val="none" w:sz="0" w:space="0" w:color="auto"/>
        <w:left w:val="none" w:sz="0" w:space="0" w:color="auto"/>
        <w:bottom w:val="none" w:sz="0" w:space="0" w:color="auto"/>
        <w:right w:val="none" w:sz="0" w:space="0" w:color="auto"/>
      </w:divBdr>
    </w:div>
    <w:div w:id="1977564718">
      <w:bodyDiv w:val="1"/>
      <w:marLeft w:val="0"/>
      <w:marRight w:val="0"/>
      <w:marTop w:val="0"/>
      <w:marBottom w:val="0"/>
      <w:divBdr>
        <w:top w:val="none" w:sz="0" w:space="0" w:color="auto"/>
        <w:left w:val="none" w:sz="0" w:space="0" w:color="auto"/>
        <w:bottom w:val="none" w:sz="0" w:space="0" w:color="auto"/>
        <w:right w:val="none" w:sz="0" w:space="0" w:color="auto"/>
      </w:divBdr>
    </w:div>
    <w:div w:id="1980115143">
      <w:bodyDiv w:val="1"/>
      <w:marLeft w:val="0"/>
      <w:marRight w:val="0"/>
      <w:marTop w:val="0"/>
      <w:marBottom w:val="0"/>
      <w:divBdr>
        <w:top w:val="none" w:sz="0" w:space="0" w:color="auto"/>
        <w:left w:val="none" w:sz="0" w:space="0" w:color="auto"/>
        <w:bottom w:val="none" w:sz="0" w:space="0" w:color="auto"/>
        <w:right w:val="none" w:sz="0" w:space="0" w:color="auto"/>
      </w:divBdr>
    </w:div>
    <w:div w:id="1989431123">
      <w:bodyDiv w:val="1"/>
      <w:marLeft w:val="0"/>
      <w:marRight w:val="0"/>
      <w:marTop w:val="0"/>
      <w:marBottom w:val="0"/>
      <w:divBdr>
        <w:top w:val="none" w:sz="0" w:space="0" w:color="auto"/>
        <w:left w:val="none" w:sz="0" w:space="0" w:color="auto"/>
        <w:bottom w:val="none" w:sz="0" w:space="0" w:color="auto"/>
        <w:right w:val="none" w:sz="0" w:space="0" w:color="auto"/>
      </w:divBdr>
    </w:div>
    <w:div w:id="1995139521">
      <w:bodyDiv w:val="1"/>
      <w:marLeft w:val="0"/>
      <w:marRight w:val="0"/>
      <w:marTop w:val="0"/>
      <w:marBottom w:val="0"/>
      <w:divBdr>
        <w:top w:val="none" w:sz="0" w:space="0" w:color="auto"/>
        <w:left w:val="none" w:sz="0" w:space="0" w:color="auto"/>
        <w:bottom w:val="none" w:sz="0" w:space="0" w:color="auto"/>
        <w:right w:val="none" w:sz="0" w:space="0" w:color="auto"/>
      </w:divBdr>
    </w:div>
    <w:div w:id="2002614225">
      <w:bodyDiv w:val="1"/>
      <w:marLeft w:val="0"/>
      <w:marRight w:val="0"/>
      <w:marTop w:val="0"/>
      <w:marBottom w:val="0"/>
      <w:divBdr>
        <w:top w:val="none" w:sz="0" w:space="0" w:color="auto"/>
        <w:left w:val="none" w:sz="0" w:space="0" w:color="auto"/>
        <w:bottom w:val="none" w:sz="0" w:space="0" w:color="auto"/>
        <w:right w:val="none" w:sz="0" w:space="0" w:color="auto"/>
      </w:divBdr>
    </w:div>
    <w:div w:id="2002809908">
      <w:bodyDiv w:val="1"/>
      <w:marLeft w:val="0"/>
      <w:marRight w:val="0"/>
      <w:marTop w:val="0"/>
      <w:marBottom w:val="0"/>
      <w:divBdr>
        <w:top w:val="none" w:sz="0" w:space="0" w:color="auto"/>
        <w:left w:val="none" w:sz="0" w:space="0" w:color="auto"/>
        <w:bottom w:val="none" w:sz="0" w:space="0" w:color="auto"/>
        <w:right w:val="none" w:sz="0" w:space="0" w:color="auto"/>
      </w:divBdr>
    </w:div>
    <w:div w:id="2008753032">
      <w:bodyDiv w:val="1"/>
      <w:marLeft w:val="0"/>
      <w:marRight w:val="0"/>
      <w:marTop w:val="0"/>
      <w:marBottom w:val="0"/>
      <w:divBdr>
        <w:top w:val="none" w:sz="0" w:space="0" w:color="auto"/>
        <w:left w:val="none" w:sz="0" w:space="0" w:color="auto"/>
        <w:bottom w:val="none" w:sz="0" w:space="0" w:color="auto"/>
        <w:right w:val="none" w:sz="0" w:space="0" w:color="auto"/>
      </w:divBdr>
    </w:div>
    <w:div w:id="2013754198">
      <w:bodyDiv w:val="1"/>
      <w:marLeft w:val="0"/>
      <w:marRight w:val="0"/>
      <w:marTop w:val="0"/>
      <w:marBottom w:val="0"/>
      <w:divBdr>
        <w:top w:val="none" w:sz="0" w:space="0" w:color="auto"/>
        <w:left w:val="none" w:sz="0" w:space="0" w:color="auto"/>
        <w:bottom w:val="none" w:sz="0" w:space="0" w:color="auto"/>
        <w:right w:val="none" w:sz="0" w:space="0" w:color="auto"/>
      </w:divBdr>
    </w:div>
    <w:div w:id="2014141232">
      <w:bodyDiv w:val="1"/>
      <w:marLeft w:val="0"/>
      <w:marRight w:val="0"/>
      <w:marTop w:val="0"/>
      <w:marBottom w:val="0"/>
      <w:divBdr>
        <w:top w:val="none" w:sz="0" w:space="0" w:color="auto"/>
        <w:left w:val="none" w:sz="0" w:space="0" w:color="auto"/>
        <w:bottom w:val="none" w:sz="0" w:space="0" w:color="auto"/>
        <w:right w:val="none" w:sz="0" w:space="0" w:color="auto"/>
      </w:divBdr>
    </w:div>
    <w:div w:id="2017657873">
      <w:bodyDiv w:val="1"/>
      <w:marLeft w:val="0"/>
      <w:marRight w:val="0"/>
      <w:marTop w:val="0"/>
      <w:marBottom w:val="0"/>
      <w:divBdr>
        <w:top w:val="none" w:sz="0" w:space="0" w:color="auto"/>
        <w:left w:val="none" w:sz="0" w:space="0" w:color="auto"/>
        <w:bottom w:val="none" w:sz="0" w:space="0" w:color="auto"/>
        <w:right w:val="none" w:sz="0" w:space="0" w:color="auto"/>
      </w:divBdr>
    </w:div>
    <w:div w:id="2039350799">
      <w:bodyDiv w:val="1"/>
      <w:marLeft w:val="0"/>
      <w:marRight w:val="0"/>
      <w:marTop w:val="0"/>
      <w:marBottom w:val="0"/>
      <w:divBdr>
        <w:top w:val="none" w:sz="0" w:space="0" w:color="auto"/>
        <w:left w:val="none" w:sz="0" w:space="0" w:color="auto"/>
        <w:bottom w:val="none" w:sz="0" w:space="0" w:color="auto"/>
        <w:right w:val="none" w:sz="0" w:space="0" w:color="auto"/>
      </w:divBdr>
    </w:div>
    <w:div w:id="2049180608">
      <w:bodyDiv w:val="1"/>
      <w:marLeft w:val="0"/>
      <w:marRight w:val="0"/>
      <w:marTop w:val="0"/>
      <w:marBottom w:val="0"/>
      <w:divBdr>
        <w:top w:val="none" w:sz="0" w:space="0" w:color="auto"/>
        <w:left w:val="none" w:sz="0" w:space="0" w:color="auto"/>
        <w:bottom w:val="none" w:sz="0" w:space="0" w:color="auto"/>
        <w:right w:val="none" w:sz="0" w:space="0" w:color="auto"/>
      </w:divBdr>
    </w:div>
    <w:div w:id="2053844573">
      <w:bodyDiv w:val="1"/>
      <w:marLeft w:val="0"/>
      <w:marRight w:val="0"/>
      <w:marTop w:val="0"/>
      <w:marBottom w:val="0"/>
      <w:divBdr>
        <w:top w:val="none" w:sz="0" w:space="0" w:color="auto"/>
        <w:left w:val="none" w:sz="0" w:space="0" w:color="auto"/>
        <w:bottom w:val="none" w:sz="0" w:space="0" w:color="auto"/>
        <w:right w:val="none" w:sz="0" w:space="0" w:color="auto"/>
      </w:divBdr>
    </w:div>
    <w:div w:id="2060591215">
      <w:bodyDiv w:val="1"/>
      <w:marLeft w:val="0"/>
      <w:marRight w:val="0"/>
      <w:marTop w:val="0"/>
      <w:marBottom w:val="0"/>
      <w:divBdr>
        <w:top w:val="none" w:sz="0" w:space="0" w:color="auto"/>
        <w:left w:val="none" w:sz="0" w:space="0" w:color="auto"/>
        <w:bottom w:val="none" w:sz="0" w:space="0" w:color="auto"/>
        <w:right w:val="none" w:sz="0" w:space="0" w:color="auto"/>
      </w:divBdr>
    </w:div>
    <w:div w:id="2061173246">
      <w:bodyDiv w:val="1"/>
      <w:marLeft w:val="0"/>
      <w:marRight w:val="0"/>
      <w:marTop w:val="0"/>
      <w:marBottom w:val="0"/>
      <w:divBdr>
        <w:top w:val="none" w:sz="0" w:space="0" w:color="auto"/>
        <w:left w:val="none" w:sz="0" w:space="0" w:color="auto"/>
        <w:bottom w:val="none" w:sz="0" w:space="0" w:color="auto"/>
        <w:right w:val="none" w:sz="0" w:space="0" w:color="auto"/>
      </w:divBdr>
    </w:div>
    <w:div w:id="2085954321">
      <w:bodyDiv w:val="1"/>
      <w:marLeft w:val="0"/>
      <w:marRight w:val="0"/>
      <w:marTop w:val="0"/>
      <w:marBottom w:val="0"/>
      <w:divBdr>
        <w:top w:val="none" w:sz="0" w:space="0" w:color="auto"/>
        <w:left w:val="none" w:sz="0" w:space="0" w:color="auto"/>
        <w:bottom w:val="none" w:sz="0" w:space="0" w:color="auto"/>
        <w:right w:val="none" w:sz="0" w:space="0" w:color="auto"/>
      </w:divBdr>
    </w:div>
    <w:div w:id="2092924835">
      <w:bodyDiv w:val="1"/>
      <w:marLeft w:val="0"/>
      <w:marRight w:val="0"/>
      <w:marTop w:val="0"/>
      <w:marBottom w:val="0"/>
      <w:divBdr>
        <w:top w:val="none" w:sz="0" w:space="0" w:color="auto"/>
        <w:left w:val="none" w:sz="0" w:space="0" w:color="auto"/>
        <w:bottom w:val="none" w:sz="0" w:space="0" w:color="auto"/>
        <w:right w:val="none" w:sz="0" w:space="0" w:color="auto"/>
      </w:divBdr>
    </w:div>
    <w:div w:id="2098549405">
      <w:bodyDiv w:val="1"/>
      <w:marLeft w:val="0"/>
      <w:marRight w:val="0"/>
      <w:marTop w:val="0"/>
      <w:marBottom w:val="0"/>
      <w:divBdr>
        <w:top w:val="none" w:sz="0" w:space="0" w:color="auto"/>
        <w:left w:val="none" w:sz="0" w:space="0" w:color="auto"/>
        <w:bottom w:val="none" w:sz="0" w:space="0" w:color="auto"/>
        <w:right w:val="none" w:sz="0" w:space="0" w:color="auto"/>
      </w:divBdr>
    </w:div>
    <w:div w:id="2100522711">
      <w:bodyDiv w:val="1"/>
      <w:marLeft w:val="0"/>
      <w:marRight w:val="0"/>
      <w:marTop w:val="0"/>
      <w:marBottom w:val="0"/>
      <w:divBdr>
        <w:top w:val="none" w:sz="0" w:space="0" w:color="auto"/>
        <w:left w:val="none" w:sz="0" w:space="0" w:color="auto"/>
        <w:bottom w:val="none" w:sz="0" w:space="0" w:color="auto"/>
        <w:right w:val="none" w:sz="0" w:space="0" w:color="auto"/>
      </w:divBdr>
    </w:div>
    <w:div w:id="2103211021">
      <w:bodyDiv w:val="1"/>
      <w:marLeft w:val="0"/>
      <w:marRight w:val="0"/>
      <w:marTop w:val="0"/>
      <w:marBottom w:val="0"/>
      <w:divBdr>
        <w:top w:val="none" w:sz="0" w:space="0" w:color="auto"/>
        <w:left w:val="none" w:sz="0" w:space="0" w:color="auto"/>
        <w:bottom w:val="none" w:sz="0" w:space="0" w:color="auto"/>
        <w:right w:val="none" w:sz="0" w:space="0" w:color="auto"/>
      </w:divBdr>
    </w:div>
    <w:div w:id="2104185534">
      <w:bodyDiv w:val="1"/>
      <w:marLeft w:val="0"/>
      <w:marRight w:val="0"/>
      <w:marTop w:val="0"/>
      <w:marBottom w:val="0"/>
      <w:divBdr>
        <w:top w:val="none" w:sz="0" w:space="0" w:color="auto"/>
        <w:left w:val="none" w:sz="0" w:space="0" w:color="auto"/>
        <w:bottom w:val="none" w:sz="0" w:space="0" w:color="auto"/>
        <w:right w:val="none" w:sz="0" w:space="0" w:color="auto"/>
      </w:divBdr>
    </w:div>
    <w:div w:id="2105105043">
      <w:bodyDiv w:val="1"/>
      <w:marLeft w:val="0"/>
      <w:marRight w:val="0"/>
      <w:marTop w:val="0"/>
      <w:marBottom w:val="0"/>
      <w:divBdr>
        <w:top w:val="none" w:sz="0" w:space="0" w:color="auto"/>
        <w:left w:val="none" w:sz="0" w:space="0" w:color="auto"/>
        <w:bottom w:val="none" w:sz="0" w:space="0" w:color="auto"/>
        <w:right w:val="none" w:sz="0" w:space="0" w:color="auto"/>
      </w:divBdr>
    </w:div>
    <w:div w:id="2109302272">
      <w:bodyDiv w:val="1"/>
      <w:marLeft w:val="0"/>
      <w:marRight w:val="0"/>
      <w:marTop w:val="0"/>
      <w:marBottom w:val="0"/>
      <w:divBdr>
        <w:top w:val="none" w:sz="0" w:space="0" w:color="auto"/>
        <w:left w:val="none" w:sz="0" w:space="0" w:color="auto"/>
        <w:bottom w:val="none" w:sz="0" w:space="0" w:color="auto"/>
        <w:right w:val="none" w:sz="0" w:space="0" w:color="auto"/>
      </w:divBdr>
    </w:div>
    <w:div w:id="2110810572">
      <w:bodyDiv w:val="1"/>
      <w:marLeft w:val="0"/>
      <w:marRight w:val="0"/>
      <w:marTop w:val="0"/>
      <w:marBottom w:val="0"/>
      <w:divBdr>
        <w:top w:val="none" w:sz="0" w:space="0" w:color="auto"/>
        <w:left w:val="none" w:sz="0" w:space="0" w:color="auto"/>
        <w:bottom w:val="none" w:sz="0" w:space="0" w:color="auto"/>
        <w:right w:val="none" w:sz="0" w:space="0" w:color="auto"/>
      </w:divBdr>
    </w:div>
    <w:div w:id="2112047918">
      <w:bodyDiv w:val="1"/>
      <w:marLeft w:val="0"/>
      <w:marRight w:val="0"/>
      <w:marTop w:val="0"/>
      <w:marBottom w:val="0"/>
      <w:divBdr>
        <w:top w:val="none" w:sz="0" w:space="0" w:color="auto"/>
        <w:left w:val="none" w:sz="0" w:space="0" w:color="auto"/>
        <w:bottom w:val="none" w:sz="0" w:space="0" w:color="auto"/>
        <w:right w:val="none" w:sz="0" w:space="0" w:color="auto"/>
      </w:divBdr>
    </w:div>
    <w:div w:id="2112696244">
      <w:bodyDiv w:val="1"/>
      <w:marLeft w:val="0"/>
      <w:marRight w:val="0"/>
      <w:marTop w:val="0"/>
      <w:marBottom w:val="0"/>
      <w:divBdr>
        <w:top w:val="none" w:sz="0" w:space="0" w:color="auto"/>
        <w:left w:val="none" w:sz="0" w:space="0" w:color="auto"/>
        <w:bottom w:val="none" w:sz="0" w:space="0" w:color="auto"/>
        <w:right w:val="none" w:sz="0" w:space="0" w:color="auto"/>
      </w:divBdr>
    </w:div>
    <w:div w:id="2113016607">
      <w:bodyDiv w:val="1"/>
      <w:marLeft w:val="0"/>
      <w:marRight w:val="0"/>
      <w:marTop w:val="0"/>
      <w:marBottom w:val="0"/>
      <w:divBdr>
        <w:top w:val="none" w:sz="0" w:space="0" w:color="auto"/>
        <w:left w:val="none" w:sz="0" w:space="0" w:color="auto"/>
        <w:bottom w:val="none" w:sz="0" w:space="0" w:color="auto"/>
        <w:right w:val="none" w:sz="0" w:space="0" w:color="auto"/>
      </w:divBdr>
    </w:div>
    <w:div w:id="2115048819">
      <w:bodyDiv w:val="1"/>
      <w:marLeft w:val="0"/>
      <w:marRight w:val="0"/>
      <w:marTop w:val="0"/>
      <w:marBottom w:val="0"/>
      <w:divBdr>
        <w:top w:val="none" w:sz="0" w:space="0" w:color="auto"/>
        <w:left w:val="none" w:sz="0" w:space="0" w:color="auto"/>
        <w:bottom w:val="none" w:sz="0" w:space="0" w:color="auto"/>
        <w:right w:val="none" w:sz="0" w:space="0" w:color="auto"/>
      </w:divBdr>
    </w:div>
    <w:div w:id="2116822119">
      <w:bodyDiv w:val="1"/>
      <w:marLeft w:val="0"/>
      <w:marRight w:val="0"/>
      <w:marTop w:val="0"/>
      <w:marBottom w:val="0"/>
      <w:divBdr>
        <w:top w:val="none" w:sz="0" w:space="0" w:color="auto"/>
        <w:left w:val="none" w:sz="0" w:space="0" w:color="auto"/>
        <w:bottom w:val="none" w:sz="0" w:space="0" w:color="auto"/>
        <w:right w:val="none" w:sz="0" w:space="0" w:color="auto"/>
      </w:divBdr>
    </w:div>
    <w:div w:id="2123188423">
      <w:bodyDiv w:val="1"/>
      <w:marLeft w:val="0"/>
      <w:marRight w:val="0"/>
      <w:marTop w:val="0"/>
      <w:marBottom w:val="0"/>
      <w:divBdr>
        <w:top w:val="none" w:sz="0" w:space="0" w:color="auto"/>
        <w:left w:val="none" w:sz="0" w:space="0" w:color="auto"/>
        <w:bottom w:val="none" w:sz="0" w:space="0" w:color="auto"/>
        <w:right w:val="none" w:sz="0" w:space="0" w:color="auto"/>
      </w:divBdr>
    </w:div>
    <w:div w:id="2128238602">
      <w:bodyDiv w:val="1"/>
      <w:marLeft w:val="0"/>
      <w:marRight w:val="0"/>
      <w:marTop w:val="0"/>
      <w:marBottom w:val="0"/>
      <w:divBdr>
        <w:top w:val="none" w:sz="0" w:space="0" w:color="auto"/>
        <w:left w:val="none" w:sz="0" w:space="0" w:color="auto"/>
        <w:bottom w:val="none" w:sz="0" w:space="0" w:color="auto"/>
        <w:right w:val="none" w:sz="0" w:space="0" w:color="auto"/>
      </w:divBdr>
    </w:div>
    <w:div w:id="2128548016">
      <w:bodyDiv w:val="1"/>
      <w:marLeft w:val="0"/>
      <w:marRight w:val="0"/>
      <w:marTop w:val="0"/>
      <w:marBottom w:val="0"/>
      <w:divBdr>
        <w:top w:val="none" w:sz="0" w:space="0" w:color="auto"/>
        <w:left w:val="none" w:sz="0" w:space="0" w:color="auto"/>
        <w:bottom w:val="none" w:sz="0" w:space="0" w:color="auto"/>
        <w:right w:val="none" w:sz="0" w:space="0" w:color="auto"/>
      </w:divBdr>
    </w:div>
    <w:div w:id="214342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chart" Target="charts/chart4.xml"/><Relationship Id="rId26" Type="http://schemas.openxmlformats.org/officeDocument/2006/relationships/chart" Target="charts/chart11.xml"/><Relationship Id="rId39" Type="http://schemas.openxmlformats.org/officeDocument/2006/relationships/hyperlink" Target="https://nl.wikipedia.org/wiki/Digital_object_identifier" TargetMode="External"/><Relationship Id="rId21" Type="http://schemas.openxmlformats.org/officeDocument/2006/relationships/chart" Target="charts/chart6.xml"/><Relationship Id="rId34" Type="http://schemas.openxmlformats.org/officeDocument/2006/relationships/chart" Target="charts/chart19.xml"/><Relationship Id="rId42" Type="http://schemas.openxmlformats.org/officeDocument/2006/relationships/hyperlink" Target="http://eur-lex.europa.eu/legal-content/NL/TXT/HTML/?uri=LEGISSUM:l32042&amp;" TargetMode="External"/><Relationship Id="rId47" Type="http://schemas.openxmlformats.org/officeDocument/2006/relationships/hyperlink" Target="https://publications.europa.eu/en/publication-detail/-/publication/f50687f9-5764-4fe1-8f80-69d1dfa65bc9/language-nl" TargetMode="External"/><Relationship Id="rId50" Type="http://schemas.openxmlformats.org/officeDocument/2006/relationships/hyperlink" Target="https://euon.echa.europa.eu/" TargetMode="External"/><Relationship Id="rId55" Type="http://schemas.openxmlformats.org/officeDocument/2006/relationships/hyperlink" Target="https://www.echa.europa.eu/"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chart" Target="charts/chart5.xml"/><Relationship Id="rId29" Type="http://schemas.openxmlformats.org/officeDocument/2006/relationships/chart" Target="charts/chart14.xml"/><Relationship Id="rId41" Type="http://schemas.openxmlformats.org/officeDocument/2006/relationships/hyperlink" Target="http://ec.europa.eu/health/scientific_committees/opinions_layman/en/nanotechnologies/l-3/6-health-effects-nanoparticles.htm" TargetMode="External"/><Relationship Id="rId54" Type="http://schemas.openxmlformats.org/officeDocument/2006/relationships/hyperlink" Target="http://www.nanoregistration.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hart" Target="charts/chart9.xml"/><Relationship Id="rId32" Type="http://schemas.openxmlformats.org/officeDocument/2006/relationships/chart" Target="charts/chart17.xml"/><Relationship Id="rId37" Type="http://schemas.openxmlformats.org/officeDocument/2006/relationships/hyperlink" Target="https://www.nano.gov/nanotech-101/what/definition" TargetMode="External"/><Relationship Id="rId40" Type="http://schemas.openxmlformats.org/officeDocument/2006/relationships/hyperlink" Target="http://dx.doi.org/10.1103/PhysRevA.13.2287" TargetMode="External"/><Relationship Id="rId45" Type="http://schemas.openxmlformats.org/officeDocument/2006/relationships/hyperlink" Target="https://ec.europa.eu/jrc/en/publication/eur-scientific-and-technical-research-reports/towards-review-ec-recommendation-definition-term-nanomaterial-part-3-scientific-technical" TargetMode="External"/><Relationship Id="rId53" Type="http://schemas.openxmlformats.org/officeDocument/2006/relationships/hyperlink" Target="http://www.nanoregistration.be" TargetMode="External"/><Relationship Id="rId58"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chart" Target="charts/chart1.xml"/><Relationship Id="rId23" Type="http://schemas.openxmlformats.org/officeDocument/2006/relationships/chart" Target="charts/chart8.xml"/><Relationship Id="rId28" Type="http://schemas.openxmlformats.org/officeDocument/2006/relationships/chart" Target="charts/chart13.xml"/><Relationship Id="rId36" Type="http://schemas.openxmlformats.org/officeDocument/2006/relationships/hyperlink" Target="http://www.its.caltech.edu/~feynman/plenty.html" TargetMode="External"/><Relationship Id="rId49" Type="http://schemas.openxmlformats.org/officeDocument/2006/relationships/hyperlink" Target="http://ec.europa.eu/growth/sectors/%20chemicals/reach/nanomaterials_nl" TargetMode="External"/><Relationship Id="rId57" Type="http://schemas.openxmlformats.org/officeDocument/2006/relationships/footer" Target="footer1.xml"/><Relationship Id="rId61"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nl.wikipedia.org/wiki/Letterwoord" TargetMode="External"/><Relationship Id="rId31" Type="http://schemas.openxmlformats.org/officeDocument/2006/relationships/chart" Target="charts/chart16.xml"/><Relationship Id="rId44" Type="http://schemas.openxmlformats.org/officeDocument/2006/relationships/hyperlink" Target="https://ec.europa.eu/jrc/en/publication/eur-scientific-and-technical-research-reports/towards-review-ec-recommendation-definition-term-nanomaterial-part-2-assessment-collected" TargetMode="External"/><Relationship Id="rId52" Type="http://schemas.openxmlformats.org/officeDocument/2006/relationships/hyperlink" Target="https://www.researchgate.net/"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ha.europa.eu/fr/-/get-ready-for-new-reach-requirements-for-nanomaterials" TargetMode="External"/><Relationship Id="rId22" Type="http://schemas.openxmlformats.org/officeDocument/2006/relationships/chart" Target="charts/chart7.xml"/><Relationship Id="rId27" Type="http://schemas.openxmlformats.org/officeDocument/2006/relationships/chart" Target="charts/chart12.xml"/><Relationship Id="rId30" Type="http://schemas.openxmlformats.org/officeDocument/2006/relationships/chart" Target="charts/chart15.xml"/><Relationship Id="rId35" Type="http://schemas.openxmlformats.org/officeDocument/2006/relationships/hyperlink" Target="mailto:info@nanoregistration.be" TargetMode="External"/><Relationship Id="rId43" Type="http://schemas.openxmlformats.org/officeDocument/2006/relationships/hyperlink" Target="https://ec.europa.eu/jrc/en/publication/eur-scientific-and-technical-research-reports/towards-review-ec-recommendation-definition-term-nanomaterial-part-1-compilation-information" TargetMode="External"/><Relationship Id="rId48" Type="http://schemas.openxmlformats.org/officeDocument/2006/relationships/hyperlink" Target="https://publications.europa.eu/nl/publication-detail/-/publication/d42fe639-b080-11e6-aab7-01aa75ed71a1" TargetMode="External"/><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euon.echa.europa.eu/nl/national-reporting-schemes" TargetMode="External"/><Relationship Id="rId3" Type="http://schemas.openxmlformats.org/officeDocument/2006/relationships/customXml" Target="../customXml/item3.xml"/><Relationship Id="rId12" Type="http://schemas.openxmlformats.org/officeDocument/2006/relationships/hyperlink" Target="https://apps.health.belgium.be/ordsm/02/f?p=NANO" TargetMode="External"/><Relationship Id="rId17" Type="http://schemas.openxmlformats.org/officeDocument/2006/relationships/chart" Target="charts/chart3.xml"/><Relationship Id="rId25" Type="http://schemas.openxmlformats.org/officeDocument/2006/relationships/chart" Target="charts/chart10.xml"/><Relationship Id="rId33" Type="http://schemas.openxmlformats.org/officeDocument/2006/relationships/chart" Target="charts/chart18.xml"/><Relationship Id="rId38" Type="http://schemas.openxmlformats.org/officeDocument/2006/relationships/hyperlink" Target="https://www.scientificamerican.com/article/nanotechnologys-future/" TargetMode="External"/><Relationship Id="rId46" Type="http://schemas.openxmlformats.org/officeDocument/2006/relationships/hyperlink" Target="https://euon.echa.europa.eu/echa-s-activities-on-nanomaterials-under-reach-and-clp" TargetMode="External"/><Relationship Id="rId5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file:///\\health.fgov.be\shares\REACH\Chemicals\NanoBis\Rapporten%20register\Rapport%20Nano%202020\2020_supply_chain_role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health.fgov.be\shares\REACH\Chemicals\NanoBis\Rapporten%20register\Rapport%20Nano%202020\2020_Nace3.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health.fgov.be\shares\REACH\Chemicals\NanoBis\Rapporten%20register\Rapport%20Nano%202019\nathan\Nathan_Qt_Verdeler_Samensteller.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health.fgov.be\shares\REACH\Chemicals\NanoBis\Rapporten%20register\Rapport%20Nano%202020\2020_supply_chain_rol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health.fgov.be\shares\REACH\Chemicals\NanoBis\Rapporten%20register\Rapport%20Nano%202020\2020_supply_chain_role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health.fgov.be\shares\REACH\Chemicals\NanoBis\Rapporten%20register\Rapport%20Nano%202020\2020_supply_chain_role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065F-4FFA-9504-DB31DA3499C1}"/>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065F-4FFA-9504-DB31DA3499C1}"/>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065F-4FFA-9504-DB31DA3499C1}"/>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065F-4FFA-9504-DB31DA3499C1}"/>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065F-4FFA-9504-DB31DA3499C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'6,1'!$N$2:$N$6</c:f>
              <c:strCache>
                <c:ptCount val="5"/>
                <c:pt idx="0">
                  <c:v>Importateur</c:v>
                </c:pt>
                <c:pt idx="1">
                  <c:v>Autre</c:v>
                </c:pt>
                <c:pt idx="2">
                  <c:v>Formulateur</c:v>
                </c:pt>
                <c:pt idx="3">
                  <c:v>Producteur</c:v>
                </c:pt>
                <c:pt idx="4">
                  <c:v>Distributeur</c:v>
                </c:pt>
              </c:strCache>
            </c:strRef>
          </c:cat>
          <c:val>
            <c:numRef>
              <c:f>'6,1'!$O$2:$O$6</c:f>
              <c:numCache>
                <c:formatCode>0.00%</c:formatCode>
                <c:ptCount val="5"/>
                <c:pt idx="0">
                  <c:v>0.3604</c:v>
                </c:pt>
                <c:pt idx="1">
                  <c:v>1.7999999999999999E-2</c:v>
                </c:pt>
                <c:pt idx="2">
                  <c:v>0.16220000000000001</c:v>
                </c:pt>
                <c:pt idx="3">
                  <c:v>0.19819999999999999</c:v>
                </c:pt>
                <c:pt idx="4">
                  <c:v>0.26129999999999998</c:v>
                </c:pt>
              </c:numCache>
            </c:numRef>
          </c:val>
          <c:extLst>
            <c:ext xmlns:c16="http://schemas.microsoft.com/office/drawing/2014/chart" uri="{C3380CC4-5D6E-409C-BE32-E72D297353CC}">
              <c16:uniqueId val="{0000000A-065F-4FFA-9504-DB31DA3499C1}"/>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Feuil1!$B$1</c:f>
              <c:strCache>
                <c:ptCount val="1"/>
                <c:pt idx="0">
                  <c:v>Série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Feuil1!$A$2:$A$6</c:f>
              <c:strCache>
                <c:ptCount val="5"/>
                <c:pt idx="0">
                  <c:v>22290 Fabrication d'autres articles en matières plastiques</c:v>
                </c:pt>
                <c:pt idx="1">
                  <c:v>22 Fabrication de produits en caoutchouc et en plastique</c:v>
                </c:pt>
                <c:pt idx="2">
                  <c:v>4333101 Pose dans des bâtiments ou d'autres projets de construction: revêtements muraux ou carrelages en céramique, en béton ou en pierre de taille; revêtements de sols et de murs en granit etc.</c:v>
                </c:pt>
                <c:pt idx="3">
                  <c:v>20590 Fabrication d'autres produits chimiques</c:v>
                </c:pt>
                <c:pt idx="4">
                  <c:v>20300 Fabrication de peintures, de vernis, d'encres et de mastics</c:v>
                </c:pt>
              </c:strCache>
            </c:strRef>
          </c:cat>
          <c:val>
            <c:numRef>
              <c:f>Feuil1!$B$2:$B$6</c:f>
              <c:numCache>
                <c:formatCode>General</c:formatCode>
                <c:ptCount val="5"/>
                <c:pt idx="0">
                  <c:v>6437.49</c:v>
                </c:pt>
                <c:pt idx="1">
                  <c:v>1247</c:v>
                </c:pt>
                <c:pt idx="2">
                  <c:v>466.89</c:v>
                </c:pt>
                <c:pt idx="3">
                  <c:v>109.82</c:v>
                </c:pt>
                <c:pt idx="4">
                  <c:v>44.5</c:v>
                </c:pt>
              </c:numCache>
            </c:numRef>
          </c:val>
          <c:extLst>
            <c:ext xmlns:c16="http://schemas.microsoft.com/office/drawing/2014/chart" uri="{C3380CC4-5D6E-409C-BE32-E72D297353CC}">
              <c16:uniqueId val="{00000000-870A-4341-A7D8-2FD3C89E0EBC}"/>
            </c:ext>
          </c:extLst>
        </c:ser>
        <c:dLbls>
          <c:dLblPos val="outEnd"/>
          <c:showLegendKey val="0"/>
          <c:showVal val="1"/>
          <c:showCatName val="0"/>
          <c:showSerName val="0"/>
          <c:showPercent val="0"/>
          <c:showBubbleSize val="0"/>
        </c:dLbls>
        <c:gapWidth val="219"/>
        <c:overlap val="-27"/>
        <c:axId val="825134856"/>
        <c:axId val="825130920"/>
      </c:barChart>
      <c:catAx>
        <c:axId val="825134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825130920"/>
        <c:crosses val="autoZero"/>
        <c:auto val="1"/>
        <c:lblAlgn val="ctr"/>
        <c:lblOffset val="100"/>
        <c:noMultiLvlLbl val="0"/>
      </c:catAx>
      <c:valAx>
        <c:axId val="825130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8251348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Feuil1!$B$1</c:f>
              <c:strCache>
                <c:ptCount val="1"/>
                <c:pt idx="0">
                  <c:v>Série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Feuil1!$A$2:$A$6</c:f>
              <c:strCache>
                <c:ptCount val="5"/>
                <c:pt idx="0">
                  <c:v>82 Services administratifs de bureau et autres activités de soutien aux entreprises</c:v>
                </c:pt>
                <c:pt idx="1">
                  <c:v>46720 Commerce de gros de minerais et de métaux</c:v>
                </c:pt>
                <c:pt idx="2">
                  <c:v>899001 Extraction de minéraux et de matériaux divers : terraux et humus, mat. abrasives, amiante, farines siliceuses fossiles, graphite naturel, stéatite (talc), feldspath, pierres gemmes, quartz, mica, etc.</c:v>
                </c:pt>
                <c:pt idx="3">
                  <c:v>20590 Fabrication d'autres produits chimiques n.c.a.</c:v>
                </c:pt>
                <c:pt idx="4">
                  <c:v>20 Industrie chimique</c:v>
                </c:pt>
              </c:strCache>
            </c:strRef>
          </c:cat>
          <c:val>
            <c:numRef>
              <c:f>Feuil1!$B$2:$B$6</c:f>
              <c:numCache>
                <c:formatCode>General</c:formatCode>
                <c:ptCount val="5"/>
                <c:pt idx="0">
                  <c:v>33121.11</c:v>
                </c:pt>
                <c:pt idx="1">
                  <c:v>13500.5</c:v>
                </c:pt>
                <c:pt idx="2">
                  <c:v>3260.81</c:v>
                </c:pt>
                <c:pt idx="3">
                  <c:v>1845.11</c:v>
                </c:pt>
                <c:pt idx="4">
                  <c:v>1544.49</c:v>
                </c:pt>
              </c:numCache>
            </c:numRef>
          </c:val>
          <c:extLst>
            <c:ext xmlns:c16="http://schemas.microsoft.com/office/drawing/2014/chart" uri="{C3380CC4-5D6E-409C-BE32-E72D297353CC}">
              <c16:uniqueId val="{00000000-F8A0-4C5A-9954-8BD35D769045}"/>
            </c:ext>
          </c:extLst>
        </c:ser>
        <c:dLbls>
          <c:dLblPos val="outEnd"/>
          <c:showLegendKey val="0"/>
          <c:showVal val="1"/>
          <c:showCatName val="0"/>
          <c:showSerName val="0"/>
          <c:showPercent val="0"/>
          <c:showBubbleSize val="0"/>
        </c:dLbls>
        <c:gapWidth val="219"/>
        <c:overlap val="-27"/>
        <c:axId val="813731480"/>
        <c:axId val="813727216"/>
      </c:barChart>
      <c:catAx>
        <c:axId val="813731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813727216"/>
        <c:crosses val="autoZero"/>
        <c:auto val="1"/>
        <c:lblAlgn val="ctr"/>
        <c:lblOffset val="100"/>
        <c:noMultiLvlLbl val="0"/>
      </c:catAx>
      <c:valAx>
        <c:axId val="8137272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8137314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Feuil1!$B$1</c:f>
              <c:strCache>
                <c:ptCount val="1"/>
                <c:pt idx="0">
                  <c:v>Série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Feuil1!$A$2:$A$6</c:f>
              <c:strCache>
                <c:ptCount val="5"/>
                <c:pt idx="0">
                  <c:v>20 Industrie chimique</c:v>
                </c:pt>
                <c:pt idx="1">
                  <c:v>20590 Fabrication d'autres produits chimiques n.c.a.</c:v>
                </c:pt>
                <c:pt idx="2">
                  <c:v>2059001 Fabrication de plaques et films photographiques, de papiers sensibilisés et d'autres matières sensibilisées non impressionnées</c:v>
                </c:pt>
                <c:pt idx="3">
                  <c:v>203 Fabrication de peintures, de vernis, d'encres et de mastics</c:v>
                </c:pt>
                <c:pt idx="4">
                  <c:v>46120 Intermédiaires du commerce en combustibles, métaux, minéraux et produits chimiques</c:v>
                </c:pt>
              </c:strCache>
            </c:strRef>
          </c:cat>
          <c:val>
            <c:numRef>
              <c:f>Feuil1!$B$2:$B$6</c:f>
              <c:numCache>
                <c:formatCode>General</c:formatCode>
                <c:ptCount val="5"/>
                <c:pt idx="0">
                  <c:v>4213.45</c:v>
                </c:pt>
                <c:pt idx="1">
                  <c:v>1909.25</c:v>
                </c:pt>
                <c:pt idx="2">
                  <c:v>8.34</c:v>
                </c:pt>
                <c:pt idx="3">
                  <c:v>5.59</c:v>
                </c:pt>
                <c:pt idx="4">
                  <c:v>2.48</c:v>
                </c:pt>
              </c:numCache>
            </c:numRef>
          </c:val>
          <c:extLst>
            <c:ext xmlns:c16="http://schemas.microsoft.com/office/drawing/2014/chart" uri="{C3380CC4-5D6E-409C-BE32-E72D297353CC}">
              <c16:uniqueId val="{00000000-0E83-4099-8CAA-4C2BE98DF0C8}"/>
            </c:ext>
          </c:extLst>
        </c:ser>
        <c:dLbls>
          <c:dLblPos val="outEnd"/>
          <c:showLegendKey val="0"/>
          <c:showVal val="1"/>
          <c:showCatName val="0"/>
          <c:showSerName val="0"/>
          <c:showPercent val="0"/>
          <c:showBubbleSize val="0"/>
        </c:dLbls>
        <c:gapWidth val="219"/>
        <c:overlap val="-27"/>
        <c:axId val="675624904"/>
        <c:axId val="675626872"/>
      </c:barChart>
      <c:catAx>
        <c:axId val="675624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75626872"/>
        <c:crosses val="autoZero"/>
        <c:auto val="1"/>
        <c:lblAlgn val="ctr"/>
        <c:lblOffset val="100"/>
        <c:noMultiLvlLbl val="0"/>
      </c:catAx>
      <c:valAx>
        <c:axId val="6756268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756249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Feuil1!$B$1</c:f>
              <c:strCache>
                <c:ptCount val="1"/>
                <c:pt idx="0">
                  <c:v>Série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Feuil1!$A$2:$A$6</c:f>
              <c:strCache>
                <c:ptCount val="5"/>
                <c:pt idx="0">
                  <c:v>SU10 Formulation de préparations et/ou reconditionnement sauf alliages</c:v>
                </c:pt>
                <c:pt idx="1">
                  <c:v>SU3 Utilisations industrielles […]</c:v>
                </c:pt>
                <c:pt idx="2">
                  <c:v>SU12 Fabrication de produits en matières plastiques, y compris formulation et conversion</c:v>
                </c:pt>
                <c:pt idx="3">
                  <c:v>SU16 Fabrication de produits informatiques, électroniques et optiques, équipements électriques</c:v>
                </c:pt>
                <c:pt idx="4">
                  <c:v>SU19 Bâtiment et travaux de construction</c:v>
                </c:pt>
              </c:strCache>
            </c:strRef>
          </c:cat>
          <c:val>
            <c:numRef>
              <c:f>Feuil1!$B$2:$B$6</c:f>
              <c:numCache>
                <c:formatCode>General</c:formatCode>
                <c:ptCount val="5"/>
                <c:pt idx="0">
                  <c:v>244</c:v>
                </c:pt>
                <c:pt idx="1">
                  <c:v>228</c:v>
                </c:pt>
                <c:pt idx="2">
                  <c:v>134</c:v>
                </c:pt>
                <c:pt idx="3">
                  <c:v>40</c:v>
                </c:pt>
                <c:pt idx="4">
                  <c:v>40</c:v>
                </c:pt>
              </c:numCache>
            </c:numRef>
          </c:val>
          <c:extLst>
            <c:ext xmlns:c16="http://schemas.microsoft.com/office/drawing/2014/chart" uri="{C3380CC4-5D6E-409C-BE32-E72D297353CC}">
              <c16:uniqueId val="{00000000-70A6-49B7-A0B5-BA5C6B4F1107}"/>
            </c:ext>
          </c:extLst>
        </c:ser>
        <c:dLbls>
          <c:dLblPos val="outEnd"/>
          <c:showLegendKey val="0"/>
          <c:showVal val="1"/>
          <c:showCatName val="0"/>
          <c:showSerName val="0"/>
          <c:showPercent val="0"/>
          <c:showBubbleSize val="0"/>
        </c:dLbls>
        <c:gapWidth val="219"/>
        <c:overlap val="-27"/>
        <c:axId val="825139776"/>
        <c:axId val="825140104"/>
      </c:barChart>
      <c:catAx>
        <c:axId val="825139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825140104"/>
        <c:crosses val="autoZero"/>
        <c:auto val="1"/>
        <c:lblAlgn val="ctr"/>
        <c:lblOffset val="100"/>
        <c:noMultiLvlLbl val="0"/>
      </c:catAx>
      <c:valAx>
        <c:axId val="825140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8251397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Feuil1!$B$1</c:f>
              <c:strCache>
                <c:ptCount val="1"/>
                <c:pt idx="0">
                  <c:v>Série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Feuil1!$A$2:$A$6</c:f>
              <c:strCache>
                <c:ptCount val="5"/>
                <c:pt idx="0">
                  <c:v>PROC5 Mélange dans des
processus par lots</c:v>
                </c:pt>
                <c:pt idx="1">
                  <c:v>PROC8b Transfert d’une
substance ou d’un
mélange (chargement ou
déchargement) dans des
installations spécialisées</c:v>
                </c:pt>
                <c:pt idx="2">
                  <c:v>PROC8a Transfert d’une
substance ou d’un
mélange (chargement et
déchargement) dans des
installations non
spécialisées. </c:v>
                </c:pt>
                <c:pt idx="3">
                  <c:v>PROC4 Production chimique où il
y a possibilité
d’exposition</c:v>
                </c:pt>
                <c:pt idx="4">
                  <c:v>PROC3 Fabrication ou
formulation dans
l’industrie chimique dans
des processus fermés par
lots avec expositions
contrôlées occasionnelles
en conditions de
confinement équivalentes</c:v>
                </c:pt>
              </c:strCache>
            </c:strRef>
          </c:cat>
          <c:val>
            <c:numRef>
              <c:f>Feuil1!$B$2:$B$6</c:f>
              <c:numCache>
                <c:formatCode>General</c:formatCode>
                <c:ptCount val="5"/>
                <c:pt idx="0">
                  <c:v>81</c:v>
                </c:pt>
                <c:pt idx="1">
                  <c:v>54</c:v>
                </c:pt>
                <c:pt idx="2">
                  <c:v>32</c:v>
                </c:pt>
                <c:pt idx="3">
                  <c:v>24</c:v>
                </c:pt>
                <c:pt idx="4">
                  <c:v>20</c:v>
                </c:pt>
              </c:numCache>
            </c:numRef>
          </c:val>
          <c:extLst>
            <c:ext xmlns:c16="http://schemas.microsoft.com/office/drawing/2014/chart" uri="{C3380CC4-5D6E-409C-BE32-E72D297353CC}">
              <c16:uniqueId val="{00000000-7655-4D26-8023-C8B9F8B9FB76}"/>
            </c:ext>
          </c:extLst>
        </c:ser>
        <c:dLbls>
          <c:dLblPos val="outEnd"/>
          <c:showLegendKey val="0"/>
          <c:showVal val="1"/>
          <c:showCatName val="0"/>
          <c:showSerName val="0"/>
          <c:showPercent val="0"/>
          <c:showBubbleSize val="0"/>
        </c:dLbls>
        <c:gapWidth val="219"/>
        <c:overlap val="-27"/>
        <c:axId val="813530320"/>
        <c:axId val="813523104"/>
      </c:barChart>
      <c:catAx>
        <c:axId val="813530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813523104"/>
        <c:crosses val="autoZero"/>
        <c:auto val="1"/>
        <c:lblAlgn val="ctr"/>
        <c:lblOffset val="100"/>
        <c:noMultiLvlLbl val="0"/>
      </c:catAx>
      <c:valAx>
        <c:axId val="813523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8135303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Feuil1!$B$1</c:f>
              <c:strCache>
                <c:ptCount val="1"/>
                <c:pt idx="0">
                  <c:v>Série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Feuil1!$A$2:$A$6</c:f>
              <c:strCache>
                <c:ptCount val="5"/>
                <c:pt idx="0">
                  <c:v>PC1 Adhésifs, produits d’étanchéité</c:v>
                </c:pt>
                <c:pt idx="1">
                  <c:v>PC0 Autres</c:v>
                </c:pt>
                <c:pt idx="2">
                  <c:v>PC9b Charges, mastics, enduits, pâte à modeler</c:v>
                </c:pt>
                <c:pt idx="3">
                  <c:v>PC9a Revêtements et peintures, solvants, diluants</c:v>
                </c:pt>
                <c:pt idx="4">
                  <c:v>PC32 Préparations et composés à base de polymères</c:v>
                </c:pt>
              </c:strCache>
            </c:strRef>
          </c:cat>
          <c:val>
            <c:numRef>
              <c:f>Feuil1!$B$2:$B$6</c:f>
              <c:numCache>
                <c:formatCode>General</c:formatCode>
                <c:ptCount val="5"/>
                <c:pt idx="0">
                  <c:v>51</c:v>
                </c:pt>
                <c:pt idx="1">
                  <c:v>40</c:v>
                </c:pt>
                <c:pt idx="2">
                  <c:v>36</c:v>
                </c:pt>
                <c:pt idx="3">
                  <c:v>32</c:v>
                </c:pt>
                <c:pt idx="4">
                  <c:v>22</c:v>
                </c:pt>
              </c:numCache>
            </c:numRef>
          </c:val>
          <c:extLst>
            <c:ext xmlns:c16="http://schemas.microsoft.com/office/drawing/2014/chart" uri="{C3380CC4-5D6E-409C-BE32-E72D297353CC}">
              <c16:uniqueId val="{00000000-77D8-4B5C-90FE-9FE1EFA50566}"/>
            </c:ext>
          </c:extLst>
        </c:ser>
        <c:dLbls>
          <c:dLblPos val="outEnd"/>
          <c:showLegendKey val="0"/>
          <c:showVal val="1"/>
          <c:showCatName val="0"/>
          <c:showSerName val="0"/>
          <c:showPercent val="0"/>
          <c:showBubbleSize val="0"/>
        </c:dLbls>
        <c:gapWidth val="219"/>
        <c:overlap val="-27"/>
        <c:axId val="813555904"/>
        <c:axId val="813558856"/>
      </c:barChart>
      <c:catAx>
        <c:axId val="813555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813558856"/>
        <c:crosses val="autoZero"/>
        <c:auto val="1"/>
        <c:lblAlgn val="ctr"/>
        <c:lblOffset val="100"/>
        <c:noMultiLvlLbl val="0"/>
      </c:catAx>
      <c:valAx>
        <c:axId val="813558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8135559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Feuil1!$B$1</c:f>
              <c:strCache>
                <c:ptCount val="1"/>
                <c:pt idx="0">
                  <c:v>Série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Feuil1!$A$2:$A$6</c:f>
              <c:strCache>
                <c:ptCount val="5"/>
                <c:pt idx="0">
                  <c:v>ERC2 Formulation de préparations</c:v>
                </c:pt>
                <c:pt idx="1">
                  <c:v>ERC3 Formulations dans les matériaux</c:v>
                </c:pt>
                <c:pt idx="2">
                  <c:v>ERC5 Utilisation industrielle entraînant l'inclusion sur ou dans une matrice</c:v>
                </c:pt>
                <c:pt idx="3">
                  <c:v>ERC4 Utilisation industrielle d'adjuvants de fabrication dans des processus et des produits, qui ne deviendront pas partie intégrante des articles</c:v>
                </c:pt>
                <c:pt idx="4">
                  <c:v>ERC1 Fabrication de substances</c:v>
                </c:pt>
              </c:strCache>
            </c:strRef>
          </c:cat>
          <c:val>
            <c:numRef>
              <c:f>Feuil1!$B$2:$B$6</c:f>
              <c:numCache>
                <c:formatCode>General</c:formatCode>
                <c:ptCount val="5"/>
                <c:pt idx="0">
                  <c:v>42</c:v>
                </c:pt>
                <c:pt idx="1">
                  <c:v>39</c:v>
                </c:pt>
                <c:pt idx="2">
                  <c:v>28</c:v>
                </c:pt>
                <c:pt idx="3">
                  <c:v>8</c:v>
                </c:pt>
                <c:pt idx="4">
                  <c:v>7</c:v>
                </c:pt>
              </c:numCache>
            </c:numRef>
          </c:val>
          <c:extLst>
            <c:ext xmlns:c16="http://schemas.microsoft.com/office/drawing/2014/chart" uri="{C3380CC4-5D6E-409C-BE32-E72D297353CC}">
              <c16:uniqueId val="{00000000-B4D0-4142-9B96-44AD79E4B783}"/>
            </c:ext>
          </c:extLst>
        </c:ser>
        <c:dLbls>
          <c:dLblPos val="outEnd"/>
          <c:showLegendKey val="0"/>
          <c:showVal val="1"/>
          <c:showCatName val="0"/>
          <c:showSerName val="0"/>
          <c:showPercent val="0"/>
          <c:showBubbleSize val="0"/>
        </c:dLbls>
        <c:gapWidth val="219"/>
        <c:overlap val="-27"/>
        <c:axId val="682077976"/>
        <c:axId val="682080928"/>
      </c:barChart>
      <c:catAx>
        <c:axId val="682077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82080928"/>
        <c:crosses val="autoZero"/>
        <c:auto val="1"/>
        <c:lblAlgn val="ctr"/>
        <c:lblOffset val="100"/>
        <c:noMultiLvlLbl val="0"/>
      </c:catAx>
      <c:valAx>
        <c:axId val="682080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820779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Feuil1!$B$1</c:f>
              <c:strCache>
                <c:ptCount val="1"/>
                <c:pt idx="0">
                  <c:v>Série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Feuil1!$A$2:$A$6</c:f>
              <c:strCache>
                <c:ptCount val="5"/>
                <c:pt idx="0">
                  <c:v>AC4 Articles en pierre, plâtre, ciment, verre et céramique</c:v>
                </c:pt>
                <c:pt idx="1">
                  <c:v>AC0 Autres</c:v>
                </c:pt>
                <c:pt idx="2">
                  <c:v>AC13 Articles en plastique</c:v>
                </c:pt>
                <c:pt idx="3">
                  <c:v>AC1 Véhicules</c:v>
                </c:pt>
                <c:pt idx="4">
                  <c:v>AC2 Machines, appareils mécaniques, articles électriques/électroniques</c:v>
                </c:pt>
              </c:strCache>
            </c:strRef>
          </c:cat>
          <c:val>
            <c:numRef>
              <c:f>Feuil1!$B$2:$B$6</c:f>
              <c:numCache>
                <c:formatCode>General</c:formatCode>
                <c:ptCount val="5"/>
                <c:pt idx="0">
                  <c:v>24</c:v>
                </c:pt>
                <c:pt idx="1">
                  <c:v>19</c:v>
                </c:pt>
                <c:pt idx="2">
                  <c:v>13</c:v>
                </c:pt>
                <c:pt idx="3">
                  <c:v>6</c:v>
                </c:pt>
                <c:pt idx="4">
                  <c:v>6</c:v>
                </c:pt>
              </c:numCache>
            </c:numRef>
          </c:val>
          <c:extLst>
            <c:ext xmlns:c16="http://schemas.microsoft.com/office/drawing/2014/chart" uri="{C3380CC4-5D6E-409C-BE32-E72D297353CC}">
              <c16:uniqueId val="{00000000-A3E6-460A-ACBB-8266977661A2}"/>
            </c:ext>
          </c:extLst>
        </c:ser>
        <c:dLbls>
          <c:dLblPos val="outEnd"/>
          <c:showLegendKey val="0"/>
          <c:showVal val="1"/>
          <c:showCatName val="0"/>
          <c:showSerName val="0"/>
          <c:showPercent val="0"/>
          <c:showBubbleSize val="0"/>
        </c:dLbls>
        <c:gapWidth val="219"/>
        <c:overlap val="-27"/>
        <c:axId val="675640976"/>
        <c:axId val="675633432"/>
      </c:barChart>
      <c:catAx>
        <c:axId val="675640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75633432"/>
        <c:crosses val="autoZero"/>
        <c:auto val="1"/>
        <c:lblAlgn val="ctr"/>
        <c:lblOffset val="100"/>
        <c:noMultiLvlLbl val="0"/>
      </c:catAx>
      <c:valAx>
        <c:axId val="6756334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756409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Stoffen!$AT$17:$AT$25</c:f>
              <c:strCache>
                <c:ptCount val="9"/>
                <c:pt idx="0">
                  <c:v>&gt; 1 000 t</c:v>
                </c:pt>
                <c:pt idx="1">
                  <c:v>100 – 1 000 t</c:v>
                </c:pt>
                <c:pt idx="2">
                  <c:v>10 – 100 t</c:v>
                </c:pt>
                <c:pt idx="3">
                  <c:v>1 – 10 t</c:v>
                </c:pt>
                <c:pt idx="4">
                  <c:v>100 kg – 1 t</c:v>
                </c:pt>
                <c:pt idx="5">
                  <c:v>10 – 100 kg</c:v>
                </c:pt>
                <c:pt idx="6">
                  <c:v>1 – 10 kg</c:v>
                </c:pt>
                <c:pt idx="7">
                  <c:v>0,1 – 1 kg</c:v>
                </c:pt>
                <c:pt idx="8">
                  <c:v>&lt; 0,1 kg</c:v>
                </c:pt>
              </c:strCache>
            </c:strRef>
          </c:cat>
          <c:val>
            <c:numRef>
              <c:f>Stoffen!$AU$17:$AU$25</c:f>
              <c:numCache>
                <c:formatCode>General</c:formatCode>
                <c:ptCount val="9"/>
                <c:pt idx="0">
                  <c:v>3.7234042553191489</c:v>
                </c:pt>
                <c:pt idx="1">
                  <c:v>5.3191489361702127</c:v>
                </c:pt>
                <c:pt idx="2">
                  <c:v>9.3085106382978715</c:v>
                </c:pt>
                <c:pt idx="3">
                  <c:v>15.159574468085108</c:v>
                </c:pt>
                <c:pt idx="4">
                  <c:v>21.542553191489361</c:v>
                </c:pt>
                <c:pt idx="5">
                  <c:v>19.148936170212767</c:v>
                </c:pt>
                <c:pt idx="6">
                  <c:v>10.372340425531915</c:v>
                </c:pt>
                <c:pt idx="7">
                  <c:v>6.6489361702127656</c:v>
                </c:pt>
                <c:pt idx="8">
                  <c:v>8.7765957446808507</c:v>
                </c:pt>
              </c:numCache>
            </c:numRef>
          </c:val>
          <c:extLst>
            <c:ext xmlns:c16="http://schemas.microsoft.com/office/drawing/2014/chart" uri="{C3380CC4-5D6E-409C-BE32-E72D297353CC}">
              <c16:uniqueId val="{00000000-DFC1-484F-AC79-D5FA0C872C18}"/>
            </c:ext>
          </c:extLst>
        </c:ser>
        <c:dLbls>
          <c:showLegendKey val="0"/>
          <c:showVal val="0"/>
          <c:showCatName val="0"/>
          <c:showSerName val="0"/>
          <c:showPercent val="0"/>
          <c:showBubbleSize val="0"/>
        </c:dLbls>
        <c:gapWidth val="219"/>
        <c:overlap val="-27"/>
        <c:axId val="346450928"/>
        <c:axId val="346455192"/>
      </c:barChart>
      <c:catAx>
        <c:axId val="346450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346455192"/>
        <c:crosses val="autoZero"/>
        <c:auto val="1"/>
        <c:lblAlgn val="ctr"/>
        <c:lblOffset val="100"/>
        <c:noMultiLvlLbl val="0"/>
      </c:catAx>
      <c:valAx>
        <c:axId val="346455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3464509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251291404108462E-2"/>
          <c:y val="5.5272108843537414E-2"/>
          <c:w val="0.88210134038588683"/>
          <c:h val="0.80789443730248001"/>
        </c:manualLayout>
      </c:layout>
      <c:barChart>
        <c:barDir val="col"/>
        <c:grouping val="clustered"/>
        <c:varyColors val="0"/>
        <c:ser>
          <c:idx val="0"/>
          <c:order val="0"/>
          <c:spPr>
            <a:solidFill>
              <a:schemeClr val="accent1"/>
            </a:solidFill>
            <a:ln>
              <a:noFill/>
            </a:ln>
            <a:effectLst/>
          </c:spPr>
          <c:invertIfNegative val="0"/>
          <c:cat>
            <c:strRef>
              <c:f>Sheet1!$T$14:$T$22</c:f>
              <c:strCache>
                <c:ptCount val="9"/>
                <c:pt idx="0">
                  <c:v>&gt; 1 000 t</c:v>
                </c:pt>
                <c:pt idx="1">
                  <c:v>100 – 1 000 t</c:v>
                </c:pt>
                <c:pt idx="2">
                  <c:v>10 – 100 t</c:v>
                </c:pt>
                <c:pt idx="3">
                  <c:v>1 – 10 t</c:v>
                </c:pt>
                <c:pt idx="4">
                  <c:v>100 kg – 1 t</c:v>
                </c:pt>
                <c:pt idx="5">
                  <c:v>10 – 100 kg</c:v>
                </c:pt>
                <c:pt idx="6">
                  <c:v>1 – 10 kg</c:v>
                </c:pt>
                <c:pt idx="7">
                  <c:v>0,1 – 1 kg</c:v>
                </c:pt>
                <c:pt idx="8">
                  <c:v>&lt; 0,1 kg</c:v>
                </c:pt>
              </c:strCache>
            </c:strRef>
          </c:cat>
          <c:val>
            <c:numRef>
              <c:f>Sheet1!$U$14:$U$22</c:f>
              <c:numCache>
                <c:formatCode>0.00</c:formatCode>
                <c:ptCount val="9"/>
                <c:pt idx="0">
                  <c:v>0.48780487804878048</c:v>
                </c:pt>
                <c:pt idx="1">
                  <c:v>1.9512195121951219</c:v>
                </c:pt>
                <c:pt idx="2">
                  <c:v>7.8048780487804876</c:v>
                </c:pt>
                <c:pt idx="3">
                  <c:v>12.682926829268293</c:v>
                </c:pt>
                <c:pt idx="4">
                  <c:v>25.365853658536587</c:v>
                </c:pt>
                <c:pt idx="5">
                  <c:v>14.634146341463413</c:v>
                </c:pt>
                <c:pt idx="6">
                  <c:v>11.219512195121952</c:v>
                </c:pt>
                <c:pt idx="7">
                  <c:v>13.170731707317074</c:v>
                </c:pt>
                <c:pt idx="8">
                  <c:v>12.682926829268293</c:v>
                </c:pt>
              </c:numCache>
            </c:numRef>
          </c:val>
          <c:extLst>
            <c:ext xmlns:c16="http://schemas.microsoft.com/office/drawing/2014/chart" uri="{C3380CC4-5D6E-409C-BE32-E72D297353CC}">
              <c16:uniqueId val="{00000000-E2E3-4CA7-B225-C380EF6BB1E6}"/>
            </c:ext>
          </c:extLst>
        </c:ser>
        <c:dLbls>
          <c:showLegendKey val="0"/>
          <c:showVal val="0"/>
          <c:showCatName val="0"/>
          <c:showSerName val="0"/>
          <c:showPercent val="0"/>
          <c:showBubbleSize val="0"/>
        </c:dLbls>
        <c:gapWidth val="219"/>
        <c:overlap val="-27"/>
        <c:axId val="489020448"/>
        <c:axId val="489019792"/>
      </c:barChart>
      <c:catAx>
        <c:axId val="489020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89019792"/>
        <c:crosses val="autoZero"/>
        <c:auto val="1"/>
        <c:lblAlgn val="ctr"/>
        <c:lblOffset val="100"/>
        <c:noMultiLvlLbl val="0"/>
      </c:catAx>
      <c:valAx>
        <c:axId val="48901979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890204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F265-4684-BAEC-D8DDA7827745}"/>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F265-4684-BAEC-D8DDA7827745}"/>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F265-4684-BAEC-D8DDA7827745}"/>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F265-4684-BAEC-D8DDA7827745}"/>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F265-4684-BAEC-D8DDA782774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'6,1'!$AK$2:$AK$6</c:f>
              <c:strCache>
                <c:ptCount val="5"/>
                <c:pt idx="0">
                  <c:v>Importateur</c:v>
                </c:pt>
                <c:pt idx="1">
                  <c:v>Autre</c:v>
                </c:pt>
                <c:pt idx="2">
                  <c:v>Formulateur</c:v>
                </c:pt>
                <c:pt idx="3">
                  <c:v>Producteur</c:v>
                </c:pt>
                <c:pt idx="4">
                  <c:v>Distributeur</c:v>
                </c:pt>
              </c:strCache>
            </c:strRef>
          </c:cat>
          <c:val>
            <c:numRef>
              <c:f>'6,1'!$AL$2:$AL$6</c:f>
              <c:numCache>
                <c:formatCode>0.00%</c:formatCode>
                <c:ptCount val="5"/>
                <c:pt idx="0">
                  <c:v>0.41539999999999999</c:v>
                </c:pt>
                <c:pt idx="1">
                  <c:v>0</c:v>
                </c:pt>
                <c:pt idx="2">
                  <c:v>0.13850000000000001</c:v>
                </c:pt>
                <c:pt idx="3">
                  <c:v>0.18459999999999999</c:v>
                </c:pt>
                <c:pt idx="4">
                  <c:v>0.26150000000000001</c:v>
                </c:pt>
              </c:numCache>
            </c:numRef>
          </c:val>
          <c:extLst>
            <c:ext xmlns:c16="http://schemas.microsoft.com/office/drawing/2014/chart" uri="{C3380CC4-5D6E-409C-BE32-E72D297353CC}">
              <c16:uniqueId val="{0000000A-F265-4684-BAEC-D8DDA7827745}"/>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98E2-4ABE-85E2-F63D433FAB29}"/>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98E2-4ABE-85E2-F63D433FAB29}"/>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98E2-4ABE-85E2-F63D433FAB29}"/>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98E2-4ABE-85E2-F63D433FAB29}"/>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98E2-4ABE-85E2-F63D433FAB2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'6,1'!$Z$2:$Z$6</c:f>
              <c:strCache>
                <c:ptCount val="5"/>
                <c:pt idx="0">
                  <c:v>Importateur</c:v>
                </c:pt>
                <c:pt idx="1">
                  <c:v>Autre</c:v>
                </c:pt>
                <c:pt idx="2">
                  <c:v>Formulateur</c:v>
                </c:pt>
                <c:pt idx="3">
                  <c:v>Producteur</c:v>
                </c:pt>
                <c:pt idx="4">
                  <c:v>Distributeur</c:v>
                </c:pt>
              </c:strCache>
            </c:strRef>
          </c:cat>
          <c:val>
            <c:numRef>
              <c:f>'6,1'!$AA$2:$AA$6</c:f>
              <c:numCache>
                <c:formatCode>0.00%</c:formatCode>
                <c:ptCount val="5"/>
                <c:pt idx="0">
                  <c:v>0.3448</c:v>
                </c:pt>
                <c:pt idx="1">
                  <c:v>3.4500000000000003E-2</c:v>
                </c:pt>
                <c:pt idx="2">
                  <c:v>0.1724</c:v>
                </c:pt>
                <c:pt idx="3">
                  <c:v>0.18970000000000001</c:v>
                </c:pt>
                <c:pt idx="4">
                  <c:v>0.2586</c:v>
                </c:pt>
              </c:numCache>
            </c:numRef>
          </c:val>
          <c:extLst>
            <c:ext xmlns:c16="http://schemas.microsoft.com/office/drawing/2014/chart" uri="{C3380CC4-5D6E-409C-BE32-E72D297353CC}">
              <c16:uniqueId val="{0000000A-98E2-4ABE-85E2-F63D433FAB29}"/>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34E4-4A74-ABD8-C3486DDD8F0F}"/>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34E4-4A74-ABD8-C3486DDD8F0F}"/>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34E4-4A74-ABD8-C3486DDD8F0F}"/>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34E4-4A74-ABD8-C3486DDD8F0F}"/>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34E4-4A74-ABD8-C3486DDD8F0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'6,2 S+M'!$H$2:$H$6</c:f>
              <c:strCache>
                <c:ptCount val="5"/>
                <c:pt idx="0">
                  <c:v>Importateur</c:v>
                </c:pt>
                <c:pt idx="1">
                  <c:v>Autre</c:v>
                </c:pt>
                <c:pt idx="2">
                  <c:v>Formulateur</c:v>
                </c:pt>
                <c:pt idx="3">
                  <c:v>Producteur</c:v>
                </c:pt>
                <c:pt idx="4">
                  <c:v>Distributeur</c:v>
                </c:pt>
              </c:strCache>
            </c:strRef>
          </c:cat>
          <c:val>
            <c:numRef>
              <c:f>'6,2 S+M'!$I$2:$I$6</c:f>
              <c:numCache>
                <c:formatCode>0.00%</c:formatCode>
                <c:ptCount val="5"/>
                <c:pt idx="0">
                  <c:v>0.36380000000000001</c:v>
                </c:pt>
                <c:pt idx="1">
                  <c:v>5.0000000000000001E-3</c:v>
                </c:pt>
                <c:pt idx="2">
                  <c:v>0.24249999999999999</c:v>
                </c:pt>
                <c:pt idx="3">
                  <c:v>0.11749999999999999</c:v>
                </c:pt>
                <c:pt idx="4">
                  <c:v>0.27129999999999999</c:v>
                </c:pt>
              </c:numCache>
            </c:numRef>
          </c:val>
          <c:extLst>
            <c:ext xmlns:c16="http://schemas.microsoft.com/office/drawing/2014/chart" uri="{C3380CC4-5D6E-409C-BE32-E72D297353CC}">
              <c16:uniqueId val="{0000000A-34E4-4A74-ABD8-C3486DDD8F0F}"/>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Feuil1!$B$1</c:f>
              <c:strCache>
                <c:ptCount val="1"/>
                <c:pt idx="0">
                  <c:v>Série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Feuil1!$A$2:$A$6</c:f>
              <c:strCache>
                <c:ptCount val="5"/>
                <c:pt idx="0">
                  <c:v>20 Industrie chimique</c:v>
                </c:pt>
                <c:pt idx="1">
                  <c:v>46 Commerce de gros, à l'exception des véhicules automobiles et des motocycles</c:v>
                </c:pt>
                <c:pt idx="2">
                  <c:v>22 Fabrication de produits en caoutchouc et en plastique</c:v>
                </c:pt>
                <c:pt idx="3">
                  <c:v>23 Fabrication d'autres produits minéraux non métalliques</c:v>
                </c:pt>
                <c:pt idx="4">
                  <c:v>43 Travaux de construction spécialisés
</c:v>
                </c:pt>
              </c:strCache>
            </c:strRef>
          </c:cat>
          <c:val>
            <c:numRef>
              <c:f>Feuil1!$B$2:$B$6</c:f>
              <c:numCache>
                <c:formatCode>General</c:formatCode>
                <c:ptCount val="5"/>
                <c:pt idx="0">
                  <c:v>57.5</c:v>
                </c:pt>
                <c:pt idx="1">
                  <c:v>16.3</c:v>
                </c:pt>
                <c:pt idx="2">
                  <c:v>5.04</c:v>
                </c:pt>
                <c:pt idx="3">
                  <c:v>2.94</c:v>
                </c:pt>
                <c:pt idx="4">
                  <c:v>2.1</c:v>
                </c:pt>
              </c:numCache>
            </c:numRef>
          </c:val>
          <c:extLst>
            <c:ext xmlns:c16="http://schemas.microsoft.com/office/drawing/2014/chart" uri="{C3380CC4-5D6E-409C-BE32-E72D297353CC}">
              <c16:uniqueId val="{00000000-8BA9-459E-840A-FB0B99946740}"/>
            </c:ext>
          </c:extLst>
        </c:ser>
        <c:ser>
          <c:idx val="1"/>
          <c:order val="1"/>
          <c:tx>
            <c:strRef>
              <c:f>Feuil1!$C$1</c:f>
              <c:strCache>
                <c:ptCount val="1"/>
                <c:pt idx="0">
                  <c:v>Colonne1</c:v>
                </c:pt>
              </c:strCache>
            </c:strRef>
          </c:tx>
          <c:spPr>
            <a:solidFill>
              <a:schemeClr val="accent2"/>
            </a:solidFill>
            <a:ln>
              <a:noFill/>
            </a:ln>
            <a:effectLst/>
          </c:spPr>
          <c:invertIfNegative val="0"/>
          <c:cat>
            <c:strRef>
              <c:f>Feuil1!$A$2:$A$6</c:f>
              <c:strCache>
                <c:ptCount val="5"/>
                <c:pt idx="0">
                  <c:v>20 Industrie chimique</c:v>
                </c:pt>
                <c:pt idx="1">
                  <c:v>46 Commerce de gros, à l'exception des véhicules automobiles et des motocycles</c:v>
                </c:pt>
                <c:pt idx="2">
                  <c:v>22 Fabrication de produits en caoutchouc et en plastique</c:v>
                </c:pt>
                <c:pt idx="3">
                  <c:v>23 Fabrication d'autres produits minéraux non métalliques</c:v>
                </c:pt>
                <c:pt idx="4">
                  <c:v>43 Travaux de construction spécialisés
</c:v>
                </c:pt>
              </c:strCache>
            </c:strRef>
          </c:cat>
          <c:val>
            <c:numRef>
              <c:f>Feuil1!$C$2:$C$6</c:f>
              <c:numCache>
                <c:formatCode>General</c:formatCode>
                <c:ptCount val="5"/>
              </c:numCache>
            </c:numRef>
          </c:val>
          <c:extLst>
            <c:ext xmlns:c16="http://schemas.microsoft.com/office/drawing/2014/chart" uri="{C3380CC4-5D6E-409C-BE32-E72D297353CC}">
              <c16:uniqueId val="{00000001-8BA9-459E-840A-FB0B99946740}"/>
            </c:ext>
          </c:extLst>
        </c:ser>
        <c:dLbls>
          <c:showLegendKey val="0"/>
          <c:showVal val="0"/>
          <c:showCatName val="0"/>
          <c:showSerName val="0"/>
          <c:showPercent val="0"/>
          <c:showBubbleSize val="0"/>
        </c:dLbls>
        <c:gapWidth val="219"/>
        <c:overlap val="-27"/>
        <c:axId val="1006848512"/>
        <c:axId val="1006849496"/>
      </c:barChart>
      <c:lineChart>
        <c:grouping val="standard"/>
        <c:varyColors val="0"/>
        <c:ser>
          <c:idx val="2"/>
          <c:order val="2"/>
          <c:tx>
            <c:strRef>
              <c:f>Feuil1!$D$1</c:f>
              <c:strCache>
                <c:ptCount val="1"/>
                <c:pt idx="0">
                  <c:v>Colonne2</c:v>
                </c:pt>
              </c:strCache>
            </c:strRef>
          </c:tx>
          <c:spPr>
            <a:ln w="28575" cap="rnd">
              <a:solidFill>
                <a:schemeClr val="accent3"/>
              </a:solidFill>
              <a:round/>
            </a:ln>
            <a:effectLst/>
          </c:spPr>
          <c:marker>
            <c:symbol val="none"/>
          </c:marker>
          <c:cat>
            <c:strRef>
              <c:f>Feuil1!$A$2:$A$6</c:f>
              <c:strCache>
                <c:ptCount val="5"/>
                <c:pt idx="0">
                  <c:v>20 Industrie chimique</c:v>
                </c:pt>
                <c:pt idx="1">
                  <c:v>46 Commerce de gros, à l'exception des véhicules automobiles et des motocycles</c:v>
                </c:pt>
                <c:pt idx="2">
                  <c:v>22 Fabrication de produits en caoutchouc et en plastique</c:v>
                </c:pt>
                <c:pt idx="3">
                  <c:v>23 Fabrication d'autres produits minéraux non métalliques</c:v>
                </c:pt>
                <c:pt idx="4">
                  <c:v>43 Travaux de construction spécialisés
</c:v>
                </c:pt>
              </c:strCache>
            </c:strRef>
          </c:cat>
          <c:val>
            <c:numRef>
              <c:f>Feuil1!$D$2:$D$6</c:f>
              <c:numCache>
                <c:formatCode>General</c:formatCode>
                <c:ptCount val="5"/>
              </c:numCache>
            </c:numRef>
          </c:val>
          <c:smooth val="0"/>
          <c:extLst>
            <c:ext xmlns:c16="http://schemas.microsoft.com/office/drawing/2014/chart" uri="{C3380CC4-5D6E-409C-BE32-E72D297353CC}">
              <c16:uniqueId val="{00000002-8BA9-459E-840A-FB0B99946740}"/>
            </c:ext>
          </c:extLst>
        </c:ser>
        <c:dLbls>
          <c:showLegendKey val="0"/>
          <c:showVal val="0"/>
          <c:showCatName val="0"/>
          <c:showSerName val="0"/>
          <c:showPercent val="0"/>
          <c:showBubbleSize val="0"/>
        </c:dLbls>
        <c:marker val="1"/>
        <c:smooth val="0"/>
        <c:axId val="1006848512"/>
        <c:axId val="1006849496"/>
      </c:lineChart>
      <c:catAx>
        <c:axId val="1006848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006849496"/>
        <c:crosses val="autoZero"/>
        <c:auto val="1"/>
        <c:lblAlgn val="ctr"/>
        <c:lblOffset val="100"/>
        <c:noMultiLvlLbl val="0"/>
      </c:catAx>
      <c:valAx>
        <c:axId val="1006849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0068485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Feuil1!$B$1</c:f>
              <c:strCache>
                <c:ptCount val="1"/>
                <c:pt idx="0">
                  <c:v>Série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Feuil1!$A$2:$A$6</c:f>
              <c:strCache>
                <c:ptCount val="5"/>
                <c:pt idx="0">
                  <c:v>2014 Fabrication d'autres produits chimiques organiques de base</c:v>
                </c:pt>
                <c:pt idx="1">
                  <c:v>20590 Fabrication d'autres produits chimiques n.c.a.</c:v>
                </c:pt>
                <c:pt idx="2">
                  <c:v>20160 Fabrication de matières plastiques de base</c:v>
                </c:pt>
                <c:pt idx="3">
                  <c:v>20 industrie chimique</c:v>
                </c:pt>
                <c:pt idx="4">
                  <c:v>4675 Commerce de gros des produits chimiques</c:v>
                </c:pt>
              </c:strCache>
            </c:strRef>
          </c:cat>
          <c:val>
            <c:numRef>
              <c:f>Feuil1!$B$2:$B$6</c:f>
              <c:numCache>
                <c:formatCode>General</c:formatCode>
                <c:ptCount val="5"/>
                <c:pt idx="0">
                  <c:v>142</c:v>
                </c:pt>
                <c:pt idx="1">
                  <c:v>135</c:v>
                </c:pt>
                <c:pt idx="2">
                  <c:v>112</c:v>
                </c:pt>
                <c:pt idx="3">
                  <c:v>99</c:v>
                </c:pt>
                <c:pt idx="4">
                  <c:v>84</c:v>
                </c:pt>
              </c:numCache>
            </c:numRef>
          </c:val>
          <c:extLst>
            <c:ext xmlns:c16="http://schemas.microsoft.com/office/drawing/2014/chart" uri="{C3380CC4-5D6E-409C-BE32-E72D297353CC}">
              <c16:uniqueId val="{00000000-F381-4834-8BDD-3300F73ADF15}"/>
            </c:ext>
          </c:extLst>
        </c:ser>
        <c:dLbls>
          <c:showLegendKey val="0"/>
          <c:showVal val="0"/>
          <c:showCatName val="0"/>
          <c:showSerName val="0"/>
          <c:showPercent val="0"/>
          <c:showBubbleSize val="0"/>
        </c:dLbls>
        <c:gapWidth val="219"/>
        <c:overlap val="-27"/>
        <c:axId val="1024333744"/>
        <c:axId val="1024331776"/>
      </c:barChart>
      <c:catAx>
        <c:axId val="1024333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024331776"/>
        <c:crosses val="autoZero"/>
        <c:auto val="1"/>
        <c:lblAlgn val="ctr"/>
        <c:lblOffset val="100"/>
        <c:noMultiLvlLbl val="0"/>
      </c:catAx>
      <c:valAx>
        <c:axId val="10243317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0243337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Feuil1!$B$1</c:f>
              <c:strCache>
                <c:ptCount val="1"/>
                <c:pt idx="0">
                  <c:v>Série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Feuil1!$A$2:$A$6</c:f>
              <c:strCache>
                <c:ptCount val="5"/>
                <c:pt idx="0">
                  <c:v>20160 Fabrication de matières plastiques de base</c:v>
                </c:pt>
                <c:pt idx="1">
                  <c:v>46710 Commerce de gros de combustibles solides, liquides et gazeux et de produits annexes</c:v>
                </c:pt>
                <c:pt idx="2">
                  <c:v>20120 Fabrication de colorants et de pigments</c:v>
                </c:pt>
                <c:pt idx="3">
                  <c:v>20 Industrie chimique</c:v>
                </c:pt>
                <c:pt idx="4">
                  <c:v>20300 Fabrication de peintures, de vernis, d'encres et de mastics</c:v>
                </c:pt>
              </c:strCache>
            </c:strRef>
          </c:cat>
          <c:val>
            <c:numRef>
              <c:f>Feuil1!$B$2:$B$6</c:f>
              <c:numCache>
                <c:formatCode>General</c:formatCode>
                <c:ptCount val="5"/>
                <c:pt idx="0">
                  <c:v>110</c:v>
                </c:pt>
                <c:pt idx="1">
                  <c:v>69</c:v>
                </c:pt>
                <c:pt idx="2">
                  <c:v>45</c:v>
                </c:pt>
                <c:pt idx="3">
                  <c:v>27</c:v>
                </c:pt>
                <c:pt idx="4">
                  <c:v>27</c:v>
                </c:pt>
              </c:numCache>
            </c:numRef>
          </c:val>
          <c:extLst>
            <c:ext xmlns:c16="http://schemas.microsoft.com/office/drawing/2014/chart" uri="{C3380CC4-5D6E-409C-BE32-E72D297353CC}">
              <c16:uniqueId val="{00000000-B055-465F-A8C6-5B7158F24C7E}"/>
            </c:ext>
          </c:extLst>
        </c:ser>
        <c:dLbls>
          <c:dLblPos val="outEnd"/>
          <c:showLegendKey val="0"/>
          <c:showVal val="1"/>
          <c:showCatName val="0"/>
          <c:showSerName val="0"/>
          <c:showPercent val="0"/>
          <c:showBubbleSize val="0"/>
        </c:dLbls>
        <c:gapWidth val="219"/>
        <c:overlap val="-27"/>
        <c:axId val="1006812760"/>
        <c:axId val="1006815056"/>
      </c:barChart>
      <c:catAx>
        <c:axId val="1006812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006815056"/>
        <c:crosses val="autoZero"/>
        <c:auto val="1"/>
        <c:lblAlgn val="ctr"/>
        <c:lblOffset val="100"/>
        <c:noMultiLvlLbl val="0"/>
      </c:catAx>
      <c:valAx>
        <c:axId val="1006815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0068127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Feuil1!$B$1</c:f>
              <c:strCache>
                <c:ptCount val="1"/>
                <c:pt idx="0">
                  <c:v>Série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Feuil1!$A$2:$A$6</c:f>
              <c:strCache>
                <c:ptCount val="5"/>
                <c:pt idx="0">
                  <c:v>2014 Fabrication d'autres produits chimiques organiques de base</c:v>
                </c:pt>
                <c:pt idx="1">
                  <c:v>20590 Fabrication d'autres produits chimiques n.c.a.</c:v>
                </c:pt>
                <c:pt idx="2">
                  <c:v>4675 Commerce de gros de produits chimiques</c:v>
                </c:pt>
                <c:pt idx="3">
                  <c:v>20 Industrie chimique</c:v>
                </c:pt>
                <c:pt idx="4">
                  <c:v>2030001 Fabrication de peintures et de vernis</c:v>
                </c:pt>
              </c:strCache>
            </c:strRef>
          </c:cat>
          <c:val>
            <c:numRef>
              <c:f>Feuil1!$B$2:$B$6</c:f>
              <c:numCache>
                <c:formatCode>General</c:formatCode>
                <c:ptCount val="5"/>
                <c:pt idx="0">
                  <c:v>139</c:v>
                </c:pt>
                <c:pt idx="1">
                  <c:v>116</c:v>
                </c:pt>
                <c:pt idx="2">
                  <c:v>79</c:v>
                </c:pt>
                <c:pt idx="3">
                  <c:v>72</c:v>
                </c:pt>
                <c:pt idx="4">
                  <c:v>70</c:v>
                </c:pt>
              </c:numCache>
            </c:numRef>
          </c:val>
          <c:extLst>
            <c:ext xmlns:c16="http://schemas.microsoft.com/office/drawing/2014/chart" uri="{C3380CC4-5D6E-409C-BE32-E72D297353CC}">
              <c16:uniqueId val="{00000000-C7E6-46C2-87E6-9882DB1B1470}"/>
            </c:ext>
          </c:extLst>
        </c:ser>
        <c:dLbls>
          <c:dLblPos val="outEnd"/>
          <c:showLegendKey val="0"/>
          <c:showVal val="1"/>
          <c:showCatName val="0"/>
          <c:showSerName val="0"/>
          <c:showPercent val="0"/>
          <c:showBubbleSize val="0"/>
        </c:dLbls>
        <c:gapWidth val="219"/>
        <c:overlap val="-27"/>
        <c:axId val="1026121456"/>
        <c:axId val="1026125064"/>
      </c:barChart>
      <c:catAx>
        <c:axId val="1026121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026125064"/>
        <c:crosses val="autoZero"/>
        <c:auto val="1"/>
        <c:lblAlgn val="ctr"/>
        <c:lblOffset val="100"/>
        <c:noMultiLvlLbl val="0"/>
      </c:catAx>
      <c:valAx>
        <c:axId val="1026125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0261214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Feuil1!$B$1</c:f>
              <c:strCache>
                <c:ptCount val="1"/>
                <c:pt idx="0">
                  <c:v>Série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Feuil1!$A$2:$A$6</c:f>
              <c:strCache>
                <c:ptCount val="5"/>
                <c:pt idx="0">
                  <c:v>20130 Fabrication d'autres produits chimiques inorganiques de base</c:v>
                </c:pt>
                <c:pt idx="1">
                  <c:v>20 Industrie chimique</c:v>
                </c:pt>
                <c:pt idx="2">
                  <c:v>23 Fabrication d'autres produits minéraux non métalliques</c:v>
                </c:pt>
                <c:pt idx="3">
                  <c:v>8910 Extraction des minéraux chimiques et d'engrais minéraux</c:v>
                </c:pt>
                <c:pt idx="4">
                  <c:v>20120 Fabrication de colorants et de pigments</c:v>
                </c:pt>
              </c:strCache>
            </c:strRef>
          </c:cat>
          <c:val>
            <c:numRef>
              <c:f>Feuil1!$B$2:$B$6</c:f>
              <c:numCache>
                <c:formatCode>General</c:formatCode>
                <c:ptCount val="5"/>
                <c:pt idx="0">
                  <c:v>15564.81</c:v>
                </c:pt>
                <c:pt idx="1">
                  <c:v>4824.8900000000003</c:v>
                </c:pt>
                <c:pt idx="2">
                  <c:v>3144</c:v>
                </c:pt>
                <c:pt idx="3">
                  <c:v>3031</c:v>
                </c:pt>
                <c:pt idx="4">
                  <c:v>74.61</c:v>
                </c:pt>
              </c:numCache>
            </c:numRef>
          </c:val>
          <c:extLst>
            <c:ext xmlns:c16="http://schemas.microsoft.com/office/drawing/2014/chart" uri="{C3380CC4-5D6E-409C-BE32-E72D297353CC}">
              <c16:uniqueId val="{00000000-CAC7-4F0D-A217-403DA499ED3E}"/>
            </c:ext>
          </c:extLst>
        </c:ser>
        <c:dLbls>
          <c:dLblPos val="outEnd"/>
          <c:showLegendKey val="0"/>
          <c:showVal val="1"/>
          <c:showCatName val="0"/>
          <c:showSerName val="0"/>
          <c:showPercent val="0"/>
          <c:showBubbleSize val="0"/>
        </c:dLbls>
        <c:gapWidth val="219"/>
        <c:overlap val="-27"/>
        <c:axId val="644908048"/>
        <c:axId val="644905752"/>
      </c:barChart>
      <c:catAx>
        <c:axId val="644908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44905752"/>
        <c:crosses val="autoZero"/>
        <c:auto val="1"/>
        <c:lblAlgn val="ctr"/>
        <c:lblOffset val="100"/>
        <c:noMultiLvlLbl val="0"/>
      </c:catAx>
      <c:valAx>
        <c:axId val="644905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449080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AA642181935F541BFD004DFA5CD0B19" ma:contentTypeVersion="12" ma:contentTypeDescription="Create a new document." ma:contentTypeScope="" ma:versionID="6f2e11105c2798e710c020b041978820">
  <xsd:schema xmlns:xsd="http://www.w3.org/2001/XMLSchema" xmlns:xs="http://www.w3.org/2001/XMLSchema" xmlns:p="http://schemas.microsoft.com/office/2006/metadata/properties" xmlns:ns3="172739aa-7c5e-4498-8314-b2e604b365ce" xmlns:ns4="c782e0b1-556c-4905-add2-7168bfd53982" targetNamespace="http://schemas.microsoft.com/office/2006/metadata/properties" ma:root="true" ma:fieldsID="dd240846792f755ded79d33872b52b8e" ns3:_="" ns4:_="">
    <xsd:import namespace="172739aa-7c5e-4498-8314-b2e604b365ce"/>
    <xsd:import namespace="c782e0b1-556c-4905-add2-7168bfd539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2739aa-7c5e-4498-8314-b2e604b365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82e0b1-556c-4905-add2-7168bfd5398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218585-3FB1-4D9B-87EE-AB682A909B24}">
  <ds:schemaRefs>
    <ds:schemaRef ds:uri="http://schemas.microsoft.com/sharepoint/v3/contenttype/forms"/>
  </ds:schemaRefs>
</ds:datastoreItem>
</file>

<file path=customXml/itemProps2.xml><?xml version="1.0" encoding="utf-8"?>
<ds:datastoreItem xmlns:ds="http://schemas.openxmlformats.org/officeDocument/2006/customXml" ds:itemID="{B0956558-FEA9-4981-8033-610697E9759F}">
  <ds:schemaRefs>
    <ds:schemaRef ds:uri="http://schemas.openxmlformats.org/officeDocument/2006/bibliography"/>
  </ds:schemaRefs>
</ds:datastoreItem>
</file>

<file path=customXml/itemProps3.xml><?xml version="1.0" encoding="utf-8"?>
<ds:datastoreItem xmlns:ds="http://schemas.openxmlformats.org/officeDocument/2006/customXml" ds:itemID="{458FF986-02CE-45BA-BDDB-4AF2A34D60E0}">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172739aa-7c5e-4498-8314-b2e604b365ce"/>
    <ds:schemaRef ds:uri="c782e0b1-556c-4905-add2-7168bfd53982"/>
    <ds:schemaRef ds:uri="http://www.w3.org/XML/1998/namespace"/>
    <ds:schemaRef ds:uri="http://purl.org/dc/dcmitype/"/>
  </ds:schemaRefs>
</ds:datastoreItem>
</file>

<file path=customXml/itemProps4.xml><?xml version="1.0" encoding="utf-8"?>
<ds:datastoreItem xmlns:ds="http://schemas.openxmlformats.org/officeDocument/2006/customXml" ds:itemID="{1E702D7E-C8EB-49EC-B426-681A43B91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2739aa-7c5e-4498-8314-b2e604b365ce"/>
    <ds:schemaRef ds:uri="c782e0b1-556c-4905-add2-7168bfd539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18090</Words>
  <Characters>99501</Characters>
  <Application>Microsoft Office Word</Application>
  <DocSecurity>0</DocSecurity>
  <Lines>829</Lines>
  <Paragraphs>234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Rapport nanoregister, handelsjaar 2016</vt:lpstr>
      <vt:lpstr>Rapport nanoregister, handelsjaar 2016</vt:lpstr>
      <vt:lpstr>Rapport nanoregister, handelsjaar 2016</vt:lpstr>
    </vt:vector>
  </TitlesOfParts>
  <Company>health.fgov.be</Company>
  <LinksUpToDate>false</LinksUpToDate>
  <CharactersWithSpaces>117357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nanoregister, handelsjaar 2016</dc:title>
  <dc:subject/>
  <dc:creator>Gorrebeeck Carine</dc:creator>
  <cp:keywords/>
  <dc:description/>
  <cp:lastModifiedBy>Lecloux Hélène</cp:lastModifiedBy>
  <cp:revision>3</cp:revision>
  <cp:lastPrinted>2017-11-28T09:47:00Z</cp:lastPrinted>
  <dcterms:created xsi:type="dcterms:W3CDTF">2021-07-01T10:29:00Z</dcterms:created>
  <dcterms:modified xsi:type="dcterms:W3CDTF">2021-07-01T10:30:00Z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0x0101006AA642181935F541BFD004DFA5CD0B19</vt:lpwstr>
  </property>
</Properties>
</file>